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8BD94">
      <w:pPr>
        <w:pStyle w:val="2"/>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32"/>
          <w:szCs w:val="32"/>
          <w:lang w:val="en-US" w:eastAsia="zh-CN"/>
        </w:rPr>
      </w:pPr>
      <w:r>
        <w:rPr>
          <w:rFonts w:hint="eastAsia"/>
          <w:sz w:val="32"/>
          <w:szCs w:val="32"/>
          <w:lang w:val="en-US" w:eastAsia="zh-CN"/>
        </w:rPr>
        <w:t>趣伴卡政策优化需求</w:t>
      </w:r>
    </w:p>
    <w:p w14:paraId="61662DBE">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需求背景：</w:t>
      </w:r>
    </w:p>
    <w:p w14:paraId="6BDFEF8D">
      <w:pPr>
        <w:numPr>
          <w:ilvl w:val="1"/>
          <w:numId w:val="1"/>
        </w:numPr>
        <w:ind w:left="0" w:leftChars="0" w:firstLine="0" w:firstLineChars="0"/>
        <w:rPr>
          <w:rFonts w:hint="eastAsia"/>
          <w:lang w:val="en-US" w:eastAsia="zh-CN"/>
        </w:rPr>
      </w:pPr>
      <w:r>
        <w:rPr>
          <w:rFonts w:hint="eastAsia"/>
          <w:lang w:val="en-US" w:eastAsia="zh-CN"/>
        </w:rPr>
        <w:t>目前，我们实行的是按比例分配的推广政策。具体来说，不管是高价格产品还是低价产品，都给一代保留 10% 的利润作为奖励。假如一款高价产品300元，10% 的部分就是 30 元；而一款低价产品售价 100 元，10% 就只有 10 元。别的同行可能给直推人员的奖励要比我们高很多，这就导致我们的直推人员积极性不高，产品推广的效率也受到了影响。</w:t>
      </w:r>
    </w:p>
    <w:p w14:paraId="6BEE70AA">
      <w:pPr>
        <w:numPr>
          <w:ilvl w:val="1"/>
          <w:numId w:val="1"/>
        </w:numPr>
        <w:ind w:left="0" w:leftChars="0" w:firstLine="0" w:firstLineChars="0"/>
        <w:rPr>
          <w:rFonts w:hint="eastAsia"/>
          <w:lang w:val="en-US" w:eastAsia="zh-CN"/>
        </w:rPr>
      </w:pPr>
      <w:r>
        <w:rPr>
          <w:rFonts w:hint="eastAsia"/>
          <w:lang w:val="en-US" w:eastAsia="zh-CN"/>
        </w:rPr>
        <w:t>为了改变这种不利的局面，我们迫切需要调整政策模式。新的模式可以考虑按指定金额保留给一代 。比如，不管产品价格高低，都给一代直推人员固定的 10 元奖励。剩下的金额，就全部保留给拓卡方。这样一来，一代清楚自己能拿到多少钱，拓卡方会更有动力去推广产品。通过这种政策调整，利润分配会更加合理，各方参与推广的积极性都能得到提升，最终实现产品销售业绩的增长，让我们在市场竞争中占据更有利的位置。</w:t>
      </w:r>
    </w:p>
    <w:p w14:paraId="151A525D">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sz w:val="21"/>
          <w:szCs w:val="21"/>
          <w:lang w:val="en-US" w:eastAsia="zh-CN"/>
        </w:rPr>
      </w:pPr>
      <w:r>
        <w:rPr>
          <w:rFonts w:hint="eastAsia"/>
          <w:sz w:val="21"/>
          <w:szCs w:val="21"/>
          <w:lang w:val="en-US" w:eastAsia="zh-CN"/>
        </w:rPr>
        <w:t>需求汇总：</w:t>
      </w:r>
    </w:p>
    <w:p w14:paraId="28648E0C">
      <w:pPr>
        <w:numPr>
          <w:ilvl w:val="1"/>
          <w:numId w:val="1"/>
        </w:numPr>
        <w:ind w:left="0" w:leftChars="0" w:firstLine="0" w:firstLineChars="0"/>
        <w:rPr>
          <w:rFonts w:hint="default"/>
          <w:lang w:val="en-US" w:eastAsia="zh-CN"/>
        </w:rPr>
      </w:pPr>
      <w:r>
        <w:rPr>
          <w:rFonts w:hint="eastAsia"/>
          <w:lang w:val="en-US" w:eastAsia="zh-CN"/>
        </w:rPr>
        <w:t>政策配置功能优化</w:t>
      </w:r>
    </w:p>
    <w:p w14:paraId="2AE82CC2">
      <w:pPr>
        <w:numPr>
          <w:ilvl w:val="1"/>
          <w:numId w:val="1"/>
        </w:numPr>
        <w:ind w:left="0" w:leftChars="0" w:firstLine="0" w:firstLineChars="0"/>
        <w:rPr>
          <w:rFonts w:hint="default"/>
          <w:lang w:val="en-US" w:eastAsia="zh-CN"/>
        </w:rPr>
      </w:pPr>
      <w:r>
        <w:rPr>
          <w:rFonts w:hint="eastAsia"/>
          <w:lang w:val="en-US" w:eastAsia="zh-CN"/>
        </w:rPr>
        <w:t>结算单生成功能优化</w:t>
      </w:r>
    </w:p>
    <w:p w14:paraId="23EFF3F3">
      <w:pPr>
        <w:numPr>
          <w:ilvl w:val="1"/>
          <w:numId w:val="1"/>
        </w:numPr>
        <w:ind w:left="0" w:leftChars="0" w:firstLine="0" w:firstLineChars="0"/>
        <w:rPr>
          <w:rFonts w:hint="default"/>
          <w:lang w:val="en-US" w:eastAsia="zh-CN"/>
        </w:rPr>
      </w:pPr>
      <w:r>
        <w:rPr>
          <w:rFonts w:hint="default"/>
          <w:lang w:val="en-US" w:eastAsia="zh-CN"/>
        </w:rPr>
        <w:t>一代产品政策页面逻辑调整</w:t>
      </w:r>
    </w:p>
    <w:p w14:paraId="4B32A55A">
      <w:pPr>
        <w:numPr>
          <w:ilvl w:val="1"/>
          <w:numId w:val="1"/>
        </w:numPr>
        <w:ind w:left="0" w:leftChars="0" w:firstLine="0" w:firstLineChars="0"/>
        <w:rPr>
          <w:rFonts w:hint="default"/>
          <w:lang w:val="en-US" w:eastAsia="zh-CN"/>
        </w:rPr>
      </w:pPr>
      <w:r>
        <w:rPr>
          <w:rFonts w:hint="eastAsia"/>
          <w:lang w:val="en-US" w:eastAsia="zh-CN"/>
        </w:rPr>
        <w:t>切换前后订单处理</w:t>
      </w:r>
    </w:p>
    <w:p w14:paraId="1F106A51">
      <w:pPr>
        <w:numPr>
          <w:ilvl w:val="1"/>
          <w:numId w:val="1"/>
        </w:numPr>
        <w:ind w:left="0" w:leftChars="0" w:firstLine="0" w:firstLineChars="0"/>
        <w:rPr>
          <w:rFonts w:hint="default"/>
          <w:lang w:val="en-US" w:eastAsia="zh-CN"/>
        </w:rPr>
      </w:pPr>
      <w:r>
        <w:rPr>
          <w:rFonts w:hint="eastAsia"/>
          <w:lang w:val="en-US" w:eastAsia="zh-CN"/>
        </w:rPr>
        <w:t>拓客端调整</w:t>
      </w:r>
    </w:p>
    <w:p w14:paraId="51C794FC">
      <w:pPr>
        <w:rPr>
          <w:rFonts w:hint="default"/>
          <w:lang w:val="en-US" w:eastAsia="zh-CN"/>
        </w:rPr>
      </w:pPr>
      <w:r>
        <w:rPr>
          <w:rFonts w:hint="eastAsia"/>
          <w:lang w:val="en-US" w:eastAsia="zh-CN"/>
        </w:rPr>
        <w:br w:type="page"/>
      </w:r>
    </w:p>
    <w:p w14:paraId="034F2252">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需求内容：</w:t>
      </w:r>
    </w:p>
    <w:p w14:paraId="0CA1A997">
      <w:pPr>
        <w:numPr>
          <w:ilvl w:val="1"/>
          <w:numId w:val="1"/>
        </w:numPr>
        <w:ind w:left="0" w:leftChars="0" w:firstLine="0" w:firstLineChars="0"/>
        <w:rPr>
          <w:rFonts w:hint="default"/>
          <w:lang w:val="en-US" w:eastAsia="zh-CN"/>
        </w:rPr>
      </w:pPr>
      <w:r>
        <w:rPr>
          <w:rFonts w:hint="eastAsia"/>
          <w:lang w:val="en-US" w:eastAsia="zh-CN"/>
        </w:rPr>
        <w:t>政策配置功能优化</w:t>
      </w:r>
    </w:p>
    <w:p w14:paraId="2C9C0308">
      <w:pPr>
        <w:numPr>
          <w:ilvl w:val="0"/>
          <w:numId w:val="0"/>
        </w:numPr>
        <w:ind w:leftChars="0" w:firstLine="420" w:firstLineChars="0"/>
        <w:rPr>
          <w:rFonts w:hint="eastAsia"/>
          <w:lang w:val="en-US" w:eastAsia="zh-CN"/>
        </w:rPr>
      </w:pPr>
      <w:r>
        <w:rPr>
          <w:rFonts w:hint="eastAsia"/>
          <w:lang w:val="en-US" w:eastAsia="zh-CN"/>
        </w:rPr>
        <w:t>1.1.1推客产品政策配置-新增修改时增加内容（信用卡、借记卡）</w:t>
      </w:r>
    </w:p>
    <w:p w14:paraId="752EEC4F">
      <w:pPr>
        <w:numPr>
          <w:ilvl w:val="0"/>
          <w:numId w:val="0"/>
        </w:numPr>
        <w:ind w:leftChars="0" w:firstLine="420" w:firstLineChars="0"/>
      </w:pPr>
      <w:r>
        <w:drawing>
          <wp:inline distT="0" distB="0" distL="114300" distR="114300">
            <wp:extent cx="3272155" cy="3733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72155" cy="3733800"/>
                    </a:xfrm>
                    <a:prstGeom prst="rect">
                      <a:avLst/>
                    </a:prstGeom>
                    <a:noFill/>
                    <a:ln>
                      <a:noFill/>
                    </a:ln>
                  </pic:spPr>
                </pic:pic>
              </a:graphicData>
            </a:graphic>
          </wp:inline>
        </w:drawing>
      </w:r>
    </w:p>
    <w:p w14:paraId="76872701">
      <w:pPr>
        <w:numPr>
          <w:ilvl w:val="0"/>
          <w:numId w:val="2"/>
        </w:numPr>
        <w:ind w:leftChars="0" w:firstLine="420" w:firstLineChars="0"/>
        <w:rPr>
          <w:rFonts w:hint="eastAsia"/>
          <w:lang w:val="en-US" w:eastAsia="zh-CN"/>
        </w:rPr>
      </w:pPr>
      <w:r>
        <w:rPr>
          <w:rFonts w:hint="eastAsia"/>
          <w:lang w:val="en-US" w:eastAsia="zh-CN"/>
        </w:rPr>
        <w:t>结算金额、补贴金额文案修改为结算规则、补贴规则</w:t>
      </w:r>
    </w:p>
    <w:p w14:paraId="3283CCA6">
      <w:pPr>
        <w:numPr>
          <w:ilvl w:val="0"/>
          <w:numId w:val="2"/>
        </w:numPr>
        <w:ind w:leftChars="0" w:firstLine="420" w:firstLineChars="0"/>
        <w:rPr>
          <w:rFonts w:hint="eastAsia"/>
          <w:lang w:val="en-US" w:eastAsia="zh-CN"/>
        </w:rPr>
      </w:pPr>
      <w:r>
        <w:rPr>
          <w:rFonts w:hint="eastAsia"/>
          <w:lang w:val="en-US" w:eastAsia="zh-CN"/>
        </w:rPr>
        <w:t>在新建、修改政策配置的弹窗中，当进行信用卡或借记卡产品类型的选择操作后，结算规则与补贴规则的部分，增设一个专门用于输入签约方金额的输入框。录入数据时，运营人员需分别录入拓卡方金额及签约方金额。目的在于后续生成结算单时，系统能够依据录入的这两个不同金额数据，区分并生成各自对应的拓卡方结算单和签约方结算单，确保两条结算数据所呈现的金额数据与配置一致。</w:t>
      </w:r>
    </w:p>
    <w:p w14:paraId="0E352374">
      <w:pPr>
        <w:rPr>
          <w:rFonts w:hint="default"/>
          <w:lang w:val="en-US" w:eastAsia="zh-CN"/>
        </w:rPr>
      </w:pPr>
      <w:r>
        <w:rPr>
          <w:rFonts w:hint="eastAsia"/>
          <w:lang w:val="en-US" w:eastAsia="zh-CN"/>
        </w:rPr>
        <w:br w:type="page"/>
      </w:r>
    </w:p>
    <w:p w14:paraId="7D72EEE0">
      <w:pPr>
        <w:numPr>
          <w:ilvl w:val="0"/>
          <w:numId w:val="0"/>
        </w:numPr>
        <w:ind w:left="420" w:leftChars="0"/>
        <w:rPr>
          <w:rFonts w:hint="eastAsia"/>
          <w:lang w:val="en-US" w:eastAsia="zh-CN"/>
        </w:rPr>
      </w:pPr>
      <w:r>
        <w:rPr>
          <w:rFonts w:hint="eastAsia"/>
          <w:lang w:val="en-US" w:eastAsia="zh-CN"/>
        </w:rPr>
        <w:t>1.1.2推客产品政策配置-新增修改时增加内容（其他产品）</w:t>
      </w:r>
    </w:p>
    <w:p w14:paraId="4E65E227">
      <w:pPr>
        <w:numPr>
          <w:ilvl w:val="0"/>
          <w:numId w:val="0"/>
        </w:numPr>
        <w:ind w:left="420" w:leftChars="0"/>
      </w:pPr>
      <w:r>
        <w:drawing>
          <wp:inline distT="0" distB="0" distL="114300" distR="114300">
            <wp:extent cx="5270500" cy="3937635"/>
            <wp:effectExtent l="0" t="0" r="12700" b="247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0500" cy="3937635"/>
                    </a:xfrm>
                    <a:prstGeom prst="rect">
                      <a:avLst/>
                    </a:prstGeom>
                    <a:noFill/>
                    <a:ln>
                      <a:noFill/>
                    </a:ln>
                  </pic:spPr>
                </pic:pic>
              </a:graphicData>
            </a:graphic>
          </wp:inline>
        </w:drawing>
      </w:r>
    </w:p>
    <w:p w14:paraId="6ABB1489">
      <w:pPr>
        <w:numPr>
          <w:ilvl w:val="0"/>
          <w:numId w:val="3"/>
        </w:numPr>
        <w:ind w:left="420" w:leftChars="0"/>
        <w:rPr>
          <w:rFonts w:hint="eastAsia"/>
          <w:lang w:eastAsia="zh-CN"/>
        </w:rPr>
      </w:pPr>
      <w:r>
        <w:rPr>
          <w:rFonts w:hint="eastAsia"/>
          <w:lang w:eastAsia="zh-CN"/>
        </w:rPr>
        <w:t>在新建、修改政策配置的弹窗中，当进行</w:t>
      </w:r>
      <w:r>
        <w:rPr>
          <w:rFonts w:hint="eastAsia"/>
          <w:lang w:val="en-US" w:eastAsia="zh-CN"/>
        </w:rPr>
        <w:t>拉新、保险、贷款</w:t>
      </w:r>
      <w:r>
        <w:rPr>
          <w:rFonts w:hint="eastAsia"/>
          <w:lang w:eastAsia="zh-CN"/>
        </w:rPr>
        <w:t>产品类型的选择操作后，结算规则与补贴规则的部分，增设专门用于输入签约方金额、</w:t>
      </w:r>
      <w:r>
        <w:rPr>
          <w:rFonts w:hint="eastAsia"/>
          <w:lang w:val="en-US" w:eastAsia="zh-CN"/>
        </w:rPr>
        <w:t>签约方比例</w:t>
      </w:r>
      <w:r>
        <w:rPr>
          <w:rFonts w:hint="eastAsia"/>
          <w:lang w:eastAsia="zh-CN"/>
        </w:rPr>
        <w:t>的输入框。录入数据时，运营人员需分别录入拓卡方金额</w:t>
      </w:r>
      <w:r>
        <w:rPr>
          <w:rFonts w:hint="eastAsia"/>
          <w:lang w:val="en-US" w:eastAsia="zh-CN"/>
        </w:rPr>
        <w:t>或比例</w:t>
      </w:r>
      <w:r>
        <w:rPr>
          <w:rFonts w:hint="eastAsia"/>
          <w:lang w:eastAsia="zh-CN"/>
        </w:rPr>
        <w:t>及签约方金额</w:t>
      </w:r>
      <w:r>
        <w:rPr>
          <w:rFonts w:hint="eastAsia"/>
          <w:lang w:val="en-US" w:eastAsia="zh-CN"/>
        </w:rPr>
        <w:t>或比例（需保持一致）</w:t>
      </w:r>
      <w:r>
        <w:rPr>
          <w:rFonts w:hint="eastAsia"/>
          <w:lang w:eastAsia="zh-CN"/>
        </w:rPr>
        <w:t>。目的在于后续生成结算单时，系统能够依据录入的这两个不同金额数据（</w:t>
      </w:r>
      <w:r>
        <w:rPr>
          <w:rFonts w:hint="eastAsia"/>
          <w:lang w:val="en-US" w:eastAsia="zh-CN"/>
        </w:rPr>
        <w:t>或比例</w:t>
      </w:r>
      <w:r>
        <w:rPr>
          <w:rFonts w:hint="eastAsia"/>
          <w:lang w:eastAsia="zh-CN"/>
        </w:rPr>
        <w:t>），区分并生成各自对应的拓卡方结算单和签约方结算单，确保两条结算数据所呈现的金额数据（</w:t>
      </w:r>
      <w:r>
        <w:rPr>
          <w:rFonts w:hint="eastAsia"/>
          <w:lang w:val="en-US" w:eastAsia="zh-CN"/>
        </w:rPr>
        <w:t>按比例计算的金额数据</w:t>
      </w:r>
      <w:r>
        <w:rPr>
          <w:rFonts w:hint="eastAsia"/>
          <w:lang w:eastAsia="zh-CN"/>
        </w:rPr>
        <w:t>）与配置一致。</w:t>
      </w:r>
    </w:p>
    <w:p w14:paraId="11A794EA">
      <w:pPr>
        <w:numPr>
          <w:ilvl w:val="0"/>
          <w:numId w:val="0"/>
        </w:numPr>
        <w:ind w:firstLine="420" w:firstLineChars="0"/>
        <w:rPr>
          <w:rFonts w:hint="eastAsia"/>
          <w:lang w:val="en-US" w:eastAsia="zh-CN"/>
        </w:rPr>
      </w:pPr>
      <w:r>
        <w:rPr>
          <w:rFonts w:hint="eastAsia"/>
          <w:lang w:val="en-US" w:eastAsia="zh-CN"/>
        </w:rPr>
        <w:t>1.1.3批量导入、批量修改（批量修改放下一期）支持新字段</w:t>
      </w:r>
    </w:p>
    <w:p w14:paraId="1BBFEA2B">
      <w:pPr>
        <w:numPr>
          <w:ilvl w:val="0"/>
          <w:numId w:val="0"/>
        </w:numPr>
        <w:ind w:firstLine="420" w:firstLineChars="0"/>
        <w:rPr>
          <w:rFonts w:hint="default"/>
          <w:lang w:val="en-US" w:eastAsia="zh-CN"/>
        </w:rPr>
      </w:pPr>
      <w:r>
        <w:rPr>
          <w:rFonts w:hint="default"/>
          <w:lang w:val="en-US" w:eastAsia="zh-CN"/>
        </w:rPr>
        <w:object>
          <v:shape id="_x0000_i1025" o:spt="75" type="#_x0000_t75" style="height:77.9pt;width:77.9pt;" o:ole="t" filled="f" o:preferrelative="t" stroked="f" coordsize="21600,21600">
            <v:path/>
            <v:fill on="f" focussize="0,0"/>
            <v:stroke on="f"/>
            <v:imagedata r:id="rId7" o:title="oleimage"/>
            <o:lock v:ext="edit" aspectratio="t"/>
            <w10:wrap type="none"/>
            <w10:anchorlock/>
          </v:shape>
          <o:OLEObject Type="Embed" ProgID="Excel.Sheet.12" ShapeID="_x0000_i1025" DrawAspect="Icon" ObjectID="_1468075725" r:id="rId6">
            <o:LockedField>false</o:LockedField>
          </o:OLEObject>
        </w:object>
      </w:r>
    </w:p>
    <w:p w14:paraId="7315001F">
      <w:pPr>
        <w:numPr>
          <w:ilvl w:val="0"/>
          <w:numId w:val="0"/>
        </w:numPr>
        <w:ind w:firstLine="420" w:firstLineChars="0"/>
        <w:rPr>
          <w:rFonts w:hint="eastAsia"/>
          <w:lang w:val="en-US" w:eastAsia="zh-CN"/>
        </w:rPr>
      </w:pPr>
      <w:r>
        <w:rPr>
          <w:rFonts w:hint="eastAsia"/>
          <w:lang w:val="en-US" w:eastAsia="zh-CN"/>
        </w:rPr>
        <w:t>新增了签约方结算金额、签约方结算比例，签约方补贴金额，签约方补贴比例字段的导入。</w:t>
      </w:r>
    </w:p>
    <w:p w14:paraId="2E4DDC04">
      <w:pPr>
        <w:numPr>
          <w:ilvl w:val="0"/>
          <w:numId w:val="0"/>
        </w:numPr>
        <w:ind w:firstLine="420" w:firstLineChars="0"/>
        <w:rPr>
          <w:rFonts w:hint="eastAsia"/>
          <w:lang w:val="en-US" w:eastAsia="zh-CN"/>
        </w:rPr>
      </w:pPr>
      <w:r>
        <w:rPr>
          <w:rFonts w:hint="eastAsia"/>
          <w:lang w:val="en-US" w:eastAsia="zh-CN"/>
        </w:rPr>
        <w:t>签约方结算金额、签约方结算比例，签约方补贴金额，签约方补贴比例的字段允许为空，或为纯数字，导入后将对应数值保存至数据库中。</w:t>
      </w:r>
    </w:p>
    <w:p w14:paraId="70BBB383">
      <w:pPr>
        <w:numPr>
          <w:ilvl w:val="0"/>
          <w:numId w:val="0"/>
        </w:numPr>
        <w:ind w:firstLine="420" w:firstLineChars="0"/>
        <w:rPr>
          <w:rFonts w:hint="eastAsia"/>
          <w:lang w:val="en-US" w:eastAsia="zh-CN"/>
        </w:rPr>
      </w:pPr>
      <w:r>
        <w:rPr>
          <w:rFonts w:hint="eastAsia"/>
          <w:lang w:val="en-US" w:eastAsia="zh-CN"/>
        </w:rPr>
        <w:t>现有数据不做变动，功能上线后新导入新政策时进行增加该部分字段即可。</w:t>
      </w:r>
    </w:p>
    <w:p w14:paraId="58214FEE">
      <w:pPr>
        <w:numPr>
          <w:ilvl w:val="0"/>
          <w:numId w:val="0"/>
        </w:numPr>
        <w:ind w:firstLine="420" w:firstLineChars="0"/>
        <w:rPr>
          <w:rFonts w:hint="eastAsia"/>
          <w:lang w:val="en-US" w:eastAsia="zh-CN"/>
        </w:rPr>
      </w:pPr>
      <w:r>
        <w:rPr>
          <w:rFonts w:hint="eastAsia"/>
          <w:lang w:val="en-US" w:eastAsia="zh-CN"/>
        </w:rPr>
        <w:t>1.1.4同步拓客结算规则</w:t>
      </w:r>
    </w:p>
    <w:p w14:paraId="6FA8CFDC">
      <w:pPr>
        <w:numPr>
          <w:ilvl w:val="0"/>
          <w:numId w:val="0"/>
        </w:numPr>
        <w:ind w:firstLine="420" w:firstLineChars="0"/>
        <w:rPr>
          <w:rFonts w:hint="default"/>
          <w:lang w:val="en-US" w:eastAsia="zh-CN"/>
        </w:rPr>
      </w:pPr>
      <w:r>
        <w:rPr>
          <w:rFonts w:hint="eastAsia"/>
          <w:lang w:val="en-US" w:eastAsia="zh-CN"/>
        </w:rPr>
        <w:t>同步时只同步第一档的拓卡方金额、比例。</w:t>
      </w:r>
    </w:p>
    <w:p w14:paraId="5A676C76">
      <w:pPr>
        <w:numPr>
          <w:ilvl w:val="1"/>
          <w:numId w:val="1"/>
        </w:numPr>
        <w:ind w:left="0" w:leftChars="0" w:firstLine="0" w:firstLineChars="0"/>
        <w:rPr>
          <w:rFonts w:hint="default"/>
          <w:lang w:val="en-US" w:eastAsia="zh-CN"/>
        </w:rPr>
      </w:pPr>
      <w:r>
        <w:rPr>
          <w:rFonts w:hint="eastAsia"/>
          <w:lang w:val="en-US" w:eastAsia="zh-CN"/>
        </w:rPr>
        <w:t>结算单生成功能优化</w:t>
      </w:r>
    </w:p>
    <w:p w14:paraId="69B9C88B">
      <w:pPr>
        <w:numPr>
          <w:ilvl w:val="2"/>
          <w:numId w:val="1"/>
        </w:numPr>
        <w:ind w:left="0" w:leftChars="0" w:firstLine="0" w:firstLineChars="0"/>
        <w:rPr>
          <w:rFonts w:hint="eastAsia"/>
          <w:lang w:val="en-US" w:eastAsia="zh-CN"/>
        </w:rPr>
      </w:pPr>
      <w:r>
        <w:rPr>
          <w:rFonts w:hint="eastAsia"/>
          <w:lang w:val="en-US" w:eastAsia="zh-CN"/>
        </w:rPr>
        <w:t>触发条件：非2.0模式的渠道，当订单达到既定结算标准，进入结算单生成环节时，除执行原有结算单生成逻辑外，需依据最新政策配置执行为签约方生成结算单的操作。如果签约方金额、比例为0，则跳过该操作。</w:t>
      </w:r>
    </w:p>
    <w:p w14:paraId="2FD1FA0C">
      <w:pPr>
        <w:numPr>
          <w:ilvl w:val="2"/>
          <w:numId w:val="1"/>
        </w:numPr>
        <w:ind w:left="0" w:leftChars="0" w:firstLine="0" w:firstLineChars="0"/>
        <w:rPr>
          <w:rFonts w:hint="eastAsia"/>
          <w:lang w:val="en-US" w:eastAsia="zh-CN"/>
        </w:rPr>
      </w:pPr>
      <w:r>
        <w:rPr>
          <w:rFonts w:hint="eastAsia"/>
          <w:lang w:val="en-US" w:eastAsia="zh-CN"/>
        </w:rPr>
        <w:t>为签约方生成结算单：需生成一条收益方为签约方的结算单。该结算单金额取值为当前订单对应的政策配置中针对签约方所设定的对应金额数值（或按比例计算所得奖励金额数值）。</w:t>
      </w:r>
    </w:p>
    <w:p w14:paraId="3E5861CD">
      <w:pPr>
        <w:numPr>
          <w:ilvl w:val="2"/>
          <w:numId w:val="1"/>
        </w:numPr>
        <w:ind w:left="0" w:leftChars="0" w:firstLine="0" w:firstLineChars="0"/>
        <w:rPr>
          <w:rFonts w:hint="default"/>
          <w:lang w:val="en-US" w:eastAsia="zh-CN"/>
        </w:rPr>
      </w:pPr>
      <w:r>
        <w:rPr>
          <w:rFonts w:hint="eastAsia"/>
          <w:lang w:val="en-US" w:eastAsia="zh-CN"/>
        </w:rPr>
        <w:t>数据准确性要求：需确保系统对新结算单的生成逻辑准确无误，在测试环节，重点针对该新结算单的生成流程及金额准确性进行全面、细致的测试，若发现任何问题或异常情况，应及时反馈并沟通解决方案 。</w:t>
      </w:r>
    </w:p>
    <w:p w14:paraId="11DC519C">
      <w:pPr>
        <w:numPr>
          <w:ilvl w:val="2"/>
          <w:numId w:val="1"/>
        </w:numPr>
        <w:ind w:left="0" w:leftChars="0" w:firstLine="0" w:firstLineChars="0"/>
        <w:rPr>
          <w:rFonts w:hint="default"/>
          <w:lang w:val="en-US" w:eastAsia="zh-CN"/>
        </w:rPr>
      </w:pPr>
      <w:r>
        <w:rPr>
          <w:rFonts w:hint="eastAsia"/>
          <w:lang w:val="en-US" w:eastAsia="zh-CN"/>
        </w:rPr>
        <w:t>分润模式未2.0的渠道，结算单生成规则保持不变。</w:t>
      </w:r>
    </w:p>
    <w:p w14:paraId="11204FB7">
      <w:pPr>
        <w:numPr>
          <w:ilvl w:val="2"/>
          <w:numId w:val="1"/>
        </w:numPr>
        <w:ind w:left="0" w:leftChars="0" w:firstLine="0" w:firstLineChars="0"/>
        <w:rPr>
          <w:rFonts w:hint="default"/>
          <w:lang w:val="en-US" w:eastAsia="zh-CN"/>
        </w:rPr>
      </w:pPr>
      <w:r>
        <w:rPr>
          <w:rFonts w:hint="eastAsia"/>
          <w:lang w:val="en-US" w:eastAsia="zh-CN"/>
        </w:rPr>
        <w:t>账单类型增加签约方收益。</w:t>
      </w:r>
    </w:p>
    <w:p w14:paraId="704C8B55">
      <w:pPr>
        <w:numPr>
          <w:ilvl w:val="1"/>
          <w:numId w:val="1"/>
        </w:numPr>
        <w:ind w:left="0" w:leftChars="0" w:firstLine="0" w:firstLineChars="0"/>
        <w:rPr>
          <w:rFonts w:hint="default"/>
          <w:lang w:val="en-US" w:eastAsia="zh-CN"/>
        </w:rPr>
      </w:pPr>
      <w:r>
        <w:rPr>
          <w:rFonts w:hint="default"/>
          <w:lang w:val="en-US" w:eastAsia="zh-CN"/>
        </w:rPr>
        <w:t>一代产品政策页面逻辑调整</w:t>
      </w:r>
    </w:p>
    <w:p w14:paraId="53037C58">
      <w:pPr>
        <w:numPr>
          <w:ilvl w:val="0"/>
          <w:numId w:val="0"/>
        </w:numPr>
        <w:ind w:leftChars="0" w:firstLine="420" w:firstLineChars="0"/>
      </w:pPr>
      <w:r>
        <w:drawing>
          <wp:inline distT="0" distB="0" distL="114300" distR="114300">
            <wp:extent cx="1490980" cy="3241040"/>
            <wp:effectExtent l="0" t="0" r="762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1490980" cy="3241040"/>
                    </a:xfrm>
                    <a:prstGeom prst="rect">
                      <a:avLst/>
                    </a:prstGeom>
                    <a:noFill/>
                    <a:ln>
                      <a:noFill/>
                    </a:ln>
                  </pic:spPr>
                </pic:pic>
              </a:graphicData>
            </a:graphic>
          </wp:inline>
        </w:drawing>
      </w:r>
      <w:r>
        <w:drawing>
          <wp:inline distT="0" distB="0" distL="114300" distR="114300">
            <wp:extent cx="1495425" cy="3241675"/>
            <wp:effectExtent l="0" t="0" r="317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95425" cy="3241675"/>
                    </a:xfrm>
                    <a:prstGeom prst="rect">
                      <a:avLst/>
                    </a:prstGeom>
                    <a:noFill/>
                    <a:ln>
                      <a:noFill/>
                    </a:ln>
                  </pic:spPr>
                </pic:pic>
              </a:graphicData>
            </a:graphic>
          </wp:inline>
        </w:drawing>
      </w:r>
      <w:r>
        <w:drawing>
          <wp:inline distT="0" distB="0" distL="114300" distR="114300">
            <wp:extent cx="1494155" cy="3237865"/>
            <wp:effectExtent l="0" t="0" r="4445" b="133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1494155" cy="3237865"/>
                    </a:xfrm>
                    <a:prstGeom prst="rect">
                      <a:avLst/>
                    </a:prstGeom>
                    <a:noFill/>
                    <a:ln>
                      <a:noFill/>
                    </a:ln>
                  </pic:spPr>
                </pic:pic>
              </a:graphicData>
            </a:graphic>
          </wp:inline>
        </w:drawing>
      </w:r>
    </w:p>
    <w:p w14:paraId="0FD2F1C1">
      <w:pPr>
        <w:numPr>
          <w:ilvl w:val="0"/>
          <w:numId w:val="4"/>
        </w:numPr>
        <w:ind w:leftChars="0" w:firstLine="420" w:firstLineChars="0"/>
        <w:rPr>
          <w:rFonts w:hint="default"/>
          <w:lang w:val="en-US" w:eastAsia="zh-CN"/>
        </w:rPr>
      </w:pPr>
      <w:r>
        <w:rPr>
          <w:rFonts w:hint="eastAsia"/>
          <w:lang w:val="en-US" w:eastAsia="zh-CN"/>
        </w:rPr>
        <w:t>产品列表页面中的政策金额、比例，展示的还是对应渠道拓卡方奖励、拓卡方补贴乘以真实分润比例后的数值。</w:t>
      </w:r>
    </w:p>
    <w:p w14:paraId="54BB7AE0">
      <w:pPr>
        <w:numPr>
          <w:ilvl w:val="0"/>
          <w:numId w:val="4"/>
        </w:numPr>
        <w:ind w:leftChars="0" w:firstLine="420" w:firstLineChars="0"/>
        <w:rPr>
          <w:rFonts w:hint="default"/>
          <w:lang w:val="en-US" w:eastAsia="zh-CN"/>
        </w:rPr>
      </w:pPr>
      <w:r>
        <w:rPr>
          <w:rFonts w:hint="eastAsia"/>
          <w:lang w:val="en-US" w:eastAsia="zh-CN"/>
        </w:rPr>
        <w:t>产品政策页面调整为列表卡片模式，在顶部提供类别选择栏，可选择当前用户对应渠道存在的产品政策类别+分组。类别的展示条件为渠道信息管理中勾选了该类别，且该类别存</w:t>
      </w:r>
      <w:r>
        <w:rPr>
          <w:rFonts w:hint="eastAsia"/>
          <w:color w:val="E54C5E" w:themeColor="accent6"/>
          <w:lang w:val="en-US" w:eastAsia="zh-CN"/>
          <w14:textFill>
            <w14:solidFill>
              <w14:schemeClr w14:val="accent6"/>
            </w14:solidFill>
          </w14:textFill>
        </w:rPr>
        <w:t>在当前生效中</w:t>
      </w:r>
      <w:r>
        <w:rPr>
          <w:rFonts w:hint="eastAsia"/>
          <w:lang w:val="en-US" w:eastAsia="zh-CN"/>
        </w:rPr>
        <w:t>的产品政策配置；分组的展示条件为渠道信息管理中</w:t>
      </w:r>
      <w:r>
        <w:rPr>
          <w:rFonts w:hint="eastAsia"/>
          <w:color w:val="E54C5E" w:themeColor="accent6"/>
          <w:lang w:val="en-US" w:eastAsia="zh-CN"/>
          <w14:textFill>
            <w14:solidFill>
              <w14:schemeClr w14:val="accent6"/>
            </w14:solidFill>
          </w14:textFill>
        </w:rPr>
        <w:t>勾选了该分组</w:t>
      </w:r>
      <w:r>
        <w:rPr>
          <w:rFonts w:hint="eastAsia"/>
          <w:lang w:val="en-US" w:eastAsia="zh-CN"/>
        </w:rPr>
        <w:t>，且该</w:t>
      </w:r>
      <w:r>
        <w:rPr>
          <w:rFonts w:hint="eastAsia"/>
          <w:color w:val="E54C5E" w:themeColor="accent6"/>
          <w:lang w:val="en-US" w:eastAsia="zh-CN"/>
          <w14:textFill>
            <w14:solidFill>
              <w14:schemeClr w14:val="accent6"/>
            </w14:solidFill>
          </w14:textFill>
        </w:rPr>
        <w:t>分组为启用状态</w:t>
      </w:r>
      <w:r>
        <w:rPr>
          <w:rFonts w:hint="eastAsia"/>
          <w:lang w:val="en-US" w:eastAsia="zh-CN"/>
        </w:rPr>
        <w:t>，且该分组存在</w:t>
      </w:r>
      <w:r>
        <w:rPr>
          <w:rFonts w:hint="eastAsia"/>
          <w:color w:val="E54C5E" w:themeColor="accent6"/>
          <w:lang w:val="en-US" w:eastAsia="zh-CN"/>
          <w14:textFill>
            <w14:solidFill>
              <w14:schemeClr w14:val="accent6"/>
            </w14:solidFill>
          </w14:textFill>
        </w:rPr>
        <w:t>当前生效中的产品政策配置</w:t>
      </w:r>
      <w:r>
        <w:rPr>
          <w:rFonts w:hint="eastAsia"/>
          <w:lang w:val="en-US" w:eastAsia="zh-CN"/>
        </w:rPr>
        <w:t>。</w:t>
      </w:r>
    </w:p>
    <w:p w14:paraId="490363B9">
      <w:pPr>
        <w:numPr>
          <w:ilvl w:val="0"/>
          <w:numId w:val="4"/>
        </w:numPr>
        <w:ind w:leftChars="0" w:firstLine="420" w:firstLineChars="0"/>
        <w:rPr>
          <w:rFonts w:hint="default"/>
          <w:lang w:val="en-US" w:eastAsia="zh-CN"/>
        </w:rPr>
      </w:pPr>
      <w:r>
        <w:rPr>
          <w:rFonts w:hint="eastAsia"/>
          <w:lang w:val="en-US" w:eastAsia="zh-CN"/>
        </w:rPr>
        <w:t>产品政策页面中列表内容为产品名称（取银行简称或产品名称）、达标标准（取推客产品政策配置中的展示名称）、</w:t>
      </w:r>
      <w:r>
        <w:rPr>
          <w:rFonts w:hint="eastAsia"/>
          <w:color w:val="E54C5E" w:themeColor="accent6"/>
          <w:lang w:val="en-US" w:eastAsia="zh-CN"/>
          <w14:textFill>
            <w14:solidFill>
              <w14:schemeClr w14:val="accent6"/>
            </w14:solidFill>
          </w14:textFill>
        </w:rPr>
        <w:t>总奖励</w:t>
      </w:r>
      <w:r>
        <w:rPr>
          <w:rFonts w:hint="eastAsia"/>
          <w:lang w:val="en-US" w:eastAsia="zh-CN"/>
        </w:rPr>
        <w:t>（拓卡方结算金额与签约方结算金额的和+拓卡方补贴金额与签约方补贴金额的和）、</w:t>
      </w:r>
      <w:r>
        <w:rPr>
          <w:rFonts w:hint="eastAsia"/>
          <w:color w:val="E54C5E" w:themeColor="accent6"/>
          <w:lang w:val="en-US" w:eastAsia="zh-CN"/>
          <w14:textFill>
            <w14:solidFill>
              <w14:schemeClr w14:val="accent6"/>
            </w14:solidFill>
          </w14:textFill>
        </w:rPr>
        <w:t>直推奖励</w:t>
      </w:r>
      <w:r>
        <w:rPr>
          <w:rFonts w:hint="eastAsia"/>
          <w:lang w:val="en-US" w:eastAsia="zh-CN"/>
        </w:rPr>
        <w:t>（</w:t>
      </w:r>
      <w:r>
        <w:rPr>
          <w:rFonts w:hint="eastAsia" w:ascii="宋体" w:hAnsi="宋体" w:eastAsia="宋体" w:cs="宋体"/>
          <w:kern w:val="2"/>
          <w:sz w:val="21"/>
          <w:szCs w:val="21"/>
          <w:lang w:val="en-US" w:eastAsia="zh-CN" w:bidi="ar"/>
        </w:rPr>
        <w:t>拓卡方结算金额+</w:t>
      </w:r>
      <w:r>
        <w:rPr>
          <w:rFonts w:hint="eastAsia"/>
          <w:lang w:val="en-US" w:eastAsia="zh-CN"/>
        </w:rPr>
        <w:t>拓卡方补贴金额）、</w:t>
      </w:r>
      <w:r>
        <w:rPr>
          <w:rFonts w:hint="eastAsia"/>
          <w:color w:val="E54C5E" w:themeColor="accent6"/>
          <w:lang w:val="en-US" w:eastAsia="zh-CN"/>
          <w14:textFill>
            <w14:solidFill>
              <w14:schemeClr w14:val="accent6"/>
            </w14:solidFill>
          </w14:textFill>
        </w:rPr>
        <w:t>机构奖励</w:t>
      </w:r>
      <w:r>
        <w:rPr>
          <w:rFonts w:hint="eastAsia"/>
          <w:lang w:val="en-US" w:eastAsia="zh-CN"/>
        </w:rPr>
        <w:t>（签约方结算金额+签约方补贴金额）。若为贷款、拉新、保险产品，则可能为结算比例或补贴比例。</w:t>
      </w:r>
    </w:p>
    <w:p w14:paraId="5FB994F9">
      <w:pPr>
        <w:numPr>
          <w:ilvl w:val="0"/>
          <w:numId w:val="4"/>
        </w:numPr>
        <w:ind w:leftChars="0" w:firstLine="420" w:firstLineChars="0"/>
        <w:rPr>
          <w:rFonts w:hint="default"/>
          <w:lang w:val="en-US" w:eastAsia="zh-CN"/>
        </w:rPr>
      </w:pPr>
      <w:r>
        <w:rPr>
          <w:rFonts w:hint="eastAsia"/>
          <w:lang w:val="en-US" w:eastAsia="zh-CN"/>
        </w:rPr>
        <w:t>截止日期为当前生效政策的截止日期。</w:t>
      </w:r>
    </w:p>
    <w:p w14:paraId="5D72CD16">
      <w:pPr>
        <w:rPr>
          <w:rFonts w:hint="default"/>
          <w:lang w:val="en-US" w:eastAsia="zh-CN"/>
        </w:rPr>
      </w:pPr>
      <w:r>
        <w:rPr>
          <w:rFonts w:hint="eastAsia"/>
          <w:lang w:val="en-US" w:eastAsia="zh-CN"/>
        </w:rPr>
        <w:br w:type="page"/>
      </w:r>
    </w:p>
    <w:p w14:paraId="00142685">
      <w:pPr>
        <w:numPr>
          <w:ilvl w:val="1"/>
          <w:numId w:val="1"/>
        </w:numPr>
        <w:ind w:left="0" w:leftChars="0" w:firstLine="0" w:firstLineChars="0"/>
        <w:rPr>
          <w:rFonts w:hint="default"/>
          <w:lang w:val="en-US" w:eastAsia="zh-CN"/>
        </w:rPr>
      </w:pPr>
      <w:r>
        <w:rPr>
          <w:rFonts w:hint="eastAsia"/>
          <w:lang w:val="en-US" w:eastAsia="zh-CN"/>
        </w:rPr>
        <w:t>切换前后订单处理</w:t>
      </w:r>
    </w:p>
    <w:p w14:paraId="526BDA63">
      <w:pPr>
        <w:numPr>
          <w:ilvl w:val="0"/>
          <w:numId w:val="5"/>
        </w:numPr>
        <w:ind w:leftChars="0" w:firstLine="420" w:firstLineChars="0"/>
        <w:rPr>
          <w:rFonts w:hint="eastAsia"/>
          <w:lang w:val="en-US" w:eastAsia="zh-CN"/>
        </w:rPr>
      </w:pPr>
      <w:r>
        <w:rPr>
          <w:rFonts w:hint="eastAsia"/>
          <w:lang w:val="en-US" w:eastAsia="zh-CN"/>
        </w:rPr>
        <w:t>2月25日前，导出所有开启自定义比例的机构的签约方编号，和这些签约方的每个产品的分润比例，以及各渠道的默认比例导入到趣伴卡系统生成临时表：拓客分润比例表。</w:t>
      </w:r>
    </w:p>
    <w:p w14:paraId="3A1C6E03">
      <w:pPr>
        <w:numPr>
          <w:ilvl w:val="0"/>
          <w:numId w:val="0"/>
        </w:numPr>
        <w:ind w:left="420" w:leftChars="0" w:firstLine="420" w:firstLineChars="0"/>
        <w:rPr>
          <w:rFonts w:hint="eastAsia"/>
          <w:lang w:val="en-US" w:eastAsia="zh-CN"/>
        </w:rPr>
      </w:pPr>
      <w:r>
        <w:rPr>
          <w:rFonts w:hint="eastAsia"/>
          <w:lang w:val="en-US" w:eastAsia="zh-CN"/>
        </w:rPr>
        <w:t>格式：配置类型+渠道编码+签约方编号+产品类型+分润类型+产品编码+签约方比例+拓卡方比例</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147"/>
        <w:gridCol w:w="1131"/>
        <w:gridCol w:w="1039"/>
        <w:gridCol w:w="1076"/>
        <w:gridCol w:w="1190"/>
        <w:gridCol w:w="861"/>
        <w:gridCol w:w="1039"/>
        <w:gridCol w:w="1039"/>
      </w:tblGrid>
      <w:tr w14:paraId="0887C7F7">
        <w:trPr>
          <w:trHeight w:val="336" w:hRule="atLeast"/>
        </w:trPr>
        <w:tc>
          <w:tcPr>
            <w:tcW w:w="560" w:type="pct"/>
            <w:tcBorders>
              <w:top w:val="single" w:color="000000" w:sz="4" w:space="0"/>
              <w:left w:val="single" w:color="000000" w:sz="4" w:space="0"/>
              <w:bottom w:val="single" w:color="000000" w:sz="4" w:space="0"/>
              <w:right w:val="single" w:color="000000" w:sz="4" w:space="0"/>
            </w:tcBorders>
            <w:shd w:val="clear"/>
            <w:noWrap/>
            <w:vAlign w:val="center"/>
          </w:tcPr>
          <w:p w14:paraId="314BC862">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配置类型</w:t>
            </w:r>
          </w:p>
        </w:tc>
        <w:tc>
          <w:tcPr>
            <w:tcW w:w="698" w:type="pct"/>
            <w:tcBorders>
              <w:top w:val="single" w:color="000000" w:sz="4" w:space="0"/>
              <w:left w:val="single" w:color="000000" w:sz="4" w:space="0"/>
              <w:bottom w:val="single" w:color="000000" w:sz="4" w:space="0"/>
              <w:right w:val="single" w:color="000000" w:sz="4" w:space="0"/>
            </w:tcBorders>
            <w:shd w:val="clear"/>
            <w:noWrap/>
            <w:vAlign w:val="center"/>
          </w:tcPr>
          <w:p w14:paraId="1EB4AC8F">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渠道编码</w:t>
            </w: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45807845">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签约方编号</w:t>
            </w: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69A19EA4">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产品类型</w:t>
            </w:r>
          </w:p>
        </w:tc>
        <w:tc>
          <w:tcPr>
            <w:tcW w:w="732" w:type="pct"/>
            <w:tcBorders>
              <w:top w:val="single" w:color="000000" w:sz="4" w:space="0"/>
              <w:left w:val="single" w:color="000000" w:sz="4" w:space="0"/>
              <w:bottom w:val="single" w:color="000000" w:sz="4" w:space="0"/>
              <w:right w:val="single" w:color="000000" w:sz="4" w:space="0"/>
            </w:tcBorders>
            <w:shd w:val="clear"/>
            <w:noWrap/>
            <w:vAlign w:val="center"/>
          </w:tcPr>
          <w:p w14:paraId="454CC7F2">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分润类型</w:t>
            </w: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0035EB17">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产品编码</w:t>
            </w: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320443D2">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签约方比例</w:t>
            </w: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1B341300">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拓卡方比例</w:t>
            </w:r>
          </w:p>
        </w:tc>
      </w:tr>
      <w:tr w14:paraId="62C68066">
        <w:trPr>
          <w:trHeight w:val="336" w:hRule="atLeast"/>
        </w:trPr>
        <w:tc>
          <w:tcPr>
            <w:tcW w:w="560" w:type="pct"/>
            <w:tcBorders>
              <w:top w:val="single" w:color="000000" w:sz="4" w:space="0"/>
              <w:left w:val="single" w:color="000000" w:sz="4" w:space="0"/>
              <w:bottom w:val="single" w:color="000000" w:sz="4" w:space="0"/>
              <w:right w:val="single" w:color="000000" w:sz="4" w:space="0"/>
            </w:tcBorders>
            <w:shd w:val="clear"/>
            <w:noWrap/>
            <w:vAlign w:val="center"/>
          </w:tcPr>
          <w:p w14:paraId="374FE229">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CHANNEL</w:t>
            </w:r>
          </w:p>
        </w:tc>
        <w:tc>
          <w:tcPr>
            <w:tcW w:w="698" w:type="pct"/>
            <w:tcBorders>
              <w:top w:val="single" w:color="000000" w:sz="4" w:space="0"/>
              <w:left w:val="single" w:color="000000" w:sz="4" w:space="0"/>
              <w:bottom w:val="single" w:color="000000" w:sz="4" w:space="0"/>
              <w:right w:val="single" w:color="000000" w:sz="4" w:space="0"/>
            </w:tcBorders>
            <w:shd w:val="clear"/>
            <w:noWrap/>
            <w:vAlign w:val="center"/>
          </w:tcPr>
          <w:p w14:paraId="25915831">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HTKTK_APP</w:t>
            </w: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673437BF">
            <w:pPr>
              <w:rPr>
                <w:rFonts w:hint="eastAsia" w:ascii="宋体" w:hAnsi="宋体" w:eastAsia="宋体" w:cs="宋体"/>
                <w:i w:val="0"/>
                <w:iCs w:val="0"/>
                <w:color w:val="000000"/>
                <w:sz w:val="16"/>
                <w:szCs w:val="16"/>
                <w:u w:val="none"/>
              </w:rPr>
            </w:pP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6B6F7F86">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CREDIT</w:t>
            </w:r>
          </w:p>
        </w:tc>
        <w:tc>
          <w:tcPr>
            <w:tcW w:w="732" w:type="pct"/>
            <w:tcBorders>
              <w:top w:val="single" w:color="000000" w:sz="4" w:space="0"/>
              <w:left w:val="single" w:color="000000" w:sz="4" w:space="0"/>
              <w:bottom w:val="single" w:color="000000" w:sz="4" w:space="0"/>
              <w:right w:val="single" w:color="000000" w:sz="4" w:space="0"/>
            </w:tcBorders>
            <w:shd w:val="clear"/>
            <w:noWrap/>
            <w:vAlign w:val="center"/>
          </w:tcPr>
          <w:p w14:paraId="7BC34955">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PRODTYPE</w:t>
            </w: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5C6325A0">
            <w:pPr>
              <w:rPr>
                <w:rFonts w:hint="eastAsia" w:ascii="宋体" w:hAnsi="宋体" w:eastAsia="宋体" w:cs="宋体"/>
                <w:i w:val="0"/>
                <w:iCs w:val="0"/>
                <w:color w:val="000000"/>
                <w:sz w:val="16"/>
                <w:szCs w:val="16"/>
                <w:u w:val="none"/>
              </w:rPr>
            </w:pP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45F2A213">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0.1</w:t>
            </w: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4407EE03">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0.9</w:t>
            </w:r>
          </w:p>
        </w:tc>
      </w:tr>
      <w:tr w14:paraId="555034C1">
        <w:trPr>
          <w:trHeight w:val="336" w:hRule="atLeast"/>
        </w:trPr>
        <w:tc>
          <w:tcPr>
            <w:tcW w:w="560" w:type="pct"/>
            <w:tcBorders>
              <w:top w:val="single" w:color="000000" w:sz="4" w:space="0"/>
              <w:left w:val="single" w:color="000000" w:sz="4" w:space="0"/>
              <w:bottom w:val="single" w:color="000000" w:sz="4" w:space="0"/>
              <w:right w:val="single" w:color="000000" w:sz="4" w:space="0"/>
            </w:tcBorders>
            <w:shd w:val="clear"/>
            <w:noWrap/>
            <w:vAlign w:val="center"/>
          </w:tcPr>
          <w:p w14:paraId="651BD7B8">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SIGN_AGENT</w:t>
            </w:r>
          </w:p>
        </w:tc>
        <w:tc>
          <w:tcPr>
            <w:tcW w:w="698" w:type="pct"/>
            <w:tcBorders>
              <w:top w:val="single" w:color="000000" w:sz="4" w:space="0"/>
              <w:left w:val="single" w:color="000000" w:sz="4" w:space="0"/>
              <w:bottom w:val="single" w:color="000000" w:sz="4" w:space="0"/>
              <w:right w:val="single" w:color="000000" w:sz="4" w:space="0"/>
            </w:tcBorders>
            <w:shd w:val="clear"/>
            <w:noWrap/>
            <w:vAlign w:val="center"/>
          </w:tcPr>
          <w:p w14:paraId="46E617BB">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HAOTK_APP</w:t>
            </w: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44C17996">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20224436</w:t>
            </w: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4EB6E1E8">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LOAN</w:t>
            </w:r>
          </w:p>
        </w:tc>
        <w:tc>
          <w:tcPr>
            <w:tcW w:w="732" w:type="pct"/>
            <w:tcBorders>
              <w:top w:val="single" w:color="000000" w:sz="4" w:space="0"/>
              <w:left w:val="single" w:color="000000" w:sz="4" w:space="0"/>
              <w:bottom w:val="single" w:color="000000" w:sz="4" w:space="0"/>
              <w:right w:val="single" w:color="000000" w:sz="4" w:space="0"/>
            </w:tcBorders>
            <w:shd w:val="clear"/>
            <w:noWrap/>
            <w:vAlign w:val="center"/>
          </w:tcPr>
          <w:p w14:paraId="2E8D7E0C">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SINGLEPROD</w:t>
            </w: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064F3A77">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ZXYHSS</w:t>
            </w: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2860F189">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0.2</w:t>
            </w: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14D9B81D">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0.8</w:t>
            </w:r>
          </w:p>
        </w:tc>
      </w:tr>
      <w:tr w14:paraId="327D3794">
        <w:trPr>
          <w:trHeight w:val="336" w:hRule="atLeast"/>
        </w:trPr>
        <w:tc>
          <w:tcPr>
            <w:tcW w:w="560" w:type="pct"/>
            <w:tcBorders>
              <w:top w:val="single" w:color="000000" w:sz="4" w:space="0"/>
              <w:left w:val="single" w:color="000000" w:sz="4" w:space="0"/>
              <w:bottom w:val="single" w:color="000000" w:sz="4" w:space="0"/>
              <w:right w:val="single" w:color="000000" w:sz="4" w:space="0"/>
            </w:tcBorders>
            <w:shd w:val="clear"/>
            <w:noWrap/>
            <w:vAlign w:val="center"/>
          </w:tcPr>
          <w:p w14:paraId="55089E4B">
            <w:pPr>
              <w:rPr>
                <w:rFonts w:hint="eastAsia" w:ascii="宋体" w:hAnsi="宋体" w:eastAsia="宋体" w:cs="宋体"/>
                <w:i w:val="0"/>
                <w:iCs w:val="0"/>
                <w:color w:val="000000"/>
                <w:sz w:val="16"/>
                <w:szCs w:val="16"/>
                <w:u w:val="none"/>
              </w:rPr>
            </w:pPr>
          </w:p>
        </w:tc>
        <w:tc>
          <w:tcPr>
            <w:tcW w:w="698" w:type="pct"/>
            <w:tcBorders>
              <w:top w:val="single" w:color="000000" w:sz="4" w:space="0"/>
              <w:left w:val="single" w:color="000000" w:sz="4" w:space="0"/>
              <w:bottom w:val="single" w:color="000000" w:sz="4" w:space="0"/>
              <w:right w:val="single" w:color="000000" w:sz="4" w:space="0"/>
            </w:tcBorders>
            <w:shd w:val="clear"/>
            <w:noWrap/>
            <w:vAlign w:val="center"/>
          </w:tcPr>
          <w:p w14:paraId="1E002C73">
            <w:pPr>
              <w:rPr>
                <w:rFonts w:hint="eastAsia" w:ascii="宋体" w:hAnsi="宋体" w:eastAsia="宋体" w:cs="宋体"/>
                <w:i w:val="0"/>
                <w:iCs w:val="0"/>
                <w:color w:val="000000"/>
                <w:sz w:val="16"/>
                <w:szCs w:val="16"/>
                <w:u w:val="none"/>
              </w:rPr>
            </w:pP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03907BC4">
            <w:pPr>
              <w:rPr>
                <w:rFonts w:hint="eastAsia" w:ascii="宋体" w:hAnsi="宋体" w:eastAsia="宋体" w:cs="宋体"/>
                <w:i w:val="0"/>
                <w:iCs w:val="0"/>
                <w:color w:val="000000"/>
                <w:sz w:val="16"/>
                <w:szCs w:val="16"/>
                <w:u w:val="none"/>
              </w:rPr>
            </w:pP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1DF2C23E">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INSURANCE</w:t>
            </w:r>
          </w:p>
        </w:tc>
        <w:tc>
          <w:tcPr>
            <w:tcW w:w="732" w:type="pct"/>
            <w:tcBorders>
              <w:top w:val="single" w:color="000000" w:sz="4" w:space="0"/>
              <w:left w:val="single" w:color="000000" w:sz="4" w:space="0"/>
              <w:bottom w:val="single" w:color="000000" w:sz="4" w:space="0"/>
              <w:right w:val="single" w:color="000000" w:sz="4" w:space="0"/>
            </w:tcBorders>
            <w:shd w:val="clear"/>
            <w:noWrap/>
            <w:vAlign w:val="center"/>
          </w:tcPr>
          <w:p w14:paraId="3FBEF853">
            <w:pPr>
              <w:rPr>
                <w:rFonts w:hint="eastAsia" w:ascii="宋体" w:hAnsi="宋体" w:eastAsia="宋体" w:cs="宋体"/>
                <w:i w:val="0"/>
                <w:iCs w:val="0"/>
                <w:color w:val="000000"/>
                <w:sz w:val="16"/>
                <w:szCs w:val="16"/>
                <w:u w:val="none"/>
              </w:rPr>
            </w:pP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3B271987">
            <w:pPr>
              <w:rPr>
                <w:rFonts w:hint="eastAsia" w:ascii="宋体" w:hAnsi="宋体" w:eastAsia="宋体" w:cs="宋体"/>
                <w:i w:val="0"/>
                <w:iCs w:val="0"/>
                <w:color w:val="000000"/>
                <w:sz w:val="16"/>
                <w:szCs w:val="16"/>
                <w:u w:val="none"/>
              </w:rPr>
            </w:pP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44FD1A03">
            <w:pPr>
              <w:rPr>
                <w:rFonts w:hint="eastAsia" w:ascii="宋体" w:hAnsi="宋体" w:eastAsia="宋体" w:cs="宋体"/>
                <w:i w:val="0"/>
                <w:iCs w:val="0"/>
                <w:color w:val="000000"/>
                <w:sz w:val="16"/>
                <w:szCs w:val="16"/>
                <w:u w:val="none"/>
              </w:rPr>
            </w:pP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520DAECE">
            <w:pPr>
              <w:rPr>
                <w:rFonts w:hint="eastAsia" w:ascii="宋体" w:hAnsi="宋体" w:eastAsia="宋体" w:cs="宋体"/>
                <w:i w:val="0"/>
                <w:iCs w:val="0"/>
                <w:color w:val="000000"/>
                <w:sz w:val="16"/>
                <w:szCs w:val="16"/>
                <w:u w:val="none"/>
              </w:rPr>
            </w:pPr>
          </w:p>
        </w:tc>
      </w:tr>
      <w:tr w14:paraId="76B64E9B">
        <w:trPr>
          <w:trHeight w:val="336" w:hRule="atLeast"/>
        </w:trPr>
        <w:tc>
          <w:tcPr>
            <w:tcW w:w="560" w:type="pct"/>
            <w:tcBorders>
              <w:top w:val="single" w:color="000000" w:sz="4" w:space="0"/>
              <w:left w:val="single" w:color="000000" w:sz="4" w:space="0"/>
              <w:bottom w:val="single" w:color="000000" w:sz="4" w:space="0"/>
              <w:right w:val="single" w:color="000000" w:sz="4" w:space="0"/>
            </w:tcBorders>
            <w:shd w:val="clear"/>
            <w:noWrap/>
            <w:vAlign w:val="center"/>
          </w:tcPr>
          <w:p w14:paraId="5F358A72">
            <w:pPr>
              <w:rPr>
                <w:rFonts w:hint="eastAsia" w:ascii="宋体" w:hAnsi="宋体" w:eastAsia="宋体" w:cs="宋体"/>
                <w:i w:val="0"/>
                <w:iCs w:val="0"/>
                <w:color w:val="000000"/>
                <w:sz w:val="16"/>
                <w:szCs w:val="16"/>
                <w:u w:val="none"/>
              </w:rPr>
            </w:pPr>
          </w:p>
        </w:tc>
        <w:tc>
          <w:tcPr>
            <w:tcW w:w="698" w:type="pct"/>
            <w:tcBorders>
              <w:top w:val="single" w:color="000000" w:sz="4" w:space="0"/>
              <w:left w:val="single" w:color="000000" w:sz="4" w:space="0"/>
              <w:bottom w:val="single" w:color="000000" w:sz="4" w:space="0"/>
              <w:right w:val="single" w:color="000000" w:sz="4" w:space="0"/>
            </w:tcBorders>
            <w:shd w:val="clear"/>
            <w:noWrap/>
            <w:vAlign w:val="center"/>
          </w:tcPr>
          <w:p w14:paraId="3408C02D">
            <w:pPr>
              <w:rPr>
                <w:rFonts w:hint="eastAsia" w:ascii="宋体" w:hAnsi="宋体" w:eastAsia="宋体" w:cs="宋体"/>
                <w:i w:val="0"/>
                <w:iCs w:val="0"/>
                <w:color w:val="000000"/>
                <w:sz w:val="16"/>
                <w:szCs w:val="16"/>
                <w:u w:val="none"/>
              </w:rPr>
            </w:pP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004ABDED">
            <w:pPr>
              <w:rPr>
                <w:rFonts w:hint="eastAsia" w:ascii="宋体" w:hAnsi="宋体" w:eastAsia="宋体" w:cs="宋体"/>
                <w:i w:val="0"/>
                <w:iCs w:val="0"/>
                <w:color w:val="000000"/>
                <w:sz w:val="16"/>
                <w:szCs w:val="16"/>
                <w:u w:val="none"/>
              </w:rPr>
            </w:pP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380F421F">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bdr w:val="none" w:color="auto" w:sz="0" w:space="0"/>
                <w:lang w:val="en-US" w:eastAsia="zh-CN" w:bidi="ar"/>
              </w:rPr>
              <w:t>INVITE</w:t>
            </w:r>
          </w:p>
        </w:tc>
        <w:tc>
          <w:tcPr>
            <w:tcW w:w="732" w:type="pct"/>
            <w:tcBorders>
              <w:top w:val="single" w:color="000000" w:sz="4" w:space="0"/>
              <w:left w:val="single" w:color="000000" w:sz="4" w:space="0"/>
              <w:bottom w:val="single" w:color="000000" w:sz="4" w:space="0"/>
              <w:right w:val="single" w:color="000000" w:sz="4" w:space="0"/>
            </w:tcBorders>
            <w:shd w:val="clear"/>
            <w:noWrap/>
            <w:vAlign w:val="center"/>
          </w:tcPr>
          <w:p w14:paraId="39B6F291">
            <w:pPr>
              <w:rPr>
                <w:rFonts w:hint="eastAsia" w:ascii="宋体" w:hAnsi="宋体" w:eastAsia="宋体" w:cs="宋体"/>
                <w:i w:val="0"/>
                <w:iCs w:val="0"/>
                <w:color w:val="000000"/>
                <w:sz w:val="16"/>
                <w:szCs w:val="16"/>
                <w:u w:val="none"/>
              </w:rPr>
            </w:pPr>
          </w:p>
        </w:tc>
        <w:tc>
          <w:tcPr>
            <w:tcW w:w="539" w:type="pct"/>
            <w:tcBorders>
              <w:top w:val="single" w:color="000000" w:sz="4" w:space="0"/>
              <w:left w:val="single" w:color="000000" w:sz="4" w:space="0"/>
              <w:bottom w:val="single" w:color="000000" w:sz="4" w:space="0"/>
              <w:right w:val="single" w:color="000000" w:sz="4" w:space="0"/>
            </w:tcBorders>
            <w:shd w:val="clear"/>
            <w:noWrap/>
            <w:vAlign w:val="center"/>
          </w:tcPr>
          <w:p w14:paraId="2E3ECC2D">
            <w:pPr>
              <w:rPr>
                <w:rFonts w:hint="eastAsia" w:ascii="宋体" w:hAnsi="宋体" w:eastAsia="宋体" w:cs="宋体"/>
                <w:i w:val="0"/>
                <w:iCs w:val="0"/>
                <w:color w:val="000000"/>
                <w:sz w:val="16"/>
                <w:szCs w:val="16"/>
                <w:u w:val="none"/>
              </w:rPr>
            </w:pP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19F7DAB9">
            <w:pPr>
              <w:rPr>
                <w:rFonts w:hint="eastAsia" w:ascii="宋体" w:hAnsi="宋体" w:eastAsia="宋体" w:cs="宋体"/>
                <w:i w:val="0"/>
                <w:iCs w:val="0"/>
                <w:color w:val="000000"/>
                <w:sz w:val="16"/>
                <w:szCs w:val="16"/>
                <w:u w:val="none"/>
              </w:rPr>
            </w:pPr>
          </w:p>
        </w:tc>
        <w:tc>
          <w:tcPr>
            <w:tcW w:w="643" w:type="pct"/>
            <w:tcBorders>
              <w:top w:val="single" w:color="000000" w:sz="4" w:space="0"/>
              <w:left w:val="single" w:color="000000" w:sz="4" w:space="0"/>
              <w:bottom w:val="single" w:color="000000" w:sz="4" w:space="0"/>
              <w:right w:val="single" w:color="000000" w:sz="4" w:space="0"/>
            </w:tcBorders>
            <w:shd w:val="clear"/>
            <w:noWrap/>
            <w:vAlign w:val="center"/>
          </w:tcPr>
          <w:p w14:paraId="5A580960">
            <w:pPr>
              <w:rPr>
                <w:rFonts w:hint="eastAsia" w:ascii="宋体" w:hAnsi="宋体" w:eastAsia="宋体" w:cs="宋体"/>
                <w:i w:val="0"/>
                <w:iCs w:val="0"/>
                <w:color w:val="000000"/>
                <w:sz w:val="16"/>
                <w:szCs w:val="16"/>
                <w:u w:val="none"/>
              </w:rPr>
            </w:pPr>
          </w:p>
        </w:tc>
      </w:tr>
    </w:tbl>
    <w:p w14:paraId="417DAA0B">
      <w:pPr>
        <w:numPr>
          <w:ilvl w:val="0"/>
          <w:numId w:val="0"/>
        </w:numPr>
        <w:ind w:left="420" w:leftChars="0" w:firstLine="420" w:firstLineChars="0"/>
        <w:rPr>
          <w:rFonts w:hint="eastAsia"/>
          <w:lang w:val="en-US" w:eastAsia="zh-CN"/>
        </w:rPr>
      </w:pPr>
    </w:p>
    <w:p w14:paraId="373A758D">
      <w:pPr>
        <w:numPr>
          <w:ilvl w:val="0"/>
          <w:numId w:val="0"/>
        </w:numPr>
        <w:ind w:left="420" w:leftChars="0" w:firstLine="420" w:firstLineChars="0"/>
        <w:rPr>
          <w:rFonts w:hint="eastAsia"/>
          <w:lang w:val="en-US" w:eastAsia="zh-CN"/>
        </w:rPr>
      </w:pPr>
      <w:r>
        <w:rPr>
          <w:rFonts w:hint="eastAsia"/>
          <w:lang w:val="en-US" w:eastAsia="zh-CN"/>
        </w:rPr>
        <w:t>非层层的签约方使用真实的签约方比例和拓卡方比例</w:t>
      </w:r>
    </w:p>
    <w:p w14:paraId="55F0A4D1">
      <w:pPr>
        <w:numPr>
          <w:numId w:val="0"/>
        </w:numPr>
        <w:ind w:left="420" w:leftChars="0" w:firstLine="420" w:firstLineChars="0"/>
        <w:rPr>
          <w:rFonts w:hint="default"/>
          <w:lang w:val="en-US" w:eastAsia="zh-CN"/>
        </w:rPr>
      </w:pPr>
      <w:r>
        <w:rPr>
          <w:rFonts w:hint="eastAsia"/>
          <w:lang w:val="en-US" w:eastAsia="zh-CN"/>
        </w:rPr>
        <w:t>格式：渠道编码+产品编码+签约方比例+拓卡方比例0.9</w:t>
      </w:r>
    </w:p>
    <w:p w14:paraId="6A852B24">
      <w:pPr>
        <w:numPr>
          <w:ilvl w:val="0"/>
          <w:numId w:val="5"/>
        </w:numPr>
        <w:ind w:leftChars="0" w:firstLine="420" w:firstLineChars="0"/>
        <w:rPr>
          <w:rFonts w:hint="eastAsia"/>
          <w:lang w:val="en-US" w:eastAsia="zh-CN"/>
        </w:rPr>
      </w:pPr>
      <w:r>
        <w:rPr>
          <w:rFonts w:hint="eastAsia"/>
          <w:lang w:val="en-US" w:eastAsia="zh-CN"/>
        </w:rPr>
        <w:t>切换日后，订单创建日期早于切换日2.28的订单达标时，根据订单所属渠道+签约方，查询拓客分润比例表，若在配置类型为SIGN_AGENT的签约方数据中找到分润类型为SINGLEPROD产品编码一致的数据，则根据该数据为签约方生成生成收益方为签约方的结算单，金额为原应结金额*签约方比例，取值模式根据分润精度区分，取整的向上取整，两位小数的向上保留两位小数；为拓卡方方生成生成收益方为拓卡方的结算单，金额为原应结金额</w:t>
      </w:r>
      <w:r>
        <w:rPr>
          <w:rFonts w:hint="default"/>
          <w:lang w:val="en-US" w:eastAsia="zh-CN"/>
        </w:rPr>
        <w:t>*</w:t>
      </w:r>
      <w:r>
        <w:rPr>
          <w:rFonts w:hint="eastAsia"/>
          <w:lang w:val="en-US" w:eastAsia="zh-CN"/>
        </w:rPr>
        <w:t>拓卡方比例，取值模式根据分润精度区分，取整的向下取整，两位小数的向下保留两位小数。</w:t>
      </w:r>
    </w:p>
    <w:p w14:paraId="5BBF6D0B">
      <w:pPr>
        <w:numPr>
          <w:ilvl w:val="0"/>
          <w:numId w:val="5"/>
        </w:numPr>
        <w:ind w:leftChars="0" w:firstLine="420" w:firstLineChars="0"/>
        <w:rPr>
          <w:rFonts w:hint="eastAsia"/>
          <w:lang w:val="en-US" w:eastAsia="zh-CN"/>
        </w:rPr>
      </w:pPr>
      <w:r>
        <w:rPr>
          <w:rFonts w:hint="eastAsia"/>
          <w:lang w:val="en-US" w:eastAsia="zh-CN"/>
        </w:rPr>
        <w:t>若根据产品编码无法找到，则按照渠道+签约方编号找到分润类型为PRODTYPE的，与当前订单产品类型一致的数据，根据该数据为签约方生成生成收益方为签约方的结算单，金额为原应结金额*签约方比例，取值模式根据分润精度区分，取整的向上取整，两位小数的向上保留两位小数；为拓卡方方生成生成收益方为拓卡方的结算单，金额为原应结金额</w:t>
      </w:r>
      <w:r>
        <w:rPr>
          <w:rFonts w:hint="default"/>
          <w:lang w:val="en-US" w:eastAsia="zh-CN"/>
        </w:rPr>
        <w:t>*</w:t>
      </w:r>
      <w:r>
        <w:rPr>
          <w:rFonts w:hint="eastAsia"/>
          <w:lang w:val="en-US" w:eastAsia="zh-CN"/>
        </w:rPr>
        <w:t>拓卡方比例，取值模式根据分润精度区分，取整的向下取整，两位小数的向下保留两位小数。</w:t>
      </w:r>
    </w:p>
    <w:p w14:paraId="2BE849C2">
      <w:pPr>
        <w:numPr>
          <w:ilvl w:val="0"/>
          <w:numId w:val="5"/>
        </w:numPr>
        <w:ind w:leftChars="0" w:firstLine="420" w:firstLineChars="0"/>
        <w:rPr>
          <w:rFonts w:hint="eastAsia"/>
          <w:lang w:val="en-US" w:eastAsia="zh-CN"/>
        </w:rPr>
      </w:pPr>
      <w:r>
        <w:rPr>
          <w:rFonts w:hint="eastAsia"/>
          <w:lang w:val="en-US" w:eastAsia="zh-CN"/>
        </w:rPr>
        <w:t>根据签约方编号未找到数据的，使用渠道编码找到找到分润类型为SINGLEPROD产品编码一致的数据，则根据该数据为签约方生成生成收益方为签约方的结算单，金额为原应结金额*签约方比例，取值模式根据分润精度区分，取整的向上取整，两位小数的向上保留两位小数；为拓卡方方生成生成收益方为拓卡方的结算单，金额为原应结金额</w:t>
      </w:r>
      <w:r>
        <w:rPr>
          <w:rFonts w:hint="default"/>
          <w:lang w:val="en-US" w:eastAsia="zh-CN"/>
        </w:rPr>
        <w:t>*</w:t>
      </w:r>
      <w:r>
        <w:rPr>
          <w:rFonts w:hint="eastAsia"/>
          <w:lang w:val="en-US" w:eastAsia="zh-CN"/>
        </w:rPr>
        <w:t>拓卡方比例，取值模式根据分润精度区分，取整的向下取整，两位小数的向下保留两位小数。</w:t>
      </w:r>
    </w:p>
    <w:p w14:paraId="2BCC7B6A">
      <w:pPr>
        <w:numPr>
          <w:ilvl w:val="0"/>
          <w:numId w:val="5"/>
        </w:numPr>
        <w:ind w:leftChars="0" w:firstLine="420" w:firstLineChars="0"/>
        <w:rPr>
          <w:rFonts w:hint="eastAsia"/>
          <w:lang w:val="en-US" w:eastAsia="zh-CN"/>
        </w:rPr>
      </w:pPr>
      <w:r>
        <w:rPr>
          <w:rFonts w:hint="eastAsia"/>
          <w:lang w:val="en-US" w:eastAsia="zh-CN"/>
        </w:rPr>
        <w:t>根据签约方编号+产品编码未找到数据的，使用渠道编码找到分润类型为PRODTYPE，产品类型与订单产品类型一致的，根据该数据为签约方生成生成收益方为签约方的结算单，金额为原应结金额*签约方比例，取值模式根据分润精度区分，取整的向上取整，两位小数的向上保留两位小数；为拓卡方方生成生成收益方为拓卡方的结算单，金额为原应结金额</w:t>
      </w:r>
      <w:r>
        <w:rPr>
          <w:rFonts w:hint="default"/>
          <w:lang w:val="en-US" w:eastAsia="zh-CN"/>
        </w:rPr>
        <w:t>*</w:t>
      </w:r>
      <w:r>
        <w:rPr>
          <w:rFonts w:hint="eastAsia"/>
          <w:lang w:val="en-US" w:eastAsia="zh-CN"/>
        </w:rPr>
        <w:t>拓卡方比例，取值模式根据分润精度区分，取整的向下取整，两位小数的向下保留两位小数。</w:t>
      </w:r>
    </w:p>
    <w:p w14:paraId="303F2FB1">
      <w:pPr>
        <w:numPr>
          <w:ilvl w:val="0"/>
          <w:numId w:val="5"/>
        </w:numPr>
        <w:ind w:leftChars="0" w:firstLine="420" w:firstLineChars="0"/>
        <w:rPr>
          <w:rFonts w:hint="eastAsia"/>
          <w:lang w:val="en-US" w:eastAsia="zh-CN"/>
        </w:rPr>
      </w:pPr>
      <w:r>
        <w:rPr>
          <w:rFonts w:hint="eastAsia"/>
          <w:lang w:val="en-US" w:eastAsia="zh-CN"/>
        </w:rPr>
        <w:t>根据渠道未找到数据的，按原有逻辑，只生成100%分润给拓卡方的结算单。</w:t>
      </w:r>
    </w:p>
    <w:p w14:paraId="744BF2EE">
      <w:pPr>
        <w:numPr>
          <w:ilvl w:val="1"/>
          <w:numId w:val="1"/>
        </w:numPr>
        <w:ind w:left="0" w:leftChars="0" w:firstLine="0" w:firstLineChars="0"/>
        <w:rPr>
          <w:rFonts w:hint="default"/>
          <w:lang w:val="en-US" w:eastAsia="zh-CN"/>
        </w:rPr>
      </w:pPr>
      <w:r>
        <w:rPr>
          <w:rFonts w:hint="eastAsia"/>
          <w:lang w:val="en-US" w:eastAsia="zh-CN"/>
        </w:rPr>
        <w:t>拓客端调整</w:t>
      </w:r>
    </w:p>
    <w:p w14:paraId="7BB93E37">
      <w:pPr>
        <w:numPr>
          <w:ilvl w:val="2"/>
          <w:numId w:val="1"/>
        </w:numPr>
        <w:ind w:left="0" w:leftChars="0" w:firstLine="0" w:firstLineChars="0"/>
        <w:rPr>
          <w:rFonts w:hint="default"/>
          <w:lang w:val="en-US" w:eastAsia="zh-CN"/>
        </w:rPr>
      </w:pPr>
      <w:r>
        <w:rPr>
          <w:rFonts w:hint="eastAsia"/>
          <w:lang w:val="en-US" w:eastAsia="zh-CN"/>
        </w:rPr>
        <w:t>尽快将已开启自定义分润比例的模板的机构自定义权限关闭，2月不再支持修改分润比例。</w:t>
      </w:r>
    </w:p>
    <w:p w14:paraId="268776DC">
      <w:pPr>
        <w:numPr>
          <w:ilvl w:val="2"/>
          <w:numId w:val="1"/>
        </w:numPr>
        <w:ind w:left="0" w:leftChars="0" w:firstLine="0" w:firstLineChars="0"/>
        <w:rPr>
          <w:rFonts w:hint="default"/>
          <w:lang w:val="en-US" w:eastAsia="zh-CN"/>
        </w:rPr>
      </w:pPr>
      <w:r>
        <w:rPr>
          <w:rFonts w:hint="eastAsia"/>
          <w:lang w:val="en-US" w:eastAsia="zh-CN"/>
        </w:rPr>
        <w:t>尽快</w:t>
      </w:r>
      <w:r>
        <w:rPr>
          <w:rFonts w:hint="default"/>
          <w:lang w:val="en-US" w:eastAsia="zh-CN"/>
        </w:rPr>
        <w:t>关闭自定义增值业务分润入口：</w:t>
      </w:r>
      <w:r>
        <w:rPr>
          <w:rFonts w:hint="eastAsia"/>
          <w:lang w:val="en-US" w:eastAsia="zh-CN"/>
        </w:rPr>
        <w:t>各渠道默认模板中，</w:t>
      </w:r>
      <w:r>
        <w:rPr>
          <w:rFonts w:hint="default"/>
          <w:lang w:val="en-US" w:eastAsia="zh-CN"/>
        </w:rPr>
        <w:t>开启的自定义增值业务分润设置入口，</w:t>
      </w:r>
      <w:r>
        <w:rPr>
          <w:rFonts w:hint="eastAsia"/>
          <w:lang w:val="en-US" w:eastAsia="zh-CN"/>
        </w:rPr>
        <w:t>修改为关闭</w:t>
      </w:r>
      <w:r>
        <w:rPr>
          <w:rFonts w:hint="default"/>
          <w:lang w:val="en-US" w:eastAsia="zh-CN"/>
        </w:rPr>
        <w:t>，</w:t>
      </w:r>
      <w:r>
        <w:rPr>
          <w:rFonts w:hint="eastAsia"/>
          <w:lang w:val="en-US" w:eastAsia="zh-CN"/>
        </w:rPr>
        <w:t>未进行申请开通单独模板的机构不再允许自定义修改分润比例</w:t>
      </w:r>
      <w:r>
        <w:rPr>
          <w:rFonts w:hint="default"/>
          <w:lang w:val="en-US" w:eastAsia="zh-CN"/>
        </w:rPr>
        <w:t>。</w:t>
      </w:r>
    </w:p>
    <w:p w14:paraId="40392169">
      <w:pPr>
        <w:numPr>
          <w:ilvl w:val="2"/>
          <w:numId w:val="1"/>
        </w:numPr>
        <w:ind w:left="0" w:leftChars="0" w:firstLine="0" w:firstLineChars="0"/>
        <w:rPr>
          <w:rFonts w:hint="default"/>
          <w:lang w:val="en-US" w:eastAsia="zh-CN"/>
        </w:rPr>
      </w:pPr>
      <w:r>
        <w:rPr>
          <w:rFonts w:hint="eastAsia"/>
          <w:lang w:val="en-US" w:eastAsia="zh-CN"/>
        </w:rPr>
        <w:t>3月1日将渠道模板分润比例修改为100%给拓卡方，服务费费率、服务费成本均为0。（控台完成）</w:t>
      </w:r>
    </w:p>
    <w:p w14:paraId="0044E07F">
      <w:pPr>
        <w:numPr>
          <w:ilvl w:val="2"/>
          <w:numId w:val="1"/>
        </w:numPr>
        <w:ind w:left="0" w:leftChars="0" w:firstLine="0" w:firstLineChars="0"/>
        <w:rPr>
          <w:rFonts w:hint="default"/>
          <w:lang w:val="en-US" w:eastAsia="zh-CN"/>
        </w:rPr>
      </w:pPr>
      <w:r>
        <w:rPr>
          <w:rFonts w:hint="eastAsia"/>
          <w:lang w:val="en-US" w:eastAsia="zh-CN"/>
        </w:rPr>
        <w:t>现有</w:t>
      </w:r>
      <w:r>
        <w:rPr>
          <w:rFonts w:hint="default"/>
          <w:lang w:val="en-US" w:eastAsia="zh-CN"/>
        </w:rPr>
        <w:t>数据</w:t>
      </w:r>
      <w:r>
        <w:rPr>
          <w:rFonts w:hint="eastAsia"/>
          <w:lang w:val="en-US" w:eastAsia="zh-CN"/>
        </w:rPr>
        <w:t>维护</w:t>
      </w:r>
      <w:r>
        <w:rPr>
          <w:rFonts w:hint="default"/>
          <w:lang w:val="en-US" w:eastAsia="zh-CN"/>
        </w:rPr>
        <w:t>：</w:t>
      </w:r>
      <w:r>
        <w:rPr>
          <w:rFonts w:hint="eastAsia"/>
          <w:lang w:val="en-US" w:eastAsia="zh-CN"/>
        </w:rPr>
        <w:t>3月1日，</w:t>
      </w:r>
      <w:r>
        <w:rPr>
          <w:rFonts w:hint="default"/>
          <w:lang w:val="en-US" w:eastAsia="zh-CN"/>
        </w:rPr>
        <w:t>把现有的</w:t>
      </w:r>
      <w:r>
        <w:rPr>
          <w:rFonts w:hint="eastAsia"/>
          <w:lang w:val="en-US" w:eastAsia="zh-CN"/>
        </w:rPr>
        <w:t>未开启层层的</w:t>
      </w:r>
      <w:r>
        <w:rPr>
          <w:rFonts w:hint="default"/>
          <w:lang w:val="en-US" w:eastAsia="zh-CN"/>
        </w:rPr>
        <w:t>自定义政策配置</w:t>
      </w:r>
      <w:r>
        <w:rPr>
          <w:rFonts w:hint="eastAsia"/>
          <w:lang w:val="en-US" w:eastAsia="zh-CN"/>
        </w:rPr>
        <w:t>在3月1日全部置为失效。后续</w:t>
      </w:r>
      <w:r>
        <w:rPr>
          <w:rFonts w:hint="default"/>
          <w:lang w:val="en-US" w:eastAsia="zh-CN"/>
        </w:rPr>
        <w:t>有新的自定义需求，得经过严格的审批流程，不</w:t>
      </w:r>
      <w:r>
        <w:rPr>
          <w:rFonts w:hint="eastAsia"/>
          <w:lang w:val="en-US" w:eastAsia="zh-CN"/>
        </w:rPr>
        <w:t>再</w:t>
      </w:r>
      <w:r>
        <w:rPr>
          <w:rFonts w:hint="default"/>
          <w:lang w:val="en-US" w:eastAsia="zh-CN"/>
        </w:rPr>
        <w:t>随</w:t>
      </w:r>
      <w:r>
        <w:rPr>
          <w:rFonts w:hint="eastAsia"/>
          <w:lang w:val="en-US" w:eastAsia="zh-CN"/>
        </w:rPr>
        <w:t>意允许</w:t>
      </w:r>
      <w:r>
        <w:rPr>
          <w:rFonts w:hint="default"/>
          <w:lang w:val="en-US" w:eastAsia="zh-CN"/>
        </w:rPr>
        <w:t>自定义</w:t>
      </w:r>
      <w:r>
        <w:rPr>
          <w:rFonts w:hint="eastAsia"/>
          <w:lang w:val="en-US" w:eastAsia="zh-CN"/>
        </w:rPr>
        <w:t>分润比例</w:t>
      </w:r>
      <w:r>
        <w:rPr>
          <w:rFonts w:hint="default"/>
          <w:lang w:val="en-US" w:eastAsia="zh-CN"/>
        </w:rPr>
        <w:t>配置。</w:t>
      </w:r>
    </w:p>
    <w:p w14:paraId="652E7F76">
      <w:pPr>
        <w:numPr>
          <w:ilvl w:val="2"/>
          <w:numId w:val="1"/>
        </w:numPr>
        <w:ind w:left="0" w:leftChars="0" w:firstLine="0" w:firstLineChars="0"/>
        <w:rPr>
          <w:rFonts w:hint="default"/>
          <w:lang w:val="en-US" w:eastAsia="zh-CN"/>
        </w:rPr>
      </w:pPr>
      <w:r>
        <w:rPr>
          <w:rFonts w:hint="default"/>
          <w:lang w:val="en-US" w:eastAsia="zh-CN"/>
        </w:rPr>
        <w:t>调整</w:t>
      </w:r>
      <w:r>
        <w:rPr>
          <w:rFonts w:hint="eastAsia"/>
          <w:lang w:val="en-US" w:eastAsia="zh-CN"/>
        </w:rPr>
        <w:t>好拓客</w:t>
      </w:r>
      <w:r>
        <w:rPr>
          <w:rFonts w:hint="default"/>
          <w:lang w:val="en-US" w:eastAsia="zh-CN"/>
        </w:rPr>
        <w:t>分润比例：</w:t>
      </w:r>
      <w:r>
        <w:rPr>
          <w:rFonts w:hint="eastAsia"/>
          <w:lang w:val="en-US" w:eastAsia="zh-CN"/>
        </w:rPr>
        <w:t>3月1日，</w:t>
      </w:r>
      <w:bookmarkStart w:id="0" w:name="_GoBack"/>
      <w:bookmarkEnd w:id="0"/>
      <w:r>
        <w:rPr>
          <w:rFonts w:hint="default"/>
          <w:lang w:val="en-US" w:eastAsia="zh-CN"/>
        </w:rPr>
        <w:t>好拓客系统的分润</w:t>
      </w:r>
      <w:r>
        <w:rPr>
          <w:rFonts w:hint="eastAsia"/>
          <w:lang w:val="en-US" w:eastAsia="zh-CN"/>
        </w:rPr>
        <w:t>比例</w:t>
      </w:r>
      <w:r>
        <w:rPr>
          <w:rFonts w:hint="default"/>
          <w:lang w:val="en-US" w:eastAsia="zh-CN"/>
        </w:rPr>
        <w:t>改</w:t>
      </w:r>
      <w:r>
        <w:rPr>
          <w:rFonts w:hint="eastAsia"/>
          <w:lang w:val="en-US" w:eastAsia="zh-CN"/>
        </w:rPr>
        <w:t>为</w:t>
      </w:r>
      <w:r>
        <w:rPr>
          <w:rFonts w:hint="default"/>
          <w:lang w:val="en-US" w:eastAsia="zh-CN"/>
        </w:rPr>
        <w:t xml:space="preserve"> 0 比 100 ，</w:t>
      </w:r>
      <w:r>
        <w:rPr>
          <w:rFonts w:hint="eastAsia"/>
          <w:lang w:val="en-US" w:eastAsia="zh-CN"/>
        </w:rPr>
        <w:t>为最下级孵化基地保留收益的部分由趣伴卡系统完成。</w:t>
      </w:r>
    </w:p>
    <w:p w14:paraId="6FA1279D">
      <w:pPr>
        <w:numPr>
          <w:ilvl w:val="2"/>
          <w:numId w:val="1"/>
        </w:numPr>
        <w:ind w:left="0" w:leftChars="0" w:firstLine="0" w:firstLineChars="0"/>
        <w:rPr>
          <w:rFonts w:hint="default"/>
          <w:lang w:val="en-US" w:eastAsia="zh-CN"/>
        </w:rPr>
      </w:pPr>
      <w:r>
        <w:rPr>
          <w:rFonts w:hint="eastAsia"/>
          <w:lang w:val="en-US" w:eastAsia="zh-CN"/>
        </w:rPr>
        <w:t>分润报表逻辑调整，原各渠道下级服务费补贴字段有特殊处理的，统一为“否”，或按照实际未收取服务费的统一为“否”处理。</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9734E"/>
    <w:multiLevelType w:val="singleLevel"/>
    <w:tmpl w:val="8FD9734E"/>
    <w:lvl w:ilvl="0" w:tentative="0">
      <w:start w:val="1"/>
      <w:numFmt w:val="decimal"/>
      <w:suff w:val="nothing"/>
      <w:lvlText w:val="（%1）"/>
      <w:lvlJc w:val="left"/>
    </w:lvl>
  </w:abstractNum>
  <w:abstractNum w:abstractNumId="1">
    <w:nsid w:val="B57CC461"/>
    <w:multiLevelType w:val="multilevel"/>
    <w:tmpl w:val="B57CC461"/>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CFE247BF"/>
    <w:multiLevelType w:val="singleLevel"/>
    <w:tmpl w:val="CFE247BF"/>
    <w:lvl w:ilvl="0" w:tentative="0">
      <w:start w:val="1"/>
      <w:numFmt w:val="decimal"/>
      <w:suff w:val="nothing"/>
      <w:lvlText w:val="（%1）"/>
      <w:lvlJc w:val="left"/>
    </w:lvl>
  </w:abstractNum>
  <w:abstractNum w:abstractNumId="3">
    <w:nsid w:val="FFDF8ECF"/>
    <w:multiLevelType w:val="singleLevel"/>
    <w:tmpl w:val="FFDF8ECF"/>
    <w:lvl w:ilvl="0" w:tentative="0">
      <w:start w:val="1"/>
      <w:numFmt w:val="decimal"/>
      <w:suff w:val="nothing"/>
      <w:lvlText w:val="（%1）"/>
      <w:lvlJc w:val="left"/>
    </w:lvl>
  </w:abstractNum>
  <w:abstractNum w:abstractNumId="4">
    <w:nsid w:val="39AC2606"/>
    <w:multiLevelType w:val="singleLevel"/>
    <w:tmpl w:val="39AC2606"/>
    <w:lvl w:ilvl="0" w:tentative="0">
      <w:start w:val="1"/>
      <w:numFmt w:val="decimal"/>
      <w:suff w:val="nothing"/>
      <w:lvlText w:val="（%1）"/>
      <w:lvlJc w:val="left"/>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yMDljMzUyMDcxZjY1OGM2ODE5MTkzNDJjZDU4NjkifQ=="/>
  </w:docVars>
  <w:rsids>
    <w:rsidRoot w:val="331170C2"/>
    <w:rsid w:val="025F4662"/>
    <w:rsid w:val="054A03FE"/>
    <w:rsid w:val="056D42A0"/>
    <w:rsid w:val="05724F65"/>
    <w:rsid w:val="06FC9DD1"/>
    <w:rsid w:val="0AF36B3A"/>
    <w:rsid w:val="0AFA5870"/>
    <w:rsid w:val="0B170387"/>
    <w:rsid w:val="0D4834BD"/>
    <w:rsid w:val="126A32DB"/>
    <w:rsid w:val="149B6B6A"/>
    <w:rsid w:val="14B54840"/>
    <w:rsid w:val="15FF5506"/>
    <w:rsid w:val="169F376F"/>
    <w:rsid w:val="176AD0F7"/>
    <w:rsid w:val="17C92604"/>
    <w:rsid w:val="17FA6EAF"/>
    <w:rsid w:val="1D5A712F"/>
    <w:rsid w:val="1DB418AE"/>
    <w:rsid w:val="1DF627CD"/>
    <w:rsid w:val="1EBFDD42"/>
    <w:rsid w:val="1EFEBB52"/>
    <w:rsid w:val="250D5954"/>
    <w:rsid w:val="25D7DB01"/>
    <w:rsid w:val="26902787"/>
    <w:rsid w:val="269F0C21"/>
    <w:rsid w:val="26D42FC1"/>
    <w:rsid w:val="279F6E1C"/>
    <w:rsid w:val="28AB6DFB"/>
    <w:rsid w:val="28D948BF"/>
    <w:rsid w:val="29D90840"/>
    <w:rsid w:val="29FF8F41"/>
    <w:rsid w:val="2B0C0F7B"/>
    <w:rsid w:val="2BD82C0B"/>
    <w:rsid w:val="2BDF6266"/>
    <w:rsid w:val="2C036605"/>
    <w:rsid w:val="2C1764C2"/>
    <w:rsid w:val="2CDF7744"/>
    <w:rsid w:val="2FBA2B33"/>
    <w:rsid w:val="2FFEA267"/>
    <w:rsid w:val="325B6344"/>
    <w:rsid w:val="331170C2"/>
    <w:rsid w:val="35FFE910"/>
    <w:rsid w:val="365E6403"/>
    <w:rsid w:val="37511F05"/>
    <w:rsid w:val="379D3277"/>
    <w:rsid w:val="37AB4A32"/>
    <w:rsid w:val="37B0ABB9"/>
    <w:rsid w:val="37FE299D"/>
    <w:rsid w:val="38672FB0"/>
    <w:rsid w:val="39EF76B0"/>
    <w:rsid w:val="3BB0325D"/>
    <w:rsid w:val="3BC74A9B"/>
    <w:rsid w:val="3BC7D5A0"/>
    <w:rsid w:val="3CF67AA2"/>
    <w:rsid w:val="3CFD641E"/>
    <w:rsid w:val="3D0860DE"/>
    <w:rsid w:val="3DFFD8B0"/>
    <w:rsid w:val="3E59872F"/>
    <w:rsid w:val="3E772B2E"/>
    <w:rsid w:val="3E7B90DB"/>
    <w:rsid w:val="3EEBAE92"/>
    <w:rsid w:val="3EFBDBE7"/>
    <w:rsid w:val="3F7FEE61"/>
    <w:rsid w:val="3F9B7DD1"/>
    <w:rsid w:val="3F9D3DB4"/>
    <w:rsid w:val="3FF5BD0B"/>
    <w:rsid w:val="42274495"/>
    <w:rsid w:val="442C18EF"/>
    <w:rsid w:val="446E1F07"/>
    <w:rsid w:val="45123B0B"/>
    <w:rsid w:val="45F823D0"/>
    <w:rsid w:val="46B53E1D"/>
    <w:rsid w:val="481E1118"/>
    <w:rsid w:val="49951CE4"/>
    <w:rsid w:val="4E911C4C"/>
    <w:rsid w:val="4EDE0445"/>
    <w:rsid w:val="4F77E09C"/>
    <w:rsid w:val="4FF5F2D8"/>
    <w:rsid w:val="4FFF0646"/>
    <w:rsid w:val="50072B3F"/>
    <w:rsid w:val="513774DE"/>
    <w:rsid w:val="51600E2A"/>
    <w:rsid w:val="51FB4509"/>
    <w:rsid w:val="5297754E"/>
    <w:rsid w:val="52E96395"/>
    <w:rsid w:val="54316AAD"/>
    <w:rsid w:val="557B26D6"/>
    <w:rsid w:val="57342B3C"/>
    <w:rsid w:val="577E3975"/>
    <w:rsid w:val="5786F00E"/>
    <w:rsid w:val="57D650A9"/>
    <w:rsid w:val="57F5CF05"/>
    <w:rsid w:val="59771406"/>
    <w:rsid w:val="59D32AE1"/>
    <w:rsid w:val="59FFEECB"/>
    <w:rsid w:val="5AD5988F"/>
    <w:rsid w:val="5AF165E7"/>
    <w:rsid w:val="5B3573F3"/>
    <w:rsid w:val="5B73982F"/>
    <w:rsid w:val="5BC55253"/>
    <w:rsid w:val="5BDF17FA"/>
    <w:rsid w:val="5BEE19F9"/>
    <w:rsid w:val="5DD24E5D"/>
    <w:rsid w:val="5DFF38D8"/>
    <w:rsid w:val="5E9E5913"/>
    <w:rsid w:val="5EDA0E5A"/>
    <w:rsid w:val="5EF47FC3"/>
    <w:rsid w:val="5F3B0C09"/>
    <w:rsid w:val="5F867DF7"/>
    <w:rsid w:val="5FB6ABF1"/>
    <w:rsid w:val="5FF7D6D9"/>
    <w:rsid w:val="5FFBB22A"/>
    <w:rsid w:val="5FFF1258"/>
    <w:rsid w:val="60C74A21"/>
    <w:rsid w:val="60F03797"/>
    <w:rsid w:val="62EF1C8F"/>
    <w:rsid w:val="64A39E57"/>
    <w:rsid w:val="64CFC57A"/>
    <w:rsid w:val="64FFD05F"/>
    <w:rsid w:val="676F5D83"/>
    <w:rsid w:val="677BFDA9"/>
    <w:rsid w:val="6787315C"/>
    <w:rsid w:val="678AE555"/>
    <w:rsid w:val="67BEDA8D"/>
    <w:rsid w:val="67BF2386"/>
    <w:rsid w:val="67C95DD4"/>
    <w:rsid w:val="68C62302"/>
    <w:rsid w:val="69672308"/>
    <w:rsid w:val="697B1B62"/>
    <w:rsid w:val="6A826756"/>
    <w:rsid w:val="6B69A118"/>
    <w:rsid w:val="6B798A20"/>
    <w:rsid w:val="6C101972"/>
    <w:rsid w:val="6CB09691"/>
    <w:rsid w:val="6DBA3878"/>
    <w:rsid w:val="6DC5678C"/>
    <w:rsid w:val="6DF8B81B"/>
    <w:rsid w:val="6DFFC52D"/>
    <w:rsid w:val="6DFFE9F3"/>
    <w:rsid w:val="6F03131A"/>
    <w:rsid w:val="6F57C7A9"/>
    <w:rsid w:val="6FB96520"/>
    <w:rsid w:val="6FBB6557"/>
    <w:rsid w:val="6FDBE896"/>
    <w:rsid w:val="6FF60B2F"/>
    <w:rsid w:val="6FF9586C"/>
    <w:rsid w:val="6FFF71F6"/>
    <w:rsid w:val="707715D2"/>
    <w:rsid w:val="714BAC6D"/>
    <w:rsid w:val="72FB09B4"/>
    <w:rsid w:val="733BAFE6"/>
    <w:rsid w:val="73998727"/>
    <w:rsid w:val="73DEA874"/>
    <w:rsid w:val="73DEE1A9"/>
    <w:rsid w:val="73F65E8C"/>
    <w:rsid w:val="75FE82B5"/>
    <w:rsid w:val="773F25BB"/>
    <w:rsid w:val="776652A2"/>
    <w:rsid w:val="77796479"/>
    <w:rsid w:val="77BE6145"/>
    <w:rsid w:val="77DA4BE2"/>
    <w:rsid w:val="77F26D24"/>
    <w:rsid w:val="77F92938"/>
    <w:rsid w:val="77FCF165"/>
    <w:rsid w:val="77FE2376"/>
    <w:rsid w:val="77FFE065"/>
    <w:rsid w:val="78EEA41C"/>
    <w:rsid w:val="793D5D31"/>
    <w:rsid w:val="79CB35D5"/>
    <w:rsid w:val="79CDF044"/>
    <w:rsid w:val="79D26677"/>
    <w:rsid w:val="79E72071"/>
    <w:rsid w:val="7A370149"/>
    <w:rsid w:val="7AFDB9C5"/>
    <w:rsid w:val="7B3F192C"/>
    <w:rsid w:val="7B5E3CE3"/>
    <w:rsid w:val="7BBC1C9A"/>
    <w:rsid w:val="7BCB4A3D"/>
    <w:rsid w:val="7BDF2C73"/>
    <w:rsid w:val="7BF3C7F3"/>
    <w:rsid w:val="7BFF9E1C"/>
    <w:rsid w:val="7BFFA47D"/>
    <w:rsid w:val="7CFB6C5F"/>
    <w:rsid w:val="7DF5769D"/>
    <w:rsid w:val="7E2B03DC"/>
    <w:rsid w:val="7E5E1B1E"/>
    <w:rsid w:val="7E9FBA0F"/>
    <w:rsid w:val="7ECEF63E"/>
    <w:rsid w:val="7EFEDBFB"/>
    <w:rsid w:val="7F2B7949"/>
    <w:rsid w:val="7F5C972D"/>
    <w:rsid w:val="7F5F2735"/>
    <w:rsid w:val="7F6F4F12"/>
    <w:rsid w:val="7F79C859"/>
    <w:rsid w:val="7F7EDCEF"/>
    <w:rsid w:val="7F8F91FC"/>
    <w:rsid w:val="7FAF1F7C"/>
    <w:rsid w:val="7FDD4938"/>
    <w:rsid w:val="7FDEDCBE"/>
    <w:rsid w:val="7FDF369F"/>
    <w:rsid w:val="7FDF49BE"/>
    <w:rsid w:val="7FE7BA73"/>
    <w:rsid w:val="7FEC246B"/>
    <w:rsid w:val="7FF23B55"/>
    <w:rsid w:val="7FF78F5E"/>
    <w:rsid w:val="7FFB7A54"/>
    <w:rsid w:val="7FFCD815"/>
    <w:rsid w:val="7FFEC360"/>
    <w:rsid w:val="7FFEC578"/>
    <w:rsid w:val="82B1AAD1"/>
    <w:rsid w:val="8EEEE5B4"/>
    <w:rsid w:val="97F6C9D0"/>
    <w:rsid w:val="98B30F93"/>
    <w:rsid w:val="9A6F7BE7"/>
    <w:rsid w:val="9B3BE8B4"/>
    <w:rsid w:val="9D73C619"/>
    <w:rsid w:val="9E3EACD8"/>
    <w:rsid w:val="9E5B92CC"/>
    <w:rsid w:val="9E77B586"/>
    <w:rsid w:val="9EDF8CEB"/>
    <w:rsid w:val="9F977D71"/>
    <w:rsid w:val="9FB61B61"/>
    <w:rsid w:val="9FDFFEDA"/>
    <w:rsid w:val="A57F2811"/>
    <w:rsid w:val="A7FCAF73"/>
    <w:rsid w:val="AAFA8937"/>
    <w:rsid w:val="AD924BFC"/>
    <w:rsid w:val="AE6FC35B"/>
    <w:rsid w:val="AFAFF7F7"/>
    <w:rsid w:val="AFB1325D"/>
    <w:rsid w:val="AFE7BEC5"/>
    <w:rsid w:val="AFFFA412"/>
    <w:rsid w:val="AFFFFEBB"/>
    <w:rsid w:val="B2CF853E"/>
    <w:rsid w:val="B39E647A"/>
    <w:rsid w:val="B6FF8CB0"/>
    <w:rsid w:val="B73ECC82"/>
    <w:rsid w:val="B776F9CF"/>
    <w:rsid w:val="B9EFAD0A"/>
    <w:rsid w:val="B9F2F62F"/>
    <w:rsid w:val="BB46BA3F"/>
    <w:rsid w:val="BBB74342"/>
    <w:rsid w:val="BBFDD361"/>
    <w:rsid w:val="BBFE2FA0"/>
    <w:rsid w:val="BD5F6CF6"/>
    <w:rsid w:val="BDDF0272"/>
    <w:rsid w:val="BDF9334B"/>
    <w:rsid w:val="BEE75CDD"/>
    <w:rsid w:val="BEE79162"/>
    <w:rsid w:val="BF2F3ECB"/>
    <w:rsid w:val="BF6E44B0"/>
    <w:rsid w:val="BFB649D6"/>
    <w:rsid w:val="BFED1F76"/>
    <w:rsid w:val="BFF8A449"/>
    <w:rsid w:val="C21BE37B"/>
    <w:rsid w:val="C2EF8014"/>
    <w:rsid w:val="C3DF93E4"/>
    <w:rsid w:val="C7DEE127"/>
    <w:rsid w:val="C7F03935"/>
    <w:rsid w:val="CEFC1FC5"/>
    <w:rsid w:val="CFDDC6F8"/>
    <w:rsid w:val="CFDECB15"/>
    <w:rsid w:val="D7E69D4F"/>
    <w:rsid w:val="D7F3542E"/>
    <w:rsid w:val="D7FE70C2"/>
    <w:rsid w:val="DAF76C71"/>
    <w:rsid w:val="DBA7EF59"/>
    <w:rsid w:val="DBBCDE27"/>
    <w:rsid w:val="DBEEC970"/>
    <w:rsid w:val="DBEFB147"/>
    <w:rsid w:val="DC9DBB67"/>
    <w:rsid w:val="DCBFF384"/>
    <w:rsid w:val="DD9B6FD8"/>
    <w:rsid w:val="DDF7F0F2"/>
    <w:rsid w:val="DDFF01A3"/>
    <w:rsid w:val="DEF761F3"/>
    <w:rsid w:val="DEFFCD04"/>
    <w:rsid w:val="DF5F946E"/>
    <w:rsid w:val="DFBFB897"/>
    <w:rsid w:val="DFDFD81F"/>
    <w:rsid w:val="DFEF44EE"/>
    <w:rsid w:val="DFF5DE04"/>
    <w:rsid w:val="DFFBE02C"/>
    <w:rsid w:val="DFFF635E"/>
    <w:rsid w:val="DFFFC3C5"/>
    <w:rsid w:val="E142191D"/>
    <w:rsid w:val="E2FA1B28"/>
    <w:rsid w:val="E3DB8F6E"/>
    <w:rsid w:val="E9FBB0D2"/>
    <w:rsid w:val="EABF7639"/>
    <w:rsid w:val="EB7DEEB2"/>
    <w:rsid w:val="EBD934B6"/>
    <w:rsid w:val="EC7BBCB6"/>
    <w:rsid w:val="ECFE2DE6"/>
    <w:rsid w:val="ED97A4AF"/>
    <w:rsid w:val="ED9D4236"/>
    <w:rsid w:val="EDABB757"/>
    <w:rsid w:val="EE3DE8AD"/>
    <w:rsid w:val="EEABCDC2"/>
    <w:rsid w:val="EECF0BDD"/>
    <w:rsid w:val="EF3E2A34"/>
    <w:rsid w:val="EFB6B16B"/>
    <w:rsid w:val="EFC5AAE0"/>
    <w:rsid w:val="EFDF1872"/>
    <w:rsid w:val="EFF7A043"/>
    <w:rsid w:val="EFFB2EBE"/>
    <w:rsid w:val="EFFE8D61"/>
    <w:rsid w:val="F24F03FD"/>
    <w:rsid w:val="F38EA11E"/>
    <w:rsid w:val="F3C9BFA5"/>
    <w:rsid w:val="F3F3AB85"/>
    <w:rsid w:val="F45742A3"/>
    <w:rsid w:val="F4FD7FDA"/>
    <w:rsid w:val="F5FF07A8"/>
    <w:rsid w:val="F5FFC338"/>
    <w:rsid w:val="F6E7B3EA"/>
    <w:rsid w:val="F75D6376"/>
    <w:rsid w:val="F77F12DF"/>
    <w:rsid w:val="F79FF99A"/>
    <w:rsid w:val="F7B8B1E7"/>
    <w:rsid w:val="F7E73838"/>
    <w:rsid w:val="F7EE9023"/>
    <w:rsid w:val="F9E70E51"/>
    <w:rsid w:val="F9FB7CD9"/>
    <w:rsid w:val="FA6F180F"/>
    <w:rsid w:val="FA9FB645"/>
    <w:rsid w:val="FAFECF2E"/>
    <w:rsid w:val="FB6F4ADC"/>
    <w:rsid w:val="FBB7ADFC"/>
    <w:rsid w:val="FBDA37A0"/>
    <w:rsid w:val="FBDFCE4E"/>
    <w:rsid w:val="FBE7A1CD"/>
    <w:rsid w:val="FBEC9A09"/>
    <w:rsid w:val="FBFEFDB9"/>
    <w:rsid w:val="FC47A18A"/>
    <w:rsid w:val="FC4F8F6E"/>
    <w:rsid w:val="FC77A59C"/>
    <w:rsid w:val="FC7C17A9"/>
    <w:rsid w:val="FD3518AA"/>
    <w:rsid w:val="FD7AABC3"/>
    <w:rsid w:val="FD7FAD8C"/>
    <w:rsid w:val="FDEB89B0"/>
    <w:rsid w:val="FDEE9779"/>
    <w:rsid w:val="FDFB5F25"/>
    <w:rsid w:val="FDFBC9E7"/>
    <w:rsid w:val="FDFF1510"/>
    <w:rsid w:val="FDFF26BE"/>
    <w:rsid w:val="FE81BD37"/>
    <w:rsid w:val="FE9E63A4"/>
    <w:rsid w:val="FEBBBEBB"/>
    <w:rsid w:val="FEBDB134"/>
    <w:rsid w:val="FEBEEA0F"/>
    <w:rsid w:val="FEF6569B"/>
    <w:rsid w:val="FEF7A357"/>
    <w:rsid w:val="FEF94EC6"/>
    <w:rsid w:val="FEFE95B4"/>
    <w:rsid w:val="FEFF7932"/>
    <w:rsid w:val="FF426D6C"/>
    <w:rsid w:val="FF578EB8"/>
    <w:rsid w:val="FF67E432"/>
    <w:rsid w:val="FF6F9C7D"/>
    <w:rsid w:val="FF774F08"/>
    <w:rsid w:val="FFAF1121"/>
    <w:rsid w:val="FFD712E3"/>
    <w:rsid w:val="FFDFB01F"/>
    <w:rsid w:val="FFEF6FA8"/>
    <w:rsid w:val="FFF1B904"/>
    <w:rsid w:val="FFF3748B"/>
    <w:rsid w:val="FFF75351"/>
    <w:rsid w:val="FFF77171"/>
    <w:rsid w:val="FFF9EBC4"/>
    <w:rsid w:val="FFFB2D38"/>
    <w:rsid w:val="FFFD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680"/>
        <w:tab w:val="right" w:pos="9360"/>
      </w:tabs>
      <w:spacing w:before="0" w:after="0"/>
    </w:pPr>
  </w:style>
  <w:style w:type="paragraph" w:styleId="6">
    <w:name w:val="header"/>
    <w:basedOn w:val="1"/>
    <w:qFormat/>
    <w:uiPriority w:val="99"/>
    <w:pPr>
      <w:tabs>
        <w:tab w:val="center" w:pos="4680"/>
        <w:tab w:val="right" w:pos="9360"/>
      </w:tabs>
      <w:spacing w:before="0" w:after="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FollowedHyperlink"/>
    <w:basedOn w:val="11"/>
    <w:uiPriority w:val="0"/>
    <w:rPr>
      <w:color w:val="800080"/>
      <w:u w:val="single"/>
    </w:rPr>
  </w:style>
  <w:style w:type="character" w:styleId="13">
    <w:name w:val="Hyperlink"/>
    <w:basedOn w:val="11"/>
    <w:uiPriority w:val="0"/>
    <w:rPr>
      <w:color w:val="0000FF"/>
      <w:u w:val="single"/>
    </w:rPr>
  </w:style>
  <w:style w:type="paragraph" w:styleId="14">
    <w:name w:val="No Spacing"/>
    <w:qFormat/>
    <w:uiPriority w:val="1"/>
    <w:rPr>
      <w:rFonts w:asciiTheme="minorHAnsi" w:hAnsiTheme="minorHAnsi" w:eastAsiaTheme="minorEastAsia" w:cstheme="minorBidi"/>
      <w:sz w:val="22"/>
      <w:szCs w:val="22"/>
      <w:lang w:val="en-US" w:eastAsia="en-US" w:bidi="ar-SA"/>
    </w:rPr>
  </w:style>
  <w:style w:type="paragraph" w:customStyle="1" w:styleId="15">
    <w:name w:val="p1"/>
    <w:basedOn w:val="1"/>
    <w:uiPriority w:val="0"/>
    <w:pPr>
      <w:spacing w:before="0" w:beforeAutospacing="0" w:after="0" w:afterAutospacing="0" w:line="640" w:lineRule="atLeast"/>
      <w:ind w:left="0" w:right="0"/>
      <w:jc w:val="left"/>
    </w:pPr>
    <w:rPr>
      <w:rFonts w:ascii="pingfang sc" w:hAnsi="pingfang sc" w:eastAsia="pingfang sc" w:cs="pingfang sc"/>
      <w:color w:val="000000"/>
      <w:kern w:val="0"/>
      <w:sz w:val="28"/>
      <w:szCs w:val="28"/>
      <w:lang w:val="en-US" w:eastAsia="zh-CN" w:bidi="ar"/>
    </w:rPr>
  </w:style>
  <w:style w:type="character" w:customStyle="1" w:styleId="16">
    <w:name w:val="s1"/>
    <w:basedOn w:val="11"/>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1858</Words>
  <Characters>1876</Characters>
  <Lines>1</Lines>
  <Paragraphs>1</Paragraphs>
  <TotalTime>5</TotalTime>
  <ScaleCrop>false</ScaleCrop>
  <LinksUpToDate>false</LinksUpToDate>
  <CharactersWithSpaces>1887</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2024-02-28T22:01:00Z</dcterms:created>
  <dc:creator>WPS_1622707002</dc:creator>
  <cp:lastModifiedBy>风过之痕</cp:lastModifiedBy>
  <dcterms:modified xsi:type="dcterms:W3CDTF">2025-02-12T15:36:09Z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5B4279C0D777B4B5EB3861676C0C0882_43</vt:lpwstr>
  </property>
</Properties>
</file>