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3"/>
        <w:keepNext/>
        <w:jc w:val="center"/>
        <w:outlineLvl w:val="0"/>
        <w:rPr>
          <w:rFonts w:hint="default"/>
          <w:sz w:val="36"/>
          <w:szCs w:val="36"/>
          <w:lang w:val="en-US" w:eastAsia="zh-Hans"/>
        </w:rPr>
      </w:pPr>
      <w:r>
        <w:rPr>
          <w:rFonts w:hint="eastAsia"/>
          <w:sz w:val="36"/>
          <w:szCs w:val="36"/>
          <w:lang w:val="en-US" w:eastAsia="zh-Hans"/>
        </w:rPr>
        <w:t>趣伴卡推客（1.0模式公众号）</w:t>
      </w:r>
    </w:p>
    <w:p>
      <w:pPr>
        <w:pStyle w:val="18"/>
        <w:keepNext w:val="0"/>
        <w:keepLines w:val="0"/>
        <w:widowControl/>
        <w:numPr>
          <w:ilvl w:val="0"/>
          <w:numId w:val="2"/>
        </w:numPr>
        <w:suppressLineNumbers w:val="0"/>
        <w:spacing w:before="0" w:beforeAutospacing="0" w:after="0" w:afterAutospacing="0" w:line="30" w:lineRule="atLeast"/>
        <w:ind w:left="0" w:right="0" w:firstLine="0"/>
        <w:jc w:val="left"/>
        <w:outlineLvl w:val="0"/>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业务背景：</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有代理商团队需要入驻非pos推广平台，但是需要自主定价模式，不要</w:t>
      </w:r>
      <w:r>
        <w:rPr>
          <w:rFonts w:hint="default" w:ascii="Lucida Grande" w:hAnsi="Lucida Grande" w:eastAsia="Lucida Grande" w:cs="Lucida Grande"/>
          <w:i w:val="0"/>
          <w:iCs w:val="0"/>
          <w:caps w:val="0"/>
          <w:color w:val="333333"/>
          <w:spacing w:val="0"/>
          <w:kern w:val="0"/>
          <w:sz w:val="21"/>
          <w:szCs w:val="21"/>
          <w:u w:val="none"/>
          <w:lang w:eastAsia="zh-Hans" w:bidi="ar"/>
        </w:rPr>
        <w:t>2.0</w:t>
      </w:r>
      <w:r>
        <w:rPr>
          <w:rFonts w:hint="eastAsia" w:ascii="Lucida Grande" w:hAnsi="Lucida Grande" w:eastAsia="Lucida Grande" w:cs="Lucida Grande"/>
          <w:i w:val="0"/>
          <w:iCs w:val="0"/>
          <w:caps w:val="0"/>
          <w:color w:val="333333"/>
          <w:spacing w:val="0"/>
          <w:kern w:val="0"/>
          <w:sz w:val="21"/>
          <w:szCs w:val="21"/>
          <w:u w:val="none"/>
          <w:lang w:val="en-US" w:eastAsia="zh-Hans" w:bidi="ar"/>
        </w:rPr>
        <w:t>模式</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搭建该模式公众号后，可快速复制到其他公众号，做定制化系统</w:t>
      </w:r>
    </w:p>
    <w:p>
      <w:pPr>
        <w:rPr>
          <w:rFonts w:hint="default" w:ascii="Lucida Grande" w:hAnsi="Lucida Grande" w:eastAsia="Lucida Grande" w:cs="Lucida Grande"/>
          <w:i w:val="0"/>
          <w:iCs w:val="0"/>
          <w:caps w:val="0"/>
          <w:color w:val="333333"/>
          <w:spacing w:val="0"/>
          <w:kern w:val="0"/>
          <w:sz w:val="28"/>
          <w:szCs w:val="28"/>
          <w:u w:val="none"/>
          <w:lang w:eastAsia="zh-Hans" w:bidi="ar"/>
        </w:rPr>
      </w:pPr>
    </w:p>
    <w:p>
      <w:pPr>
        <w:pStyle w:val="2"/>
        <w:numPr>
          <w:ilvl w:val="0"/>
          <w:numId w:val="2"/>
        </w:numPr>
        <w:bidi w:val="0"/>
        <w:rPr>
          <w:rFonts w:hint="eastAsia"/>
          <w:lang w:val="en-US" w:eastAsia="zh-Hans"/>
        </w:rPr>
      </w:pPr>
      <w:r>
        <w:rPr>
          <w:rFonts w:hint="eastAsia" w:ascii="Lucida Grande" w:hAnsi="Lucida Grande" w:eastAsia="Lucida Grande" w:cs="Lucida Grande"/>
          <w:i w:val="0"/>
          <w:iCs w:val="0"/>
          <w:caps w:val="0"/>
          <w:color w:val="333333"/>
          <w:spacing w:val="0"/>
          <w:sz w:val="28"/>
          <w:szCs w:val="28"/>
          <w:u w:val="none"/>
          <w:lang w:val="en-US" w:eastAsia="zh-Hans"/>
        </w:rPr>
        <w:t>需求内容</w:t>
      </w:r>
      <w:r>
        <w:rPr>
          <w:rFonts w:hint="default" w:ascii="Lucida Grande" w:hAnsi="Lucida Grande" w:eastAsia="Lucida Grande" w:cs="Lucida Grande"/>
          <w:i w:val="0"/>
          <w:iCs w:val="0"/>
          <w:caps w:val="0"/>
          <w:color w:val="333333"/>
          <w:spacing w:val="0"/>
          <w:sz w:val="28"/>
          <w:szCs w:val="28"/>
          <w:u w:val="none"/>
        </w:rPr>
        <w:t>：</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团队拓展、团队管理、价格设置的作用：</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团队拓展、团队管理、价格设置启用的渠道，在推客首页金刚区第四个按钮展示团队拓展按钮，全产品推广右侧展示价格设置入口，底栏中间增加团队入口；</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价格设置启用的渠道：一代的产品政策按钮不再展示，将金额按照普通合作方的方式在银行列表中进行展示。</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在所有用户的全产品推广右侧展示价格设置入口，让所有用户可以层层设置分润。</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drawing>
          <wp:inline distT="0" distB="0" distL="114300" distR="114300">
            <wp:extent cx="2908935" cy="6402070"/>
            <wp:effectExtent l="0" t="0" r="12065" b="241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7"/>
                    <a:stretch>
                      <a:fillRect/>
                    </a:stretch>
                  </pic:blipFill>
                  <pic:spPr>
                    <a:xfrm>
                      <a:off x="0" y="0"/>
                      <a:ext cx="2908935" cy="6402070"/>
                    </a:xfrm>
                    <a:prstGeom prst="rect">
                      <a:avLst/>
                    </a:prstGeom>
                    <a:noFill/>
                    <a:ln>
                      <a:noFill/>
                    </a:ln>
                  </pic:spPr>
                </pic:pic>
              </a:graphicData>
            </a:graphic>
          </wp:inline>
        </w:drawing>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团队拓展按钮，进入后如下图</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drawing>
          <wp:inline distT="0" distB="0" distL="114300" distR="114300">
            <wp:extent cx="1797050" cy="3890010"/>
            <wp:effectExtent l="0" t="0" r="6350" b="21590"/>
            <wp:docPr id="1" name="图片 1" descr="/private/var/folders/ql/m5fl44_s0cnbqqfrxpzpc7g80000gn/T/com.kingsoft.wpsoffice.mac/picturecompress_20230616103638/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rivate/var/folders/ql/m5fl44_s0cnbqqfrxpzpc7g80000gn/T/com.kingsoft.wpsoffice.mac/picturecompress_20230616103638/output_1.pngoutput_1"/>
                    <pic:cNvPicPr>
                      <a:picLocks noChangeAspect="1"/>
                    </pic:cNvPicPr>
                  </pic:nvPicPr>
                  <pic:blipFill>
                    <a:blip r:embed="rId8"/>
                    <a:stretch>
                      <a:fillRect/>
                    </a:stretch>
                  </pic:blipFill>
                  <pic:spPr>
                    <a:xfrm>
                      <a:off x="0" y="0"/>
                      <a:ext cx="1797050" cy="3890010"/>
                    </a:xfrm>
                    <a:prstGeom prst="rect">
                      <a:avLst/>
                    </a:prstGeom>
                  </pic:spPr>
                </pic:pic>
              </a:graphicData>
            </a:graphic>
          </wp:inline>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扫码后打开属于本渠道的注册页面，注册逻辑同拓客趣伴卡，注册成功展示引导关注本渠道公众号的二维码图片。</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通过公众号菜单进入本渠道首页后，登录逻辑同拓客趣伴卡。</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团队tab进入后如下图。</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59264" behindDoc="0" locked="0" layoutInCell="1" allowOverlap="1">
            <wp:simplePos x="0" y="0"/>
            <wp:positionH relativeFrom="column">
              <wp:posOffset>250190</wp:posOffset>
            </wp:positionH>
            <wp:positionV relativeFrom="paragraph">
              <wp:posOffset>59055</wp:posOffset>
            </wp:positionV>
            <wp:extent cx="1675130" cy="3595370"/>
            <wp:effectExtent l="0" t="0" r="1270" b="11430"/>
            <wp:wrapSquare wrapText="bothSides"/>
            <wp:docPr id="2" name="图片 1" descr="/Users/hubo/Desktop/Snipaste_2023-07-14_14-00-18.pngSnipaste_2023-07-14_14-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Users/hubo/Desktop/Snipaste_2023-07-14_14-00-18.pngSnipaste_2023-07-14_14-00-18"/>
                    <pic:cNvPicPr>
                      <a:picLocks noChangeAspect="1"/>
                    </pic:cNvPicPr>
                  </pic:nvPicPr>
                  <pic:blipFill>
                    <a:blip r:embed="rId9"/>
                    <a:srcRect/>
                    <a:stretch>
                      <a:fillRect/>
                    </a:stretch>
                  </pic:blipFill>
                  <pic:spPr>
                    <a:xfrm>
                      <a:off x="0" y="0"/>
                      <a:ext cx="1675130" cy="3595370"/>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相对展业版减少推荐奖详情、激励奖详情</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展示我的推荐人信息，样式逻辑同拓客趣伴卡</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展示我的团队的实时数据，直属下级人数和含自己的团队总人数</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本月业绩，展示从当月</w:t>
      </w:r>
      <w:r>
        <w:rPr>
          <w:rFonts w:hint="default" w:ascii="Lucida Grande" w:hAnsi="Lucida Grande" w:eastAsia="Lucida Grande" w:cs="Lucida Grande"/>
          <w:i w:val="0"/>
          <w:iCs w:val="0"/>
          <w:caps w:val="0"/>
          <w:color w:val="333333"/>
          <w:spacing w:val="0"/>
          <w:kern w:val="0"/>
          <w:sz w:val="21"/>
          <w:szCs w:val="21"/>
          <w:u w:val="none"/>
          <w:lang w:eastAsia="zh-Hans" w:bidi="ar"/>
        </w:rPr>
        <w:t>1</w:t>
      </w:r>
      <w:r>
        <w:rPr>
          <w:rFonts w:hint="eastAsia" w:ascii="Lucida Grande" w:hAnsi="Lucida Grande" w:eastAsia="Lucida Grande" w:cs="Lucida Grande"/>
          <w:i w:val="0"/>
          <w:iCs w:val="0"/>
          <w:caps w:val="0"/>
          <w:color w:val="333333"/>
          <w:spacing w:val="0"/>
          <w:kern w:val="0"/>
          <w:sz w:val="21"/>
          <w:szCs w:val="21"/>
          <w:u w:val="none"/>
          <w:lang w:val="en-US" w:eastAsia="zh-Hans" w:bidi="ar"/>
        </w:rPr>
        <w:t>号</w:t>
      </w:r>
      <w:r>
        <w:rPr>
          <w:rFonts w:hint="default" w:ascii="Lucida Grande" w:hAnsi="Lucida Grande" w:eastAsia="Lucida Grande" w:cs="Lucida Grande"/>
          <w:i w:val="0"/>
          <w:iCs w:val="0"/>
          <w:caps w:val="0"/>
          <w:color w:val="333333"/>
          <w:spacing w:val="0"/>
          <w:kern w:val="0"/>
          <w:sz w:val="21"/>
          <w:szCs w:val="21"/>
          <w:u w:val="none"/>
          <w:lang w:eastAsia="zh-Hans" w:bidi="ar"/>
        </w:rPr>
        <w:t>0</w:t>
      </w:r>
      <w:r>
        <w:rPr>
          <w:rFonts w:hint="eastAsia" w:ascii="Lucida Grande" w:hAnsi="Lucida Grande" w:eastAsia="Lucida Grande" w:cs="Lucida Grande"/>
          <w:i w:val="0"/>
          <w:iCs w:val="0"/>
          <w:caps w:val="0"/>
          <w:color w:val="333333"/>
          <w:spacing w:val="0"/>
          <w:kern w:val="0"/>
          <w:sz w:val="21"/>
          <w:szCs w:val="21"/>
          <w:u w:val="none"/>
          <w:lang w:val="en-US" w:eastAsia="zh-Hans" w:bidi="ar"/>
        </w:rPr>
        <w:t>点开始含自己的团队整体的订单数（客户登记时间）、达标数（达标订单数、订单达标时间）、总奖励金额（发放时间）</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业绩详情入口及下方合作方的业绩详情入口进入后展示对应团队的业绩详情</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相对展业版减少推荐奖励统计数展示</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直属拓客进入后如下图。</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2336" behindDoc="0" locked="0" layoutInCell="1" allowOverlap="1">
            <wp:simplePos x="0" y="0"/>
            <wp:positionH relativeFrom="column">
              <wp:posOffset>241935</wp:posOffset>
            </wp:positionH>
            <wp:positionV relativeFrom="paragraph">
              <wp:posOffset>64770</wp:posOffset>
            </wp:positionV>
            <wp:extent cx="1605280" cy="3472180"/>
            <wp:effectExtent l="0" t="0" r="20320" b="7620"/>
            <wp:wrapSquare wrapText="bothSides"/>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605280" cy="3472180"/>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直属合作方明细可通过姓名或手机号搜索</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合作方无等级概念，增加设置价格入口，按加入时间由晚到早排列</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br w:type="page"/>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pPr>
      <w:r>
        <w:rPr>
          <w:rFonts w:hint="eastAsia" w:ascii="Lucida Grande" w:hAnsi="Lucida Grande" w:eastAsia="Lucida Grande" w:cs="Lucida Grande"/>
          <w:i w:val="0"/>
          <w:iCs w:val="0"/>
          <w:caps w:val="0"/>
          <w:color w:val="333333"/>
          <w:spacing w:val="0"/>
          <w:kern w:val="0"/>
          <w:sz w:val="21"/>
          <w:szCs w:val="21"/>
          <w:u w:val="none"/>
          <w:lang w:val="en-US" w:eastAsia="zh-Hans" w:bidi="ar"/>
        </w:rPr>
        <w:t>下级价格设置页面如下。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eastAsia="Times New Roman"/>
          <w:lang w:val="en-US" w:eastAsia="zh-Hans"/>
        </w:rPr>
      </w:pPr>
      <w:r>
        <w:rPr>
          <w:rFonts w:hint="eastAsia"/>
          <w:lang w:val="en-US" w:eastAsia="zh-Hans"/>
        </w:rPr>
        <w:t>H</w:t>
      </w:r>
      <w:r>
        <w:rPr>
          <w:rFonts w:hint="default"/>
          <w:lang w:eastAsia="zh-Hans"/>
        </w:rPr>
        <w:t>5</w:t>
      </w:r>
      <w:r>
        <w:rPr>
          <w:rFonts w:hint="eastAsia"/>
          <w:lang w:val="en-US" w:eastAsia="zh-Hans"/>
        </w:rPr>
        <w:t>页面由拓客提供</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bookmarkStart w:id="0" w:name="_GoBack"/>
      <w:r>
        <w:drawing>
          <wp:anchor distT="0" distB="0" distL="114300" distR="114300" simplePos="0" relativeHeight="251664384" behindDoc="0" locked="0" layoutInCell="1" allowOverlap="1">
            <wp:simplePos x="0" y="0"/>
            <wp:positionH relativeFrom="column">
              <wp:posOffset>3682365</wp:posOffset>
            </wp:positionH>
            <wp:positionV relativeFrom="paragraph">
              <wp:posOffset>101600</wp:posOffset>
            </wp:positionV>
            <wp:extent cx="1699260" cy="3662045"/>
            <wp:effectExtent l="0" t="0" r="2540" b="20955"/>
            <wp:wrapTopAndBottom/>
            <wp:docPr id="23" name="图片 7" descr="/Users/hubo/Downloads/Snipaste_2023-09-18_15-54-04.pngSnipaste_2023-09-18_15-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Users/hubo/Downloads/Snipaste_2023-09-18_15-54-04.pngSnipaste_2023-09-18_15-54-04"/>
                    <pic:cNvPicPr>
                      <a:picLocks noChangeAspect="1"/>
                    </pic:cNvPicPr>
                  </pic:nvPicPr>
                  <pic:blipFill>
                    <a:blip r:embed="rId11"/>
                    <a:srcRect t="98" b="98"/>
                    <a:stretch>
                      <a:fillRect/>
                    </a:stretch>
                  </pic:blipFill>
                  <pic:spPr>
                    <a:xfrm>
                      <a:off x="0" y="0"/>
                      <a:ext cx="1699260" cy="3662045"/>
                    </a:xfrm>
                    <a:prstGeom prst="rect">
                      <a:avLst/>
                    </a:prstGeom>
                    <a:noFill/>
                    <a:ln>
                      <a:noFill/>
                    </a:ln>
                  </pic:spPr>
                </pic:pic>
              </a:graphicData>
            </a:graphic>
          </wp:anchor>
        </w:drawing>
      </w:r>
      <w:bookmarkEnd w:id="0"/>
      <w:r>
        <w:drawing>
          <wp:anchor distT="0" distB="0" distL="114300" distR="114300" simplePos="0" relativeHeight="251665408" behindDoc="0" locked="0" layoutInCell="1" allowOverlap="1">
            <wp:simplePos x="0" y="0"/>
            <wp:positionH relativeFrom="column">
              <wp:posOffset>1953260</wp:posOffset>
            </wp:positionH>
            <wp:positionV relativeFrom="paragraph">
              <wp:posOffset>91440</wp:posOffset>
            </wp:positionV>
            <wp:extent cx="1641475" cy="3568065"/>
            <wp:effectExtent l="0" t="0" r="9525" b="13335"/>
            <wp:wrapTopAndBottom/>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2"/>
                    <a:stretch>
                      <a:fillRect/>
                    </a:stretch>
                  </pic:blipFill>
                  <pic:spPr>
                    <a:xfrm>
                      <a:off x="0" y="0"/>
                      <a:ext cx="1641475" cy="356806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255270</wp:posOffset>
            </wp:positionH>
            <wp:positionV relativeFrom="paragraph">
              <wp:posOffset>91440</wp:posOffset>
            </wp:positionV>
            <wp:extent cx="1619250" cy="3495675"/>
            <wp:effectExtent l="0" t="0" r="6350" b="9525"/>
            <wp:wrapTopAndBottom/>
            <wp:docPr id="21" name="图片 6" descr="/Users/hubo/Downloads/1695023538832.jpg169502353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Users/hubo/Downloads/1695023538832.jpg1695023538832"/>
                    <pic:cNvPicPr>
                      <a:picLocks noChangeAspect="1"/>
                    </pic:cNvPicPr>
                  </pic:nvPicPr>
                  <pic:blipFill>
                    <a:blip r:embed="rId13"/>
                    <a:srcRect t="373" b="373"/>
                    <a:stretch>
                      <a:fillRect/>
                    </a:stretch>
                  </pic:blipFill>
                  <pic:spPr>
                    <a:xfrm>
                      <a:off x="0" y="0"/>
                      <a:ext cx="1619250" cy="3495675"/>
                    </a:xfrm>
                    <a:prstGeom prst="rect">
                      <a:avLst/>
                    </a:prstGeom>
                    <a:noFill/>
                    <a:ln>
                      <a:noFill/>
                    </a:ln>
                  </pic:spPr>
                </pic:pic>
              </a:graphicData>
            </a:graphic>
          </wp:anchor>
        </w:drawing>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1312" behindDoc="0" locked="0" layoutInCell="1" allowOverlap="1">
            <wp:simplePos x="0" y="0"/>
            <wp:positionH relativeFrom="column">
              <wp:posOffset>3702685</wp:posOffset>
            </wp:positionH>
            <wp:positionV relativeFrom="paragraph">
              <wp:posOffset>170180</wp:posOffset>
            </wp:positionV>
            <wp:extent cx="1609725" cy="3486150"/>
            <wp:effectExtent l="0" t="0" r="15875" b="19050"/>
            <wp:wrapSquare wrapText="bothSides"/>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1609725" cy="3486150"/>
                    </a:xfrm>
                    <a:prstGeom prst="rect">
                      <a:avLst/>
                    </a:prstGeom>
                    <a:noFill/>
                    <a:ln>
                      <a:noFill/>
                    </a:ln>
                  </pic:spPr>
                </pic:pic>
              </a:graphicData>
            </a:graphic>
          </wp:anchor>
        </w:drawing>
      </w:r>
      <w:r>
        <w:rPr>
          <w:rFonts w:hint="eastAsia" w:ascii="Lucida Grande" w:hAnsi="Lucida Grande" w:eastAsia="Lucida Grande" w:cs="Lucida Grande"/>
          <w:i w:val="0"/>
          <w:iCs w:val="0"/>
          <w:caps w:val="0"/>
          <w:color w:val="333333"/>
          <w:spacing w:val="0"/>
          <w:kern w:val="0"/>
          <w:sz w:val="21"/>
          <w:szCs w:val="21"/>
          <w:u w:val="none"/>
          <w:lang w:val="en-US" w:eastAsia="zh-Hans" w:bidi="ar"/>
        </w:rPr>
        <w:t>下级业绩详情页面如下。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0288" behindDoc="0" locked="0" layoutInCell="1" allowOverlap="1">
            <wp:simplePos x="0" y="0"/>
            <wp:positionH relativeFrom="column">
              <wp:posOffset>226060</wp:posOffset>
            </wp:positionH>
            <wp:positionV relativeFrom="paragraph">
              <wp:posOffset>24765</wp:posOffset>
            </wp:positionV>
            <wp:extent cx="1614805" cy="3476625"/>
            <wp:effectExtent l="0" t="0" r="10795" b="3175"/>
            <wp:wrapSquare wrapText="bothSides"/>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1614805" cy="3476625"/>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t xml:space="preserve">                                                   </w:t>
      </w:r>
      <w:r>
        <w:rPr>
          <w:rFonts w:hint="eastAsia" w:ascii="Lucida Grande" w:hAnsi="Lucida Grande" w:eastAsia="Lucida Grande" w:cs="Lucida Grande"/>
          <w:i w:val="0"/>
          <w:iCs w:val="0"/>
          <w:caps w:val="0"/>
          <w:color w:val="333333"/>
          <w:spacing w:val="0"/>
          <w:kern w:val="0"/>
          <w:sz w:val="21"/>
          <w:szCs w:val="21"/>
          <w:u w:val="none"/>
          <w:lang w:val="en-US" w:eastAsia="zh-Hans" w:bidi="ar"/>
        </w:rPr>
        <w:t>各类型产品点击查看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t xml:space="preserve">                                                    </w:t>
      </w:r>
      <w:r>
        <w:rPr>
          <w:rFonts w:hint="eastAsia" w:ascii="Lucida Grande" w:hAnsi="Lucida Grande" w:eastAsia="Lucida Grande" w:cs="Lucida Grande"/>
          <w:i w:val="0"/>
          <w:iCs w:val="0"/>
          <w:caps w:val="0"/>
          <w:color w:val="333333"/>
          <w:spacing w:val="0"/>
          <w:kern w:val="0"/>
          <w:sz w:val="21"/>
          <w:szCs w:val="21"/>
          <w:u w:val="none"/>
          <w:lang w:val="en-US" w:eastAsia="zh-Hans" w:bidi="ar"/>
        </w:rPr>
        <w:t>详情后的页面展示</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页面基本同展业版业绩详情</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页面，所有总直推奖励修改</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为总奖励，展示该合作方团最后一列总直推奖励</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队获得的该类产品的奖励金修改为总奖励</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额</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br w:type="page"/>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价格设置开启后，在所有用户的全产品推广右侧增加按钮入口，进入后可设置默认定价，所有未设置特殊定价的下级均使用该处定价所设置的比例进行分润。</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eastAsia="Times New Roman"/>
          <w:lang w:val="en-US" w:eastAsia="zh-Hans"/>
        </w:rPr>
      </w:pPr>
      <w:r>
        <w:rPr>
          <w:rFonts w:hint="eastAsia"/>
          <w:lang w:val="en-US" w:eastAsia="zh-Hans"/>
        </w:rPr>
        <w:t>H</w:t>
      </w:r>
      <w:r>
        <w:rPr>
          <w:rFonts w:hint="default"/>
          <w:lang w:eastAsia="zh-Hans"/>
        </w:rPr>
        <w:t>5</w:t>
      </w:r>
      <w:r>
        <w:rPr>
          <w:rFonts w:hint="eastAsia"/>
          <w:lang w:val="en-US" w:eastAsia="zh-Hans"/>
        </w:rPr>
        <w:t>页面由拓客提供</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sz w:val="21"/>
          <w:szCs w:val="21"/>
          <w:lang w:val="en-US" w:eastAsia="zh-Hans"/>
        </w:rPr>
      </w:pPr>
      <w:r>
        <w:rPr>
          <w:rFonts w:hint="eastAsia"/>
          <w:sz w:val="21"/>
          <w:szCs w:val="21"/>
          <w:lang w:val="en-US" w:eastAsia="zh-Hans"/>
        </w:rPr>
        <w:t>该处设置的合作方结算价比例，影响：</w:t>
      </w:r>
    </w:p>
    <w:p>
      <w:pPr>
        <w:numPr>
          <w:ilvl w:val="0"/>
          <w:numId w:val="0"/>
        </w:numPr>
        <w:jc w:val="both"/>
        <w:outlineLvl w:val="9"/>
        <w:rPr>
          <w:rFonts w:hint="eastAsia"/>
          <w:color w:val="FF0000"/>
          <w:lang w:val="en-US" w:eastAsia="zh-Hans"/>
        </w:rPr>
      </w:pPr>
      <w:r>
        <w:rPr>
          <w:rFonts w:hint="default" w:ascii="Calibri" w:hAnsi="Calibri" w:cs="Calibri"/>
          <w:color w:val="FF0000"/>
          <w:lang w:val="en-US" w:eastAsia="zh-Hans"/>
        </w:rPr>
        <w:t>①</w:t>
      </w:r>
      <w:r>
        <w:rPr>
          <w:rFonts w:hint="eastAsia"/>
          <w:color w:val="FF0000"/>
          <w:lang w:val="en-US" w:eastAsia="zh-Hans"/>
        </w:rPr>
        <w:t>对已存在且未单独配置过的合作方，均设为最新一次修改的默认分润比例</w:t>
      </w:r>
    </w:p>
    <w:p>
      <w:pPr>
        <w:numPr>
          <w:ilvl w:val="0"/>
          <w:numId w:val="0"/>
        </w:numPr>
        <w:jc w:val="both"/>
        <w:outlineLvl w:val="9"/>
        <w:rPr>
          <w:rFonts w:hint="eastAsia"/>
          <w:color w:val="FF0000"/>
          <w:lang w:val="en-US" w:eastAsia="zh-Hans"/>
        </w:rPr>
      </w:pPr>
      <w:r>
        <w:rPr>
          <w:rFonts w:hint="default" w:ascii="Calibri" w:hAnsi="Calibri" w:cs="Calibri"/>
          <w:color w:val="FF0000"/>
          <w:lang w:val="en-US" w:eastAsia="zh-Hans"/>
        </w:rPr>
        <w:t>②</w:t>
      </w:r>
      <w:r>
        <w:rPr>
          <w:rFonts w:hint="eastAsia"/>
          <w:color w:val="FF0000"/>
          <w:lang w:val="en-US" w:eastAsia="zh-Hans"/>
        </w:rPr>
        <w:t>对单独配置过的合作方，不修改其分润比例。</w:t>
      </w:r>
    </w:p>
    <w:p>
      <w:pPr>
        <w:numPr>
          <w:ilvl w:val="0"/>
          <w:numId w:val="0"/>
        </w:numPr>
        <w:jc w:val="both"/>
        <w:outlineLvl w:val="9"/>
        <w:rPr>
          <w:rFonts w:hint="eastAsia"/>
          <w:color w:val="FF0000"/>
          <w:lang w:val="en-US" w:eastAsia="zh-Hans"/>
        </w:rPr>
      </w:pPr>
      <w:r>
        <w:rPr>
          <w:rFonts w:hint="default" w:ascii="Calibri" w:hAnsi="Calibri" w:cs="Calibri"/>
          <w:color w:val="FF0000"/>
          <w:lang w:val="en-US" w:eastAsia="zh-Hans"/>
        </w:rPr>
        <w:t>③</w:t>
      </w:r>
      <w:r>
        <w:rPr>
          <w:rFonts w:hint="eastAsia"/>
          <w:color w:val="FF0000"/>
          <w:lang w:val="en-US" w:eastAsia="zh-Hans"/>
        </w:rPr>
        <w:t>对配置后新增的合作方，设为最新一次修改的默认分润比例。</w:t>
      </w:r>
    </w:p>
    <w:p>
      <w:pPr>
        <w:rPr>
          <w:rFonts w:hint="default"/>
          <w:lang w:val="en-US" w:eastAsia="zh-Hans"/>
        </w:rPr>
      </w:pPr>
      <w:r>
        <w:rPr>
          <w:rFonts w:hint="default"/>
          <w:lang w:val="en-US" w:eastAsia="zh-Hans"/>
        </w:rPr>
        <w:br w:type="page"/>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我的页面进入我的账户时校验实名状态，未实名的用户弹窗提示用户需要去实名认证，实名认证完成后才能进入我的账户提现。</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drawing>
          <wp:inline distT="0" distB="0" distL="114300" distR="114300">
            <wp:extent cx="1325880" cy="2870200"/>
            <wp:effectExtent l="0" t="0" r="20320" b="0"/>
            <wp:docPr id="18" name="图片 18" descr="IMG_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8638"/>
                    <pic:cNvPicPr>
                      <a:picLocks noChangeAspect="1"/>
                    </pic:cNvPicPr>
                  </pic:nvPicPr>
                  <pic:blipFill>
                    <a:blip r:embed="rId16"/>
                    <a:stretch>
                      <a:fillRect/>
                    </a:stretch>
                  </pic:blipFill>
                  <pic:spPr>
                    <a:xfrm>
                      <a:off x="0" y="0"/>
                      <a:ext cx="1325880" cy="2870200"/>
                    </a:xfrm>
                    <a:prstGeom prst="rect">
                      <a:avLst/>
                    </a:prstGeom>
                  </pic:spPr>
                </pic:pic>
              </a:graphicData>
            </a:graphic>
          </wp:inline>
        </w:drawing>
      </w:r>
      <w:r>
        <w:rPr>
          <w:rFonts w:hint="default" w:ascii="Lucida Grande" w:hAnsi="Lucida Grande" w:eastAsia="Lucida Grande" w:cs="Lucida Grande"/>
          <w:i w:val="0"/>
          <w:iCs w:val="0"/>
          <w:caps w:val="0"/>
          <w:color w:val="333333"/>
          <w:spacing w:val="0"/>
          <w:kern w:val="0"/>
          <w:sz w:val="21"/>
          <w:szCs w:val="21"/>
          <w:u w:val="none"/>
          <w:lang w:eastAsia="zh-Hans" w:bidi="ar"/>
        </w:rPr>
        <w:drawing>
          <wp:inline distT="0" distB="0" distL="114300" distR="114300">
            <wp:extent cx="1320800" cy="2860040"/>
            <wp:effectExtent l="0" t="0" r="0" b="10160"/>
            <wp:docPr id="17" name="图片 17" descr="IMG_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8637"/>
                    <pic:cNvPicPr>
                      <a:picLocks noChangeAspect="1"/>
                    </pic:cNvPicPr>
                  </pic:nvPicPr>
                  <pic:blipFill>
                    <a:blip r:embed="rId17"/>
                    <a:stretch>
                      <a:fillRect/>
                    </a:stretch>
                  </pic:blipFill>
                  <pic:spPr>
                    <a:xfrm>
                      <a:off x="0" y="0"/>
                      <a:ext cx="1320800" cy="2860040"/>
                    </a:xfrm>
                    <a:prstGeom prst="rect">
                      <a:avLst/>
                    </a:prstGeom>
                  </pic:spPr>
                </pic:pic>
              </a:graphicData>
            </a:graphic>
          </wp:inline>
        </w:drawing>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收益汇总页面在公众号需正常打开。</w:t>
      </w:r>
    </w:p>
    <w:p>
      <w:pPr>
        <w:numPr>
          <w:ilvl w:val="0"/>
          <w:numId w:val="0"/>
        </w:numPr>
        <w:jc w:val="both"/>
        <w:outlineLvl w:val="9"/>
        <w:rPr>
          <w:rFonts w:hint="default"/>
          <w:lang w:eastAsia="zh-Hans"/>
        </w:rPr>
      </w:pPr>
      <w:r>
        <w:rPr>
          <w:rFonts w:hint="default"/>
          <w:lang w:eastAsia="zh-Hans"/>
        </w:rPr>
        <w:t xml:space="preserve">    </w:t>
      </w:r>
      <w:r>
        <w:rPr>
          <w:rFonts w:hint="default"/>
          <w:lang w:eastAsia="zh-Hans"/>
        </w:rPr>
        <w:drawing>
          <wp:inline distT="0" distB="0" distL="114300" distR="114300">
            <wp:extent cx="1377950" cy="2983865"/>
            <wp:effectExtent l="0" t="0" r="19050" b="13335"/>
            <wp:docPr id="19" name="图片 19" descr="IMG_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8639"/>
                    <pic:cNvPicPr>
                      <a:picLocks noChangeAspect="1"/>
                    </pic:cNvPicPr>
                  </pic:nvPicPr>
                  <pic:blipFill>
                    <a:blip r:embed="rId18"/>
                    <a:stretch>
                      <a:fillRect/>
                    </a:stretch>
                  </pic:blipFill>
                  <pic:spPr>
                    <a:xfrm>
                      <a:off x="0" y="0"/>
                      <a:ext cx="1377950" cy="2983865"/>
                    </a:xfrm>
                    <a:prstGeom prst="rect">
                      <a:avLst/>
                    </a:prstGeom>
                  </pic:spPr>
                </pic:pic>
              </a:graphicData>
            </a:graphic>
          </wp:inline>
        </w:drawing>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刷新汇拓客结算规则逻辑优化。</w:t>
      </w:r>
    </w:p>
    <w:p>
      <w:pPr>
        <w:numPr>
          <w:ilvl w:val="0"/>
          <w:numId w:val="0"/>
        </w:numPr>
        <w:jc w:val="both"/>
        <w:outlineLvl w:val="9"/>
        <w:rPr>
          <w:rFonts w:hint="default"/>
          <w:lang w:val="en-US" w:eastAsia="zh-Hans"/>
        </w:rPr>
      </w:pPr>
      <w:r>
        <w:rPr>
          <w:rFonts w:hint="eastAsia"/>
          <w:lang w:val="en-US" w:eastAsia="zh-Hans"/>
        </w:rPr>
        <w:t>刷新结算规则时，需增加传参：产品类型，第一级结算价格，第二级结算价格，第一级结算比例，第二级结算比例。</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拓客端需求汇总。</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增加趣伴卡推客渠道类型，服务商管理筛选项、新建服务商、合作方管理筛选项。</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建立趣伴卡推客对应扣票机构</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佳德宝趣伴卡推客。</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付款单增加渠道类型筛选项趣伴卡推客，付款头寸参数使用同趣伴卡渠道。</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1"/>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参数如下：</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object>
          <v:shape id="_x0000_i1025" o:spt="75" type="#_x0000_t75" style="height:42.9pt;width:32.15pt;" o:ole="t" filled="f" o:preferrelative="t" stroked="f" coordsize="21600,21600">
            <v:path/>
            <v:fill on="f" focussize="0,0"/>
            <v:stroke on="f"/>
            <v:imagedata r:id="rId20" o:title="oleimage"/>
            <o:lock v:ext="edit" aspectratio="t"/>
            <w10:wrap type="none"/>
            <w10:anchorlock/>
          </v:shape>
          <o:OLEObject Type="Embed" ProgID="Package" ShapeID="_x0000_i1025" DrawAspect="Content" ObjectID="_1468075725" r:id="rId19">
            <o:LockedField>false</o:LockedField>
          </o:OLEObject>
        </w:object>
      </w:r>
      <w:r>
        <w:rPr>
          <w:rFonts w:hint="eastAsia" w:ascii="Lucida Grande" w:hAnsi="Lucida Grande" w:eastAsia="Lucida Grande" w:cs="Lucida Grande"/>
          <w:i w:val="0"/>
          <w:iCs w:val="0"/>
          <w:caps w:val="0"/>
          <w:color w:val="333333"/>
          <w:spacing w:val="0"/>
          <w:kern w:val="0"/>
          <w:sz w:val="21"/>
          <w:szCs w:val="21"/>
          <w:u w:val="none"/>
          <w:lang w:val="en-US" w:eastAsia="zh-Hans" w:bidi="ar"/>
        </w:rPr>
        <w:object>
          <v:shape id="_x0000_i1026" o:spt="75" type="#_x0000_t75" style="height:43.4pt;width:32.5pt;" o:ole="t" filled="f" o:preferrelative="t" stroked="f" coordsize="21600,21600">
            <v:path/>
            <v:fill on="f" focussize="0,0"/>
            <v:stroke on="f"/>
            <v:imagedata r:id="rId22" o:title="oleimage"/>
            <o:lock v:ext="edit" aspectratio="t"/>
            <w10:wrap type="none"/>
            <w10:anchorlock/>
          </v:shape>
          <o:OLEObject Type="Embed" ProgID="Package" ShapeID="_x0000_i1026" DrawAspect="Content" ObjectID="_1468075726" r:id="rId21">
            <o:LockedField>false</o:LockedField>
          </o:OLEObject>
        </w:objec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趣伴卡分润报表</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日报、月报、代理商报表增加趣伴卡推客数据。</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收益汇总页面需支持在公众号中打开。</w:t>
      </w:r>
    </w:p>
    <w:p>
      <w:pPr>
        <w:pStyle w:val="18"/>
        <w:keepNext w:val="0"/>
        <w:keepLines w:val="0"/>
        <w:widowControl/>
        <w:numPr>
          <w:ilvl w:val="2"/>
          <w:numId w:val="2"/>
        </w:numPr>
        <w:suppressLineNumbers w:val="0"/>
        <w:spacing w:before="0" w:beforeAutospacing="0" w:after="0" w:afterAutospacing="0" w:line="30" w:lineRule="atLeast"/>
        <w:ind w:left="126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控台配置办卡管理</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银行配置修改为产品配置</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1"/>
      </w:pPr>
      <w:r>
        <w:drawing>
          <wp:inline distT="0" distB="0" distL="114300" distR="114300">
            <wp:extent cx="6857365" cy="1908810"/>
            <wp:effectExtent l="0" t="0" r="635" b="215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3"/>
                    <a:stretch>
                      <a:fillRect/>
                    </a:stretch>
                  </pic:blipFill>
                  <pic:spPr>
                    <a:xfrm>
                      <a:off x="0" y="0"/>
                      <a:ext cx="6857365" cy="1908810"/>
                    </a:xfrm>
                    <a:prstGeom prst="rect">
                      <a:avLst/>
                    </a:prstGeom>
                    <a:noFill/>
                    <a:ln>
                      <a:noFill/>
                    </a:ln>
                  </pic:spPr>
                </pic:pic>
              </a:graphicData>
            </a:graphic>
          </wp:inline>
        </w:drawing>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1"/>
        <w:rPr>
          <w:rFonts w:hint="eastAsia"/>
          <w:lang w:val="en-US" w:eastAsia="zh-Hans"/>
        </w:rPr>
      </w:pPr>
      <w:r>
        <w:rPr>
          <w:rFonts w:hint="eastAsia"/>
          <w:lang w:val="en-US" w:eastAsia="zh-Hans"/>
        </w:rPr>
        <w:t>查询条件修改为产品名称、产品编码、参考产品</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1"/>
        <w:rPr>
          <w:rFonts w:hint="eastAsia"/>
          <w:lang w:val="en-US" w:eastAsia="zh-Hans"/>
        </w:rPr>
      </w:pPr>
      <w:r>
        <w:rPr>
          <w:rFonts w:hint="eastAsia"/>
          <w:lang w:val="en-US" w:eastAsia="zh-Hans"/>
        </w:rPr>
        <w:t>查询结果展示及导出字段修改为</w:t>
      </w:r>
    </w:p>
    <w:p>
      <w:pPr>
        <w:pStyle w:val="18"/>
        <w:keepNext w:val="0"/>
        <w:keepLines w:val="0"/>
        <w:widowControl/>
        <w:numPr>
          <w:ilvl w:val="0"/>
          <w:numId w:val="0"/>
        </w:numPr>
        <w:suppressLineNumbers w:val="0"/>
        <w:spacing w:before="0" w:beforeAutospacing="0" w:after="0" w:afterAutospacing="0" w:line="30" w:lineRule="atLeast"/>
        <w:ind w:left="840" w:leftChars="0" w:right="0" w:rightChars="0"/>
        <w:jc w:val="left"/>
        <w:outlineLvl w:val="1"/>
        <w:rPr>
          <w:rFonts w:hint="default"/>
          <w:lang w:val="en-US" w:eastAsia="zh-Hans"/>
        </w:rPr>
      </w:pPr>
      <w:r>
        <w:rPr>
          <w:rFonts w:hint="eastAsia"/>
          <w:lang w:val="en-US" w:eastAsia="zh-Hans"/>
        </w:rPr>
        <w:t>产品编码、产品名称、产品类别、参考产品、第一级结算金额、第一级结算比例、第二级结算金额、第二级结算比例、状态、创建时间、操作员</w:t>
      </w:r>
    </w:p>
    <w:p>
      <w:pPr>
        <w:numPr>
          <w:ilvl w:val="0"/>
          <w:numId w:val="0"/>
        </w:numPr>
        <w:jc w:val="both"/>
        <w:outlineLvl w:val="9"/>
        <w:rPr>
          <w:rFonts w:hint="default"/>
          <w:lang w:eastAsia="zh-Hans"/>
        </w:rPr>
      </w:pPr>
    </w:p>
    <w:sectPr>
      <w:headerReference r:id="rId4" w:type="default"/>
      <w:footerReference r:id="rId5" w:type="default"/>
      <w:pgSz w:w="12240" w:h="15840"/>
      <w:pgMar w:top="720" w:right="720" w:bottom="720" w:left="720" w:header="720"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2000019F" w:csb1="00000000"/>
  </w:font>
  <w:font w:name="Tahoma">
    <w:panose1 w:val="020B0804030504040204"/>
    <w:charset w:val="00"/>
    <w:family w:val="swiss"/>
    <w:pitch w:val="default"/>
    <w:sig w:usb0="E1002AFF" w:usb1="C000605B" w:usb2="00000029" w:usb3="00000000" w:csb0="200101FF" w:csb1="20280000"/>
  </w:font>
  <w:font w:name="Lucida Grande">
    <w:panose1 w:val="020B0600040502020204"/>
    <w:charset w:val="00"/>
    <w:family w:val="auto"/>
    <w:pitch w:val="default"/>
    <w:sig w:usb0="E1000AEF" w:usb1="5000A1FF" w:usb2="00000000" w:usb3="00000000" w:csb0="200001BF" w:csb1="4F01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Layout w:type="autofit"/>
      <w:tblCellMar>
        <w:top w:w="0" w:type="dxa"/>
        <w:left w:w="108" w:type="dxa"/>
        <w:bottom w:w="0" w:type="dxa"/>
        <w:right w:w="108" w:type="dxa"/>
      </w:tblCellMar>
    </w:tblPr>
    <w:tblGrid>
      <w:gridCol w:w="4878"/>
      <w:gridCol w:w="1260"/>
      <w:gridCol w:w="4878"/>
    </w:tblGrid>
    <w:tr>
      <w:trPr>
        <w:trHeight w:val="180" w:hRule="atLeast"/>
      </w:trP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restart"/>
          <w:vAlign w:val="center"/>
        </w:tcPr>
        <w:p>
          <w:pPr>
            <w:pStyle w:val="13"/>
            <w:keepNext w:val="0"/>
            <w:keepLines w:val="0"/>
            <w:widowControl/>
            <w:suppressLineNumbers w:val="0"/>
            <w:spacing w:beforeAutospacing="0" w:afterAutospacing="0"/>
            <w:ind w:left="0" w:right="0"/>
            <w:jc w:val="cente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pP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 xml:space="preserve">Page </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begin"/>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instrText xml:space="preserve"> PAGE  \* MERGEFORMAT </w:instrTex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separate"/>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3</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end"/>
          </w:r>
        </w:p>
      </w:tc>
      <w:tc>
        <w:tcPr>
          <w:tcW w:w="2214" w:type="pct"/>
        </w:tcPr>
        <w:p>
          <w:pPr>
            <w:pStyle w:val="13"/>
            <w:keepNext w:val="0"/>
            <w:keepLines w:val="0"/>
            <w:widowControl/>
            <w:suppressLineNumbers w:val="0"/>
            <w:spacing w:beforeAutospacing="0" w:afterAutospacing="0"/>
            <w:ind w:left="0" w:right="0"/>
            <w:rPr>
              <w:rFonts w:hint="default"/>
            </w:rPr>
          </w:pPr>
        </w:p>
      </w:tc>
    </w:tr>
    <w:t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continue"/>
          <w:vAlign w:val="center"/>
        </w:tcPr>
        <w:p>
          <w:pPr>
            <w:pStyle w:val="13"/>
            <w:keepNext w:val="0"/>
            <w:keepLines w:val="0"/>
            <w:widowControl/>
            <w:suppressLineNumbers w:val="0"/>
            <w:spacing w:beforeAutospacing="0" w:afterAutospacing="0"/>
            <w:ind w:left="0" w:right="0"/>
            <w:jc w:val="center"/>
            <w:rPr>
              <w:rFonts w:hint="default"/>
            </w:rPr>
          </w:pPr>
        </w:p>
      </w:tc>
      <w:tc>
        <w:tcPr>
          <w:tcW w:w="2214" w:type="pct"/>
        </w:tcPr>
        <w:p>
          <w:pPr>
            <w:pStyle w:val="13"/>
            <w:keepNext w:val="0"/>
            <w:keepLines w:val="0"/>
            <w:widowControl/>
            <w:suppressLineNumbers w:val="0"/>
            <w:spacing w:beforeAutospacing="0" w:afterAutospacing="0"/>
            <w:ind w:left="0" w:right="0"/>
            <w:rPr>
              <w:rFonts w:hint="default"/>
            </w:rPr>
          </w:pPr>
        </w:p>
      </w:tc>
    </w:tr>
  </w:tbl>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6"/>
    </w:tblGrid>
    <w:tr>
      <w:trPr>
        <w:trHeight w:val="270" w:hRule="atLeast"/>
      </w:trPr>
      <w:tc>
        <w:tcPr>
          <w:tcW w:w="5000" w:type="pct"/>
        </w:tcPr>
        <w:sdt>
          <w:sdt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alias w:val="Title"/>
            <w:id w:val="436407044"/>
            <w:text/>
          </w:sdtPr>
          <w:sdtEnd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sdtEndPr>
          <w:sdtContent>
            <w:p>
              <w:pPr>
                <w:pStyle w:val="36"/>
                <w:keepNext w:val="0"/>
                <w:keepLines w:val="0"/>
                <w:widowControl/>
                <w:suppressLineNumbers w:val="0"/>
                <w:spacing w:before="0" w:beforeAutospacing="0" w:after="0" w:afterAutospacing="0"/>
                <w:ind w:left="0" w:right="0"/>
                <w:rPr>
                  <w:rFonts w:hint="default" w:asciiTheme="majorHAnsi" w:hAnsiTheme="majorHAnsi"/>
                </w:rPr>
              </w:pPr>
              <w:r>
                <w:rPr>
                  <w:rFonts w:hint="default" w:asciiTheme="majorHAnsi" w:hAnsiTheme="majorHAnsi"/>
                  <w:color w:val="404040" w:themeColor="text1" w:themeTint="BF"/>
                  <w14:textFill>
                    <w14:solidFill>
                      <w14:schemeClr w14:val="tx1">
                        <w14:lumMod w14:val="75000"/>
                        <w14:lumOff w14:val="25000"/>
                      </w14:schemeClr>
                    </w14:solidFill>
                  </w14:textFill>
                </w:rPr>
                <w:t>The Documentation</w:t>
              </w:r>
            </w:p>
          </w:sdtContent>
        </w:sdt>
      </w:tc>
    </w:tr>
  </w:tbl>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BEAEB3"/>
    <w:multiLevelType w:val="multilevel"/>
    <w:tmpl w:val="BEBEAEB3"/>
    <w:lvl w:ilvl="0" w:tentative="0">
      <w:start w:val="1"/>
      <w:numFmt w:val="decimal"/>
      <w:suff w:val="nothing"/>
      <w:lvlText w:val="%1、"/>
      <w:lvlJc w:val="left"/>
      <w:rPr>
        <w:rFonts w:hint="default"/>
        <w:color w:val="auto"/>
      </w:rPr>
    </w:lvl>
    <w:lvl w:ilvl="1" w:tentative="0">
      <w:start w:val="1"/>
      <w:numFmt w:val="decimal"/>
      <w:lvlText w:val="(%2)"/>
      <w:lvlJc w:val="left"/>
      <w:pPr>
        <w:tabs>
          <w:tab w:val="left" w:pos="840"/>
        </w:tabs>
        <w:ind w:left="840" w:leftChars="0" w:hanging="420" w:firstLineChars="0"/>
      </w:pPr>
      <w:rPr>
        <w:rFonts w:hint="default"/>
        <w:color w:val="auto"/>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786B65CA"/>
    <w:multiLevelType w:val="multilevel"/>
    <w:tmpl w:val="786B65CA"/>
    <w:lvl w:ilvl="0" w:tentative="0">
      <w:start w:val="1"/>
      <w:numFmt w:val="decimal"/>
      <w:pStyle w:val="24"/>
      <w:suff w:val="space"/>
      <w:lvlText w:val="%1."/>
      <w:lvlJc w:val="left"/>
      <w:pPr>
        <w:tabs>
          <w:tab w:val="left" w:pos="360"/>
        </w:tabs>
        <w:ind w:left="0" w:firstLine="0"/>
      </w:pPr>
    </w:lvl>
    <w:lvl w:ilvl="1" w:tentative="0">
      <w:start w:val="1"/>
      <w:numFmt w:val="decimal"/>
      <w:pStyle w:val="25"/>
      <w:suff w:val="space"/>
      <w:lvlText w:val="%1.%2."/>
      <w:lvlJc w:val="left"/>
      <w:pPr>
        <w:tabs>
          <w:tab w:val="left" w:pos="792"/>
        </w:tabs>
        <w:ind w:left="0" w:firstLine="0"/>
      </w:pPr>
    </w:lvl>
    <w:lvl w:ilvl="2" w:tentative="0">
      <w:start w:val="1"/>
      <w:numFmt w:val="decimal"/>
      <w:pStyle w:val="26"/>
      <w:suff w:val="space"/>
      <w:lvlText w:val="%1.%2.%3."/>
      <w:lvlJc w:val="left"/>
      <w:pPr>
        <w:tabs>
          <w:tab w:val="left" w:pos="1440"/>
        </w:tabs>
        <w:ind w:left="0" w:firstLine="0"/>
      </w:pPr>
    </w:lvl>
    <w:lvl w:ilvl="3" w:tentative="0">
      <w:start w:val="1"/>
      <w:numFmt w:val="decimal"/>
      <w:pStyle w:val="27"/>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bordersDoNotSurroundHeader w:val="0"/>
  <w:bordersDoNotSurroundFooter w:val="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HorizontalSpacing w:val="90"/>
  <w:displayHorizontalDrawingGridEvery w:val="1"/>
  <w:displayVerticalDrawingGridEvery w:val="1"/>
  <w:noPunctuationKerning w:val="1"/>
  <w:characterSpacingControl w:val="doNotCompress"/>
  <w:footnotePr>
    <w:footnote w:id="0"/>
    <w:footnote w:id="1"/>
  </w:foot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M4OGQzM2U5ZjU5YTUyMTk3MmE1MzdiM2I0Zjk5YjcifQ=="/>
  </w:docVars>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 w:val="04BD38C2"/>
    <w:rsid w:val="0B153DFF"/>
    <w:rsid w:val="0DD84DFE"/>
    <w:rsid w:val="0F3FBBA0"/>
    <w:rsid w:val="10635C65"/>
    <w:rsid w:val="122FF843"/>
    <w:rsid w:val="13DCFB99"/>
    <w:rsid w:val="15AF157A"/>
    <w:rsid w:val="179E67AB"/>
    <w:rsid w:val="1A1D6E85"/>
    <w:rsid w:val="1D911343"/>
    <w:rsid w:val="1F4B9F76"/>
    <w:rsid w:val="1F7051C4"/>
    <w:rsid w:val="1FFDE27F"/>
    <w:rsid w:val="227B3DFE"/>
    <w:rsid w:val="28FE5094"/>
    <w:rsid w:val="2F7D09B8"/>
    <w:rsid w:val="2FF7145A"/>
    <w:rsid w:val="33BF646D"/>
    <w:rsid w:val="352D95DA"/>
    <w:rsid w:val="36DA1DB0"/>
    <w:rsid w:val="36DFC955"/>
    <w:rsid w:val="37411FAD"/>
    <w:rsid w:val="37DDACC3"/>
    <w:rsid w:val="37FBB3D8"/>
    <w:rsid w:val="38A55CCB"/>
    <w:rsid w:val="3AAE7109"/>
    <w:rsid w:val="3BED44B1"/>
    <w:rsid w:val="3BF53502"/>
    <w:rsid w:val="3D3F3B41"/>
    <w:rsid w:val="3D89020A"/>
    <w:rsid w:val="3DD9DE67"/>
    <w:rsid w:val="3DFD37EE"/>
    <w:rsid w:val="3E7FAC2B"/>
    <w:rsid w:val="3EBE39D2"/>
    <w:rsid w:val="3EBF8964"/>
    <w:rsid w:val="3ECFF895"/>
    <w:rsid w:val="3EDF1828"/>
    <w:rsid w:val="3F3F39EA"/>
    <w:rsid w:val="3FB77B42"/>
    <w:rsid w:val="3FFBFAA3"/>
    <w:rsid w:val="3FFCD30D"/>
    <w:rsid w:val="3FFF45DE"/>
    <w:rsid w:val="443A2A91"/>
    <w:rsid w:val="45AECCC7"/>
    <w:rsid w:val="47FB1C56"/>
    <w:rsid w:val="4A82324B"/>
    <w:rsid w:val="4EF9BF58"/>
    <w:rsid w:val="4F7F4C58"/>
    <w:rsid w:val="4F7FCCCE"/>
    <w:rsid w:val="4FAB1650"/>
    <w:rsid w:val="4FFC76C8"/>
    <w:rsid w:val="53FD79A1"/>
    <w:rsid w:val="55DD93BC"/>
    <w:rsid w:val="55F7069D"/>
    <w:rsid w:val="577FFFA6"/>
    <w:rsid w:val="57A75A04"/>
    <w:rsid w:val="57AF7F34"/>
    <w:rsid w:val="57FFF441"/>
    <w:rsid w:val="592B61C1"/>
    <w:rsid w:val="59374B66"/>
    <w:rsid w:val="5A4E382E"/>
    <w:rsid w:val="5BBFD0C0"/>
    <w:rsid w:val="5BE733F0"/>
    <w:rsid w:val="5BF78C4A"/>
    <w:rsid w:val="5D638F94"/>
    <w:rsid w:val="5D991C65"/>
    <w:rsid w:val="5DB8E684"/>
    <w:rsid w:val="5DBB8C98"/>
    <w:rsid w:val="5DBFEC95"/>
    <w:rsid w:val="5DDF8F7C"/>
    <w:rsid w:val="5EAADE67"/>
    <w:rsid w:val="5ECC69D0"/>
    <w:rsid w:val="5EFD8577"/>
    <w:rsid w:val="5EFFA302"/>
    <w:rsid w:val="5F6311F6"/>
    <w:rsid w:val="5FC5111D"/>
    <w:rsid w:val="5FDD1BF4"/>
    <w:rsid w:val="5FFDEC69"/>
    <w:rsid w:val="62F45876"/>
    <w:rsid w:val="63ED469E"/>
    <w:rsid w:val="63FB87DF"/>
    <w:rsid w:val="64040FFF"/>
    <w:rsid w:val="65167D25"/>
    <w:rsid w:val="657F9B6D"/>
    <w:rsid w:val="6BFDADD3"/>
    <w:rsid w:val="6DE8ECF5"/>
    <w:rsid w:val="6E61A2CC"/>
    <w:rsid w:val="6EDCF3CC"/>
    <w:rsid w:val="6FEE8442"/>
    <w:rsid w:val="6FFEACBF"/>
    <w:rsid w:val="73EF579A"/>
    <w:rsid w:val="74FB85AA"/>
    <w:rsid w:val="7568A413"/>
    <w:rsid w:val="75E717A1"/>
    <w:rsid w:val="779D7EAF"/>
    <w:rsid w:val="797FDA64"/>
    <w:rsid w:val="79CBA17E"/>
    <w:rsid w:val="79DBF48C"/>
    <w:rsid w:val="7B3F1108"/>
    <w:rsid w:val="7BF637EF"/>
    <w:rsid w:val="7BF7A20A"/>
    <w:rsid w:val="7BFF9F92"/>
    <w:rsid w:val="7DE7E541"/>
    <w:rsid w:val="7DF5DB6F"/>
    <w:rsid w:val="7E05038E"/>
    <w:rsid w:val="7E2EE1F8"/>
    <w:rsid w:val="7E6F760C"/>
    <w:rsid w:val="7EA76626"/>
    <w:rsid w:val="7EAFD3A2"/>
    <w:rsid w:val="7EB69D70"/>
    <w:rsid w:val="7ED348BC"/>
    <w:rsid w:val="7ED37CE2"/>
    <w:rsid w:val="7EEF3593"/>
    <w:rsid w:val="7EFED9F9"/>
    <w:rsid w:val="7F1729A4"/>
    <w:rsid w:val="7F6F052B"/>
    <w:rsid w:val="7F793FB4"/>
    <w:rsid w:val="7FA0939E"/>
    <w:rsid w:val="7FA5FBC5"/>
    <w:rsid w:val="7FAD203B"/>
    <w:rsid w:val="7FDF516A"/>
    <w:rsid w:val="7FE456E3"/>
    <w:rsid w:val="7FFD0735"/>
    <w:rsid w:val="86F7B8E4"/>
    <w:rsid w:val="8EEA9FED"/>
    <w:rsid w:val="8EF7286B"/>
    <w:rsid w:val="8F31F7B1"/>
    <w:rsid w:val="8FCF4917"/>
    <w:rsid w:val="8FD0429A"/>
    <w:rsid w:val="8FFABDB8"/>
    <w:rsid w:val="977EFF14"/>
    <w:rsid w:val="97FB2544"/>
    <w:rsid w:val="9DF60031"/>
    <w:rsid w:val="9F3BD2A6"/>
    <w:rsid w:val="9F9F4049"/>
    <w:rsid w:val="9FF50FCE"/>
    <w:rsid w:val="9FFF0798"/>
    <w:rsid w:val="A97F818A"/>
    <w:rsid w:val="AEBED28B"/>
    <w:rsid w:val="AF3E1943"/>
    <w:rsid w:val="AF7D9DE3"/>
    <w:rsid w:val="AFCF22B5"/>
    <w:rsid w:val="AFEBF807"/>
    <w:rsid w:val="B3FAF705"/>
    <w:rsid w:val="B6F625C8"/>
    <w:rsid w:val="B747F614"/>
    <w:rsid w:val="BAEFC2B0"/>
    <w:rsid w:val="BAFDC9CD"/>
    <w:rsid w:val="BBFFD090"/>
    <w:rsid w:val="BE5D470D"/>
    <w:rsid w:val="BE9FA14C"/>
    <w:rsid w:val="BFBF0BF7"/>
    <w:rsid w:val="BFDF99AE"/>
    <w:rsid w:val="CEEE23A6"/>
    <w:rsid w:val="CEEEB420"/>
    <w:rsid w:val="CFF53FA5"/>
    <w:rsid w:val="D57DD2B6"/>
    <w:rsid w:val="D7F37632"/>
    <w:rsid w:val="D9AFF43F"/>
    <w:rsid w:val="D9FF1C85"/>
    <w:rsid w:val="DBBF6681"/>
    <w:rsid w:val="DBBFC11A"/>
    <w:rsid w:val="DBFF08C1"/>
    <w:rsid w:val="DCEFF83E"/>
    <w:rsid w:val="DD8FA973"/>
    <w:rsid w:val="DDCBFD86"/>
    <w:rsid w:val="DEC724C0"/>
    <w:rsid w:val="DEFBD2BE"/>
    <w:rsid w:val="DF5F069A"/>
    <w:rsid w:val="DFFE927F"/>
    <w:rsid w:val="E49A7684"/>
    <w:rsid w:val="E6573DB3"/>
    <w:rsid w:val="E75ABF42"/>
    <w:rsid w:val="E7F46BBB"/>
    <w:rsid w:val="E7F7E697"/>
    <w:rsid w:val="E7FF68E5"/>
    <w:rsid w:val="E9F75660"/>
    <w:rsid w:val="EBFF57E2"/>
    <w:rsid w:val="ECF5EEB2"/>
    <w:rsid w:val="EFB7BAF4"/>
    <w:rsid w:val="EFDA785B"/>
    <w:rsid w:val="EFFF7B6A"/>
    <w:rsid w:val="F3BF70B9"/>
    <w:rsid w:val="F67EDA16"/>
    <w:rsid w:val="F77FB540"/>
    <w:rsid w:val="F7DFFABA"/>
    <w:rsid w:val="FB77CD13"/>
    <w:rsid w:val="FB87A72E"/>
    <w:rsid w:val="FB9C9EE1"/>
    <w:rsid w:val="FBBB8722"/>
    <w:rsid w:val="FBF7FC5B"/>
    <w:rsid w:val="FBFEE361"/>
    <w:rsid w:val="FBFF4F24"/>
    <w:rsid w:val="FD7FB607"/>
    <w:rsid w:val="FDBE7854"/>
    <w:rsid w:val="FDFFE825"/>
    <w:rsid w:val="FE7FE378"/>
    <w:rsid w:val="FEBB7710"/>
    <w:rsid w:val="FF3AF5CB"/>
    <w:rsid w:val="FF8985B8"/>
    <w:rsid w:val="FF9B7EFC"/>
    <w:rsid w:val="FF9FDA93"/>
    <w:rsid w:val="FFAE0C27"/>
    <w:rsid w:val="FFB3A4AE"/>
    <w:rsid w:val="FFB706F8"/>
    <w:rsid w:val="FFBFD1BD"/>
    <w:rsid w:val="FFCAAB5B"/>
    <w:rsid w:val="FFDBD492"/>
    <w:rsid w:val="FFEF5C74"/>
    <w:rsid w:val="FFFE3033"/>
    <w:rsid w:val="FFFEE3F3"/>
    <w:rsid w:val="FFFFC81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Arial"/>
      <w:sz w:val="18"/>
      <w:szCs w:val="24"/>
      <w:lang w:val="en-US" w:eastAsia="en-US" w:bidi="ar-SA"/>
    </w:rPr>
  </w:style>
  <w:style w:type="paragraph" w:styleId="2">
    <w:name w:val="heading 1"/>
    <w:basedOn w:val="1"/>
    <w:next w:val="1"/>
    <w:qFormat/>
    <w:uiPriority w:val="0"/>
    <w:pPr>
      <w:keepNext/>
      <w:spacing w:before="240" w:after="60"/>
      <w:outlineLvl w:val="0"/>
    </w:pPr>
    <w:rPr>
      <w:b/>
      <w:bCs/>
      <w:kern w:val="32"/>
      <w:sz w:val="32"/>
      <w:szCs w:val="32"/>
    </w:rPr>
  </w:style>
  <w:style w:type="paragraph" w:styleId="3">
    <w:name w:val="heading 2"/>
    <w:basedOn w:val="1"/>
    <w:next w:val="1"/>
    <w:qFormat/>
    <w:uiPriority w:val="0"/>
    <w:pPr>
      <w:keepNext/>
      <w:spacing w:before="240" w:after="60"/>
      <w:outlineLvl w:val="1"/>
    </w:pPr>
    <w:rPr>
      <w:b/>
      <w:bCs/>
      <w:i/>
      <w:iCs/>
      <w:sz w:val="28"/>
      <w:szCs w:val="28"/>
    </w:rPr>
  </w:style>
  <w:style w:type="paragraph" w:styleId="4">
    <w:name w:val="heading 3"/>
    <w:basedOn w:val="1"/>
    <w:next w:val="1"/>
    <w:qFormat/>
    <w:uiPriority w:val="0"/>
    <w:pPr>
      <w:keepNext/>
      <w:spacing w:before="240" w:after="60"/>
      <w:outlineLvl w:val="2"/>
    </w:pPr>
    <w:rPr>
      <w:b/>
      <w:bCs/>
      <w:sz w:val="26"/>
      <w:szCs w:val="26"/>
    </w:rPr>
  </w:style>
  <w:style w:type="paragraph" w:styleId="5">
    <w:name w:val="heading 4"/>
    <w:basedOn w:val="1"/>
    <w:next w:val="1"/>
    <w:link w:val="33"/>
    <w:unhideWhenUsed/>
    <w:qFormat/>
    <w:uiPriority w:val="0"/>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4"/>
    <w:unhideWhenUsed/>
    <w:qFormat/>
    <w:uiPriority w:val="0"/>
    <w:pPr>
      <w:keepNext/>
      <w:keepLines/>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21">
    <w:name w:val="Default Paragraph Font"/>
    <w:semiHidden/>
    <w:unhideWhenUsed/>
    <w:qFormat/>
    <w:uiPriority w:val="1"/>
  </w:style>
  <w:style w:type="table" w:default="1" w:styleId="1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Document Map"/>
    <w:basedOn w:val="1"/>
    <w:semiHidden/>
    <w:qFormat/>
    <w:uiPriority w:val="0"/>
    <w:pPr>
      <w:shd w:val="clear" w:color="auto" w:fill="000080"/>
    </w:pPr>
    <w:rPr>
      <w:rFonts w:ascii="Tahoma" w:hAnsi="Tahoma" w:cs="Tahoma"/>
      <w:sz w:val="20"/>
      <w:szCs w:val="20"/>
    </w:rPr>
  </w:style>
  <w:style w:type="paragraph" w:styleId="10">
    <w:name w:val="toc 5"/>
    <w:basedOn w:val="1"/>
    <w:next w:val="1"/>
    <w:semiHidden/>
    <w:qFormat/>
    <w:uiPriority w:val="0"/>
    <w:pPr>
      <w:spacing w:line="360" w:lineRule="auto"/>
      <w:ind w:left="960"/>
    </w:pPr>
  </w:style>
  <w:style w:type="paragraph" w:styleId="11">
    <w:name w:val="toc 3"/>
    <w:basedOn w:val="1"/>
    <w:next w:val="1"/>
    <w:qFormat/>
    <w:uiPriority w:val="39"/>
    <w:pPr>
      <w:spacing w:line="360" w:lineRule="auto"/>
      <w:ind w:left="480"/>
    </w:pPr>
  </w:style>
  <w:style w:type="paragraph" w:styleId="12">
    <w:name w:val="Balloon Text"/>
    <w:basedOn w:val="1"/>
    <w:link w:val="31"/>
    <w:qFormat/>
    <w:uiPriority w:val="0"/>
    <w:rPr>
      <w:rFonts w:ascii="Tahoma" w:hAnsi="Tahoma" w:cs="Tahoma"/>
      <w:sz w:val="16"/>
      <w:szCs w:val="16"/>
    </w:rPr>
  </w:style>
  <w:style w:type="paragraph" w:styleId="13">
    <w:name w:val="footer"/>
    <w:basedOn w:val="1"/>
    <w:link w:val="39"/>
    <w:qFormat/>
    <w:uiPriority w:val="99"/>
    <w:pPr>
      <w:tabs>
        <w:tab w:val="center" w:pos="4680"/>
        <w:tab w:val="right" w:pos="9360"/>
      </w:tabs>
      <w:spacing w:before="0" w:after="0"/>
    </w:pPr>
  </w:style>
  <w:style w:type="paragraph" w:styleId="14">
    <w:name w:val="header"/>
    <w:basedOn w:val="1"/>
    <w:link w:val="38"/>
    <w:qFormat/>
    <w:uiPriority w:val="99"/>
    <w:pPr>
      <w:tabs>
        <w:tab w:val="center" w:pos="4680"/>
        <w:tab w:val="right" w:pos="9360"/>
      </w:tabs>
      <w:spacing w:before="0" w:after="0"/>
    </w:pPr>
  </w:style>
  <w:style w:type="paragraph" w:styleId="15">
    <w:name w:val="toc 1"/>
    <w:basedOn w:val="1"/>
    <w:next w:val="1"/>
    <w:qFormat/>
    <w:uiPriority w:val="39"/>
    <w:pPr>
      <w:spacing w:line="360" w:lineRule="auto"/>
    </w:pPr>
    <w:rPr>
      <w:b/>
    </w:rPr>
  </w:style>
  <w:style w:type="paragraph" w:styleId="16">
    <w:name w:val="toc 4"/>
    <w:basedOn w:val="1"/>
    <w:next w:val="1"/>
    <w:qFormat/>
    <w:uiPriority w:val="39"/>
    <w:pPr>
      <w:spacing w:line="360" w:lineRule="auto"/>
      <w:ind w:left="720"/>
    </w:pPr>
  </w:style>
  <w:style w:type="paragraph" w:styleId="17">
    <w:name w:val="toc 2"/>
    <w:basedOn w:val="1"/>
    <w:next w:val="1"/>
    <w:qFormat/>
    <w:uiPriority w:val="39"/>
    <w:pPr>
      <w:spacing w:line="360" w:lineRule="auto"/>
      <w:ind w:left="240"/>
    </w:p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Hyperlink"/>
    <w:basedOn w:val="21"/>
    <w:qFormat/>
    <w:uiPriority w:val="99"/>
    <w:rPr>
      <w:color w:val="0000FF"/>
      <w:u w:val="single"/>
    </w:rPr>
  </w:style>
  <w:style w:type="paragraph" w:customStyle="1" w:styleId="23">
    <w:name w:val="AxureTOCHeading"/>
    <w:basedOn w:val="1"/>
    <w:qFormat/>
    <w:uiPriority w:val="0"/>
    <w:pPr>
      <w:spacing w:before="360"/>
      <w:jc w:val="center"/>
    </w:pPr>
    <w:rPr>
      <w:b/>
      <w:color w:val="404040" w:themeColor="text1" w:themeTint="BF"/>
      <w:sz w:val="24"/>
      <w14:textFill>
        <w14:solidFill>
          <w14:schemeClr w14:val="tx1">
            <w14:lumMod w14:val="75000"/>
            <w14:lumOff w14:val="25000"/>
          </w14:schemeClr>
        </w14:solidFill>
      </w14:textFill>
    </w:rPr>
  </w:style>
  <w:style w:type="paragraph" w:customStyle="1" w:styleId="24">
    <w:name w:val="AxureHeading1"/>
    <w:basedOn w:val="1"/>
    <w:qFormat/>
    <w:uiPriority w:val="0"/>
    <w:pPr>
      <w:numPr>
        <w:ilvl w:val="0"/>
        <w:numId w:val="1"/>
      </w:numPr>
      <w:spacing w:after="240"/>
    </w:pPr>
    <w:rPr>
      <w:b/>
      <w:color w:val="404040" w:themeColor="text1" w:themeTint="BF"/>
      <w:sz w:val="28"/>
      <w14:textFill>
        <w14:solidFill>
          <w14:schemeClr w14:val="tx1">
            <w14:lumMod w14:val="75000"/>
            <w14:lumOff w14:val="25000"/>
          </w14:schemeClr>
        </w14:solidFill>
      </w14:textFill>
    </w:rPr>
  </w:style>
  <w:style w:type="paragraph" w:customStyle="1" w:styleId="25">
    <w:name w:val="AxureHeading2"/>
    <w:basedOn w:val="1"/>
    <w:qFormat/>
    <w:uiPriority w:val="0"/>
    <w:pPr>
      <w:numPr>
        <w:ilvl w:val="1"/>
        <w:numId w:val="1"/>
      </w:numPr>
    </w:pPr>
    <w:rPr>
      <w:b/>
      <w:color w:val="404040" w:themeColor="text1" w:themeTint="BF"/>
      <w:sz w:val="26"/>
      <w14:textFill>
        <w14:solidFill>
          <w14:schemeClr w14:val="tx1">
            <w14:lumMod w14:val="75000"/>
            <w14:lumOff w14:val="25000"/>
          </w14:schemeClr>
        </w14:solidFill>
      </w14:textFill>
    </w:rPr>
  </w:style>
  <w:style w:type="paragraph" w:customStyle="1" w:styleId="26">
    <w:name w:val="AxureHeading3"/>
    <w:basedOn w:val="1"/>
    <w:qFormat/>
    <w:uiPriority w:val="0"/>
    <w:pPr>
      <w:numPr>
        <w:ilvl w:val="2"/>
        <w:numId w:val="1"/>
      </w:numPr>
      <w:spacing w:before="240"/>
    </w:pPr>
    <w:rPr>
      <w:b/>
      <w:color w:val="404040" w:themeColor="text1" w:themeTint="BF"/>
      <w:sz w:val="20"/>
      <w14:textFill>
        <w14:solidFill>
          <w14:schemeClr w14:val="tx1">
            <w14:lumMod w14:val="75000"/>
            <w14:lumOff w14:val="25000"/>
          </w14:schemeClr>
        </w14:solidFill>
      </w14:textFill>
    </w:rPr>
  </w:style>
  <w:style w:type="paragraph" w:customStyle="1" w:styleId="27">
    <w:name w:val="AxureHeading4"/>
    <w:basedOn w:val="1"/>
    <w:qFormat/>
    <w:uiPriority w:val="0"/>
    <w:pPr>
      <w:numPr>
        <w:ilvl w:val="3"/>
        <w:numId w:val="1"/>
      </w:numPr>
      <w:spacing w:before="240"/>
    </w:pPr>
    <w:rPr>
      <w:b/>
      <w:i/>
      <w:color w:val="404040" w:themeColor="text1" w:themeTint="BF"/>
      <w:sz w:val="20"/>
      <w14:textFill>
        <w14:solidFill>
          <w14:schemeClr w14:val="tx1">
            <w14:lumMod w14:val="75000"/>
            <w14:lumOff w14:val="25000"/>
          </w14:schemeClr>
        </w14:solidFill>
      </w14:textFill>
    </w:rPr>
  </w:style>
  <w:style w:type="paragraph" w:customStyle="1" w:styleId="28">
    <w:name w:val="AxureTableHeaderText"/>
    <w:basedOn w:val="1"/>
    <w:qFormat/>
    <w:uiPriority w:val="0"/>
    <w:pPr>
      <w:spacing w:before="60" w:after="60"/>
    </w:pPr>
    <w:rPr>
      <w:b/>
      <w:sz w:val="16"/>
    </w:rPr>
  </w:style>
  <w:style w:type="paragraph" w:customStyle="1" w:styleId="29">
    <w:name w:val="AxureTableNormalText"/>
    <w:basedOn w:val="1"/>
    <w:qFormat/>
    <w:uiPriority w:val="0"/>
    <w:pPr>
      <w:spacing w:before="60" w:after="60"/>
    </w:pPr>
    <w:rPr>
      <w:sz w:val="16"/>
    </w:rPr>
  </w:style>
  <w:style w:type="paragraph" w:customStyle="1" w:styleId="30">
    <w:name w:val="AxureHeadingBasic"/>
    <w:basedOn w:val="1"/>
    <w:qFormat/>
    <w:uiPriority w:val="0"/>
    <w:pPr>
      <w:spacing w:before="240"/>
    </w:pPr>
    <w:rPr>
      <w:b/>
      <w:color w:val="404040" w:themeColor="text1" w:themeTint="BF"/>
      <w:u w:val="single"/>
      <w14:textFill>
        <w14:solidFill>
          <w14:schemeClr w14:val="tx1">
            <w14:lumMod w14:val="75000"/>
            <w14:lumOff w14:val="25000"/>
          </w14:schemeClr>
        </w14:solidFill>
      </w14:textFill>
    </w:rPr>
  </w:style>
  <w:style w:type="character" w:customStyle="1" w:styleId="31">
    <w:name w:val="Balloon Text Char"/>
    <w:basedOn w:val="21"/>
    <w:link w:val="12"/>
    <w:qFormat/>
    <w:uiPriority w:val="0"/>
    <w:rPr>
      <w:rFonts w:ascii="Tahoma" w:hAnsi="Tahoma" w:cs="Tahoma"/>
      <w:sz w:val="16"/>
      <w:szCs w:val="16"/>
    </w:rPr>
  </w:style>
  <w:style w:type="table" w:customStyle="1" w:styleId="32">
    <w:name w:val="AxureTableStyle"/>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33">
    <w:name w:val="Heading 4 Char"/>
    <w:basedOn w:val="21"/>
    <w:link w:val="5"/>
    <w:qFormat/>
    <w:uiPriority w:val="0"/>
    <w:rPr>
      <w:rFonts w:asciiTheme="majorHAnsi" w:hAnsiTheme="majorHAnsi" w:eastAsiaTheme="majorEastAsia" w:cstheme="majorBidi"/>
      <w:b/>
      <w:bCs/>
      <w:i/>
      <w:iCs/>
      <w:color w:val="4F81BD" w:themeColor="accent1"/>
      <w:sz w:val="18"/>
      <w:szCs w:val="24"/>
      <w14:textFill>
        <w14:solidFill>
          <w14:schemeClr w14:val="accent1"/>
        </w14:solidFill>
      </w14:textFill>
    </w:rPr>
  </w:style>
  <w:style w:type="character" w:customStyle="1" w:styleId="34">
    <w:name w:val="Heading 5 Char"/>
    <w:basedOn w:val="21"/>
    <w:link w:val="6"/>
    <w:qFormat/>
    <w:uiPriority w:val="0"/>
    <w:rPr>
      <w:rFonts w:asciiTheme="majorHAnsi" w:hAnsiTheme="majorHAnsi" w:eastAsiaTheme="majorEastAsia" w:cstheme="majorBidi"/>
      <w:color w:val="254061" w:themeColor="accent1" w:themeShade="80"/>
      <w:sz w:val="18"/>
      <w:szCs w:val="24"/>
    </w:rPr>
  </w:style>
  <w:style w:type="paragraph" w:customStyle="1" w:styleId="35">
    <w:name w:val="AxureImageParagraph"/>
    <w:basedOn w:val="1"/>
    <w:qFormat/>
    <w:uiPriority w:val="0"/>
    <w:pPr>
      <w:jc w:val="center"/>
    </w:pPr>
  </w:style>
  <w:style w:type="paragraph" w:styleId="36">
    <w:name w:val="No Spacing"/>
    <w:link w:val="37"/>
    <w:qFormat/>
    <w:uiPriority w:val="1"/>
    <w:rPr>
      <w:rFonts w:asciiTheme="minorHAnsi" w:hAnsiTheme="minorHAnsi" w:eastAsiaTheme="minorEastAsia" w:cstheme="minorBidi"/>
      <w:sz w:val="22"/>
      <w:szCs w:val="22"/>
      <w:lang w:val="en-US" w:eastAsia="en-US" w:bidi="ar-SA"/>
    </w:rPr>
  </w:style>
  <w:style w:type="character" w:customStyle="1" w:styleId="37">
    <w:name w:val="No Spacing Char"/>
    <w:basedOn w:val="21"/>
    <w:link w:val="36"/>
    <w:qFormat/>
    <w:uiPriority w:val="1"/>
    <w:rPr>
      <w:rFonts w:asciiTheme="minorHAnsi" w:hAnsiTheme="minorHAnsi" w:eastAsiaTheme="minorEastAsia" w:cstheme="minorBidi"/>
      <w:sz w:val="22"/>
      <w:szCs w:val="22"/>
    </w:rPr>
  </w:style>
  <w:style w:type="character" w:customStyle="1" w:styleId="38">
    <w:name w:val="Header Char"/>
    <w:basedOn w:val="21"/>
    <w:link w:val="14"/>
    <w:qFormat/>
    <w:uiPriority w:val="99"/>
    <w:rPr>
      <w:rFonts w:ascii="Arial" w:hAnsi="Arial" w:cs="Arial"/>
      <w:sz w:val="18"/>
      <w:szCs w:val="24"/>
    </w:rPr>
  </w:style>
  <w:style w:type="character" w:customStyle="1" w:styleId="39">
    <w:name w:val="Footer Char"/>
    <w:basedOn w:val="21"/>
    <w:link w:val="13"/>
    <w:qFormat/>
    <w:uiPriority w:val="99"/>
    <w:rPr>
      <w:rFonts w:ascii="Arial" w:hAnsi="Arial" w:cs="Arial"/>
      <w:sz w:val="18"/>
      <w:szCs w:val="24"/>
    </w:rPr>
  </w:style>
  <w:style w:type="character" w:styleId="40">
    <w:name w:val="Placeholder Text"/>
    <w:basedOn w:val="21"/>
    <w:semiHidden/>
    <w:qFormat/>
    <w:uiPriority w:val="99"/>
    <w:rPr>
      <w:color w:val="808080"/>
    </w:rPr>
  </w:style>
  <w:style w:type="paragraph" w:customStyle="1" w:styleId="41">
    <w:name w:val="AxureHiddenParagraph"/>
    <w:basedOn w:val="1"/>
    <w:qFormat/>
    <w:uiPriority w:val="0"/>
    <w:pPr>
      <w:spacing w:before="0" w:after="0"/>
    </w:pPr>
    <w:rPr>
      <w:sz w:val="2"/>
    </w:rPr>
  </w:style>
  <w:style w:type="paragraph" w:customStyle="1" w:styleId="42">
    <w:name w:val="Axure一级标题"/>
    <w:basedOn w:val="1"/>
    <w:qFormat/>
    <w:uiPriority w:val="0"/>
    <w:pPr>
      <w:spacing w:after="240"/>
      <w:outlineLvl w:val="0"/>
    </w:pPr>
    <w:rPr>
      <w:b/>
      <w:color w:val="auto"/>
      <w:sz w:val="28"/>
    </w:rPr>
  </w:style>
  <w:style w:type="paragraph" w:customStyle="1" w:styleId="43">
    <w:name w:val="AxureHeading21"/>
    <w:basedOn w:val="1"/>
    <w:qFormat/>
    <w:uiPriority w:val="0"/>
    <w:pPr>
      <w:outlineLvl w:val="1"/>
    </w:pPr>
    <w:rPr>
      <w:b/>
      <w:color w:val="auto"/>
      <w:sz w:val="26"/>
    </w:rPr>
  </w:style>
  <w:style w:type="paragraph" w:customStyle="1" w:styleId="44">
    <w:name w:val="AxureHeading31"/>
    <w:basedOn w:val="1"/>
    <w:qFormat/>
    <w:uiPriority w:val="0"/>
    <w:pPr>
      <w:spacing w:before="240"/>
      <w:outlineLvl w:val="2"/>
    </w:pPr>
    <w:rPr>
      <w:b/>
      <w:color w:val="auto"/>
      <w:szCs w:val="20"/>
    </w:rPr>
  </w:style>
  <w:style w:type="paragraph" w:customStyle="1" w:styleId="45">
    <w:name w:val="AxureHeading41"/>
    <w:basedOn w:val="1"/>
    <w:qFormat/>
    <w:uiPriority w:val="0"/>
    <w:pPr>
      <w:spacing w:before="240"/>
      <w:outlineLvl w:val="3"/>
    </w:pPr>
    <w:rPr>
      <w:b/>
      <w:i/>
      <w:color w:val="auto"/>
      <w:sz w:val="20"/>
    </w:rPr>
  </w:style>
  <w:style w:type="paragraph" w:customStyle="1" w:styleId="46">
    <w:name w:val="Axure表格标题文字"/>
    <w:basedOn w:val="1"/>
    <w:qFormat/>
    <w:uiPriority w:val="0"/>
    <w:pPr>
      <w:spacing w:before="60" w:after="60"/>
    </w:pPr>
    <w:rPr>
      <w:b/>
      <w:sz w:val="16"/>
    </w:rPr>
  </w:style>
  <w:style w:type="paragraph" w:customStyle="1" w:styleId="47">
    <w:name w:val="Axure表格常规文字"/>
    <w:basedOn w:val="1"/>
    <w:qFormat/>
    <w:uiPriority w:val="0"/>
    <w:pPr>
      <w:spacing w:before="60" w:after="60"/>
    </w:pPr>
    <w:rPr>
      <w:sz w:val="16"/>
    </w:rPr>
  </w:style>
  <w:style w:type="paragraph" w:customStyle="1" w:styleId="48">
    <w:name w:val="Axure基本标题"/>
    <w:basedOn w:val="1"/>
    <w:qFormat/>
    <w:uiPriority w:val="0"/>
    <w:pPr>
      <w:spacing w:before="240"/>
    </w:pPr>
    <w:rPr>
      <w:b/>
      <w:u w:val="single"/>
    </w:rPr>
  </w:style>
  <w:style w:type="table" w:customStyle="1" w:styleId="49">
    <w:name w:val="Axure表格样式"/>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oleObject" Target="embeddings/oleObject2.bin"/><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hubo/Library/Containers/com.kingsoft.wpsoffice.mac/Data/C:\Users\hubo\Library\Containers\com.kingsoft.wpsoffice.mac\Data\D:\Users\hubo\Library\Containers\com.kingsoft.wpsoffice.mac\Data\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315c31ec-09d6-49e5-9158-2e9e98120a01.dot</Template>
  <Company>Axure</Company>
  <Pages>1</Pages>
  <Words>3494</Words>
  <Characters>3590</Characters>
  <Lines>1</Lines>
  <Paragraphs>1</Paragraphs>
  <TotalTime>2</TotalTime>
  <ScaleCrop>false</ScaleCrop>
  <LinksUpToDate>false</LinksUpToDate>
  <CharactersWithSpaces>3700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2010-10-11T21:47:00Z</dcterms:created>
  <dc:creator>[Your Name]</dc:creator>
  <cp:lastModifiedBy>风过之痕</cp:lastModifiedBy>
  <cp:lastPrinted>2010-10-11T00:33:00Z</cp:lastPrinted>
  <dcterms:modified xsi:type="dcterms:W3CDTF">2023-12-08T14:01:32Z</dcterms:modified>
  <dc:title>The Documentation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26E8800BB2A53D1EAD85F863DB4D9814</vt:lpwstr>
  </property>
</Properties>
</file>