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keepNext/>
        <w:jc w:val="center"/>
        <w:outlineLvl w:val="0"/>
        <w:rPr>
          <w:rFonts w:hint="eastAsia" w:eastAsia="宋体"/>
          <w:sz w:val="36"/>
          <w:szCs w:val="36"/>
          <w:lang w:val="en-US" w:eastAsia="zh-CN"/>
        </w:rPr>
      </w:pPr>
      <w:r>
        <w:rPr>
          <w:rFonts w:hint="eastAsia"/>
          <w:sz w:val="36"/>
          <w:szCs w:val="36"/>
          <w:lang w:val="en-US" w:eastAsia="zh-Hans"/>
        </w:rPr>
        <w:t>趣伴卡结算单发放达标逻辑优化+直营模式调整</w:t>
      </w:r>
    </w:p>
    <w:p>
      <w:pPr>
        <w:pStyle w:val="19"/>
        <w:keepNext w:val="0"/>
        <w:keepLines w:val="0"/>
        <w:widowControl/>
        <w:numPr>
          <w:ilvl w:val="0"/>
          <w:numId w:val="2"/>
        </w:numPr>
        <w:suppressLineNumbers w:val="0"/>
        <w:spacing w:before="0" w:beforeAutospacing="0" w:after="0" w:afterAutospacing="0" w:line="30" w:lineRule="atLeast"/>
        <w:ind w:left="0" w:right="0" w:firstLine="0"/>
        <w:jc w:val="left"/>
        <w:outlineLvl w:val="0"/>
        <w:rPr>
          <w:rFonts w:hint="default" w:ascii="Lucida Grande" w:hAnsi="Lucida Grande" w:eastAsia="Lucida Grande" w:cs="Lucida Grande"/>
          <w:i w:val="0"/>
          <w:iCs w:val="0"/>
          <w:caps w:val="0"/>
          <w:color w:val="333333"/>
          <w:spacing w:val="0"/>
          <w:sz w:val="28"/>
          <w:szCs w:val="28"/>
          <w:u w:val="none"/>
        </w:rPr>
      </w:pPr>
      <w:r>
        <w:rPr>
          <w:rFonts w:hint="default" w:ascii="Lucida Grande" w:hAnsi="Lucida Grande" w:eastAsia="Lucida Grande" w:cs="Lucida Grande"/>
          <w:i w:val="0"/>
          <w:iCs w:val="0"/>
          <w:caps w:val="0"/>
          <w:color w:val="333333"/>
          <w:spacing w:val="0"/>
          <w:sz w:val="28"/>
          <w:szCs w:val="28"/>
          <w:u w:val="none"/>
        </w:rPr>
        <w:t>业务背景：</w:t>
      </w:r>
    </w:p>
    <w:p>
      <w:pPr>
        <w:ind w:firstLine="720" w:firstLineChars="0"/>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因外接页面统计数据异常，且生成结算ftp文件时未处理审核拒绝结算单，需进行调整优化</w:t>
      </w:r>
    </w:p>
    <w:p>
      <w:pPr>
        <w:ind w:firstLine="720" w:firstLineChars="0"/>
        <w:rPr>
          <w:rFonts w:hint="default" w:ascii="Lucida Grande" w:hAnsi="Lucida Grande" w:eastAsia="宋体" w:cs="Lucida Grande"/>
          <w:i w:val="0"/>
          <w:iCs w:val="0"/>
          <w:caps w:val="0"/>
          <w:color w:val="333333"/>
          <w:spacing w:val="0"/>
          <w:kern w:val="0"/>
          <w:sz w:val="21"/>
          <w:szCs w:val="21"/>
          <w:u w:val="none"/>
          <w:lang w:val="en-US" w:eastAsia="zh-Hans" w:bidi="ar"/>
        </w:rPr>
      </w:pPr>
      <w:r>
        <w:rPr>
          <w:rFonts w:hint="eastAsia" w:ascii="Lucida Grande" w:hAnsi="Lucida Grande" w:eastAsia="宋体" w:cs="Lucida Grande"/>
          <w:i w:val="0"/>
          <w:iCs w:val="0"/>
          <w:caps w:val="0"/>
          <w:color w:val="333333"/>
          <w:spacing w:val="0"/>
          <w:kern w:val="0"/>
          <w:sz w:val="21"/>
          <w:szCs w:val="21"/>
          <w:u w:val="none"/>
          <w:lang w:val="en-US" w:eastAsia="zh-CN" w:bidi="ar"/>
        </w:rPr>
        <w:t>因直营模式需新增支持对业务员设置分润日结并功能，需进行优化改造</w:t>
      </w:r>
    </w:p>
    <w:p>
      <w:pPr>
        <w:pStyle w:val="2"/>
        <w:numPr>
          <w:ilvl w:val="0"/>
          <w:numId w:val="2"/>
        </w:numPr>
        <w:bidi w:val="0"/>
        <w:rPr>
          <w:rFonts w:hint="eastAsia"/>
          <w:lang w:val="en-US" w:eastAsia="zh-Hans"/>
        </w:rPr>
      </w:pPr>
      <w:r>
        <w:rPr>
          <w:rFonts w:hint="eastAsia" w:ascii="Lucida Grande" w:hAnsi="Lucida Grande" w:eastAsia="Lucida Grande" w:cs="Lucida Grande"/>
          <w:i w:val="0"/>
          <w:iCs w:val="0"/>
          <w:caps w:val="0"/>
          <w:color w:val="333333"/>
          <w:spacing w:val="0"/>
          <w:sz w:val="28"/>
          <w:szCs w:val="28"/>
          <w:u w:val="none"/>
          <w:lang w:val="en-US" w:eastAsia="zh-Hans"/>
        </w:rPr>
        <w:t>需求内容</w:t>
      </w:r>
      <w:r>
        <w:rPr>
          <w:rFonts w:hint="default" w:ascii="Lucida Grande" w:hAnsi="Lucida Grande" w:eastAsia="Lucida Grande" w:cs="Lucida Grande"/>
          <w:i w:val="0"/>
          <w:iCs w:val="0"/>
          <w:caps w:val="0"/>
          <w:color w:val="333333"/>
          <w:spacing w:val="0"/>
          <w:sz w:val="28"/>
          <w:szCs w:val="28"/>
          <w:u w:val="none"/>
        </w:rPr>
        <w:t>：</w:t>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现有：全部渠道的推广订单在匹配成功且达到结算标准后会生成结算单，内部渠道的结算单发放状态为未发放，外部渠道渠道的结算单发放状态为不发放，且将订单标记为已结算。</w:t>
      </w:r>
    </w:p>
    <w:p>
      <w:pPr>
        <w:numPr>
          <w:ilvl w:val="0"/>
          <w:numId w:val="0"/>
        </w:numPr>
        <w:bidi w:val="0"/>
        <w:ind w:firstLine="720" w:firstLineChars="0"/>
        <w:jc w:val="left"/>
        <w:rPr>
          <w:rFonts w:hint="default" w:ascii="Lucida Grande" w:hAnsi="Lucida Grande" w:eastAsia="宋体" w:cs="Lucida Grande"/>
          <w:i w:val="0"/>
          <w:iCs w:val="0"/>
          <w:caps w:val="0"/>
          <w:color w:val="FF0000"/>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修改为：全部结算单发放状态为未发放，订单的是否可结算标识保持为否</w:t>
      </w:r>
      <w:bookmarkStart w:id="0" w:name="_GoBack"/>
      <w:bookmarkEnd w:id="0"/>
      <w:r>
        <w:rPr>
          <w:rFonts w:hint="eastAsia" w:ascii="Lucida Grande" w:hAnsi="Lucida Grande" w:eastAsia="宋体" w:cs="Lucida Grande"/>
          <w:i w:val="0"/>
          <w:iCs w:val="0"/>
          <w:caps w:val="0"/>
          <w:color w:val="FF0000"/>
          <w:spacing w:val="0"/>
          <w:sz w:val="28"/>
          <w:szCs w:val="28"/>
          <w:u w:val="none"/>
          <w:lang w:val="en-US" w:eastAsia="zh-CN"/>
        </w:rPr>
        <w:t>。</w:t>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线上日结的渠道的结算单在审核结果为复核通过后会在下一个定时任务时触发推送到拓客结算接口（api银行部分为免审核），订单结算标识标记为已达标，已达标统计数进行更新。</w:t>
      </w:r>
    </w:p>
    <w:p>
      <w:pPr>
        <w:numPr>
          <w:ilvl w:val="0"/>
          <w:numId w:val="0"/>
        </w:numPr>
        <w:bidi w:val="0"/>
        <w:ind w:leftChars="0" w:firstLine="720" w:firstLineChars="0"/>
        <w:jc w:val="left"/>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修改为：仅结算单上的结算方式为线上日结的才发送至拓客进行发放，渠道为线上日结，但生成的结算单为线下日结的（如修改过渠道结算方式），不进行拓客发放。</w:t>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线下月结的渠道的结算单在审核结果为复核通过后会在下一个定时任务时触发推送到渠道推送地址（若开启开关并配置了地址）</w:t>
      </w:r>
    </w:p>
    <w:p>
      <w:pPr>
        <w:numPr>
          <w:ilvl w:val="0"/>
          <w:numId w:val="0"/>
        </w:numPr>
        <w:bidi w:val="0"/>
        <w:ind w:leftChars="0" w:firstLine="720" w:firstLineChars="0"/>
        <w:jc w:val="left"/>
        <w:rPr>
          <w:rFonts w:hint="default" w:ascii="Lucida Grande" w:hAnsi="Lucida Grande" w:eastAsia="宋体" w:cs="Lucida Grande"/>
          <w:i w:val="0"/>
          <w:iCs w:val="0"/>
          <w:caps w:val="0"/>
          <w:color w:val="FF0000"/>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修改为：完成推送后，将结算单状态更新为已发放，订单结算标识标记为已达标。</w:t>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 xml:space="preserve">打开生成文件的开关的渠道的结算单（全部，不论审核结果）会在下一个定时任务触发生成该渠道的对账文件，数据范围为结算日期为前一个自然日的所有数据。 </w:t>
      </w:r>
    </w:p>
    <w:p>
      <w:pPr>
        <w:numPr>
          <w:ilvl w:val="0"/>
          <w:numId w:val="0"/>
        </w:numPr>
        <w:bidi w:val="0"/>
        <w:ind w:leftChars="0" w:firstLine="720" w:firstLineChars="0"/>
        <w:jc w:val="left"/>
        <w:rPr>
          <w:rFonts w:hint="eastAsia" w:ascii="Lucida Grande" w:hAnsi="Lucida Grande" w:eastAsia="宋体" w:cs="Lucida Grande"/>
          <w:i w:val="0"/>
          <w:iCs w:val="0"/>
          <w:caps w:val="0"/>
          <w:color w:val="FF0000"/>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修改为：控台增加结算单审核时间字段，对账状态字段，结算方式字段；审核时间默认为空，对账状态默认为未对账，结算方式，在生成结算单时根据渠道的结算方式固定为线上日结、线下月结，后续不再根据渠道的结算方式而变化；生成对账文件定时任务触发时对审核时间为前一个自然日的，审核状态为已复核的结算单数据，生成对账文件，将未通过推送更新为已发放的结算单的发放状态更新为已发放。</w:t>
      </w:r>
    </w:p>
    <w:p>
      <w:pPr>
        <w:numPr>
          <w:ilvl w:val="0"/>
          <w:numId w:val="0"/>
        </w:numPr>
        <w:bidi w:val="0"/>
        <w:ind w:leftChars="0" w:firstLine="720" w:firstLineChars="0"/>
        <w:jc w:val="left"/>
        <w:rPr>
          <w:rFonts w:hint="eastAsia" w:ascii="Lucida Grande" w:hAnsi="Lucida Grande" w:eastAsia="宋体" w:cs="Lucida Grande"/>
          <w:i w:val="0"/>
          <w:iCs w:val="0"/>
          <w:caps w:val="0"/>
          <w:color w:val="FF0000"/>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对线上日结的结算单生成结算对账文件后，将对账状态更新为已对账。</w:t>
      </w:r>
    </w:p>
    <w:p>
      <w:pPr>
        <w:numPr>
          <w:ilvl w:val="0"/>
          <w:numId w:val="0"/>
        </w:numPr>
        <w:bidi w:val="0"/>
        <w:ind w:leftChars="0" w:firstLine="720" w:firstLineChars="0"/>
        <w:jc w:val="left"/>
        <w:rPr>
          <w:rFonts w:hint="default" w:ascii="Lucida Grande" w:hAnsi="Lucida Grande" w:eastAsia="宋体" w:cs="Lucida Grande"/>
          <w:i w:val="0"/>
          <w:iCs w:val="0"/>
          <w:caps w:val="0"/>
          <w:color w:val="FF0000"/>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所有渠道的全部结算单，在审核通过后，通过定时任务触发进行达标数统计更新。</w:t>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已发放+不发放的订单，在明细、详情中被展示为已达标。</w:t>
      </w:r>
    </w:p>
    <w:p>
      <w:pPr>
        <w:numPr>
          <w:ilvl w:val="0"/>
          <w:numId w:val="0"/>
        </w:numPr>
        <w:bidi w:val="0"/>
        <w:ind w:leftChars="0" w:firstLine="720" w:firstLineChars="0"/>
        <w:jc w:val="left"/>
        <w:rPr>
          <w:rFonts w:hint="eastAsia" w:ascii="Lucida Grande" w:hAnsi="Lucida Grande" w:eastAsia="宋体" w:cs="Lucida Grande"/>
          <w:i w:val="0"/>
          <w:iCs w:val="0"/>
          <w:caps w:val="0"/>
          <w:color w:val="FF0000"/>
          <w:spacing w:val="0"/>
          <w:sz w:val="28"/>
          <w:szCs w:val="28"/>
          <w:u w:val="none"/>
          <w:lang w:val="en-US" w:eastAsia="zh-CN"/>
        </w:rPr>
      </w:pPr>
      <w:r>
        <w:rPr>
          <w:rFonts w:hint="eastAsia" w:ascii="Lucida Grande" w:hAnsi="Lucida Grande" w:eastAsia="宋体" w:cs="Lucida Grande"/>
          <w:i w:val="0"/>
          <w:iCs w:val="0"/>
          <w:caps w:val="0"/>
          <w:color w:val="FF0000"/>
          <w:spacing w:val="0"/>
          <w:sz w:val="28"/>
          <w:szCs w:val="28"/>
          <w:u w:val="none"/>
          <w:lang w:val="en-US" w:eastAsia="zh-CN"/>
        </w:rPr>
        <w:t>修改为：已发放的订单，明细中被展示为已达标。</w:t>
      </w:r>
    </w:p>
    <w:p>
      <w:pPr>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br w:type="page"/>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控台-结算单页面优化</w:t>
      </w:r>
    </w:p>
    <w:p>
      <w:pPr>
        <w:numPr>
          <w:ilvl w:val="1"/>
          <w:numId w:val="3"/>
        </w:numPr>
        <w:bidi w:val="0"/>
        <w:ind w:left="840" w:leftChars="0" w:hanging="420" w:firstLineChars="0"/>
        <w:jc w:val="left"/>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数据管理-业务员结算表复核</w:t>
      </w:r>
    </w:p>
    <w:p>
      <w:pPr>
        <w:numPr>
          <w:ilvl w:val="0"/>
          <w:numId w:val="0"/>
        </w:numPr>
        <w:bidi w:val="0"/>
        <w:ind w:left="420" w:left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筛选项增加审核日期、对账状态（枚举值：未对账、已对账）</w:t>
      </w:r>
    </w:p>
    <w:p>
      <w:pPr>
        <w:numPr>
          <w:ilvl w:val="0"/>
          <w:numId w:val="0"/>
        </w:numPr>
        <w:bidi w:val="0"/>
        <w:ind w:left="420" w:left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数据查询+导出增加字段审核时间、对账状态</w:t>
      </w:r>
    </w:p>
    <w:p>
      <w:pPr>
        <w:numPr>
          <w:ilvl w:val="1"/>
          <w:numId w:val="3"/>
        </w:numPr>
        <w:bidi w:val="0"/>
        <w:ind w:left="840" w:leftChars="0" w:hanging="420" w:firstLineChars="0"/>
        <w:jc w:val="left"/>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产品管理-结算表复核</w:t>
      </w:r>
    </w:p>
    <w:p>
      <w:pPr>
        <w:numPr>
          <w:ilvl w:val="0"/>
          <w:numId w:val="0"/>
        </w:numPr>
        <w:bidi w:val="0"/>
        <w:ind w:left="420" w:left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筛选项增加审核日期、对账状态（枚举值：未对账、已对账）、匹配类型（枚举值：系统匹配、人工匹配）</w:t>
      </w:r>
    </w:p>
    <w:p>
      <w:pPr>
        <w:numPr>
          <w:ilvl w:val="0"/>
          <w:numId w:val="0"/>
        </w:numPr>
        <w:bidi w:val="0"/>
        <w:ind w:left="420" w:leftChars="0"/>
        <w:jc w:val="left"/>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数据查询+导出增加字段审核时间、对账状态、奖励配置金额、结算规则金额、结算规则比例、结算依据</w:t>
      </w:r>
    </w:p>
    <w:p>
      <w:pPr>
        <w:numPr>
          <w:ilvl w:val="0"/>
          <w:numId w:val="3"/>
        </w:numPr>
        <w:bidi w:val="0"/>
        <w:ind w:left="0" w:leftChars="0" w:firstLine="0"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历史数据维护</w:t>
      </w:r>
    </w:p>
    <w:p>
      <w:pPr>
        <w:numPr>
          <w:ilvl w:val="0"/>
          <w:numId w:val="0"/>
        </w:numPr>
        <w:bidi w:val="0"/>
        <w:ind w:leftChars="0" w:firstLine="720" w:firstLineChars="0"/>
        <w:jc w:val="left"/>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所有历史发放状态为不发放的数据，维护为未发放，审核状态审核日期维护为当天，过0点后手动触发生成ftp文件，将错误的ftp文件删除</w:t>
      </w:r>
    </w:p>
    <w:p>
      <w:pPr>
        <w:numPr>
          <w:ilvl w:val="0"/>
          <w:numId w:val="3"/>
        </w:numPr>
        <w:bidi w:val="0"/>
        <w:ind w:left="0" w:leftChars="0" w:firstLine="0" w:firstLineChars="0"/>
        <w:jc w:val="left"/>
        <w:rPr>
          <w:rFonts w:hint="eastAsia"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1.0直营模式结算单逻辑调整</w:t>
      </w:r>
    </w:p>
    <w:p>
      <w:pPr>
        <w:rPr>
          <w:rFonts w:hint="eastAsia"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b w:val="0"/>
          <w:bCs w:val="0"/>
          <w:i w:val="0"/>
          <w:iCs w:val="0"/>
          <w:caps w:val="0"/>
          <w:color w:val="333333"/>
          <w:spacing w:val="0"/>
          <w:sz w:val="28"/>
          <w:szCs w:val="28"/>
          <w:u w:val="none"/>
          <w:lang w:val="en-US" w:eastAsia="zh-CN"/>
        </w:rPr>
        <w:t>1.0直营模式渠道的结算单生成逻辑调整为与其他模式相同，收益方=拓卡方，实际分润由拓客控制。</w:t>
      </w:r>
    </w:p>
    <w:p>
      <w:pPr>
        <w:numPr>
          <w:ilvl w:val="0"/>
          <w:numId w:val="3"/>
        </w:numPr>
        <w:bidi w:val="0"/>
        <w:ind w:left="0" w:leftChars="0" w:firstLine="0" w:firstLineChars="0"/>
        <w:jc w:val="left"/>
        <w:rPr>
          <w:rFonts w:hint="eastAsia"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控台-业务员管理-开通一代功能</w:t>
      </w:r>
    </w:p>
    <w:p>
      <w:pPr>
        <w:rPr>
          <w:rFonts w:hint="default"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b w:val="0"/>
          <w:bCs w:val="0"/>
          <w:i w:val="0"/>
          <w:iCs w:val="0"/>
          <w:caps w:val="0"/>
          <w:color w:val="333333"/>
          <w:spacing w:val="0"/>
          <w:sz w:val="28"/>
          <w:szCs w:val="28"/>
          <w:u w:val="none"/>
          <w:lang w:val="en-US" w:eastAsia="zh-CN"/>
        </w:rPr>
        <w:t>开通一代选择渠道时，允许选择的渠道接入方式增加为公众号联合登录+仅账户提现+H5接入的渠道。</w:t>
      </w:r>
    </w:p>
    <w:p>
      <w:pPr>
        <w:rPr>
          <w:rFonts w:hint="eastAsia"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b w:val="0"/>
          <w:bCs w:val="0"/>
          <w:i w:val="0"/>
          <w:iCs w:val="0"/>
          <w:caps w:val="0"/>
          <w:color w:val="333333"/>
          <w:spacing w:val="0"/>
          <w:sz w:val="28"/>
          <w:szCs w:val="28"/>
          <w:u w:val="none"/>
          <w:lang w:val="en-US" w:eastAsia="zh-CN"/>
        </w:rPr>
        <w:br w:type="page"/>
      </w:r>
    </w:p>
    <w:p>
      <w:pPr>
        <w:numPr>
          <w:ilvl w:val="0"/>
          <w:numId w:val="3"/>
        </w:numPr>
        <w:bidi w:val="0"/>
        <w:ind w:left="0" w:leftChars="0" w:firstLine="0" w:firstLineChars="0"/>
        <w:jc w:val="left"/>
        <w:rPr>
          <w:rFonts w:hint="eastAsia"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1.0直营模式页面调整</w:t>
      </w:r>
    </w:p>
    <w:p>
      <w:pPr>
        <w:rPr>
          <w:rFonts w:hint="eastAsia" w:ascii="Lucida Grande" w:hAnsi="Lucida Grande" w:eastAsia="宋体" w:cs="Lucida Grande"/>
          <w:b w:val="0"/>
          <w:bCs w:val="0"/>
          <w:i w:val="0"/>
          <w:iCs w:val="0"/>
          <w:caps w:val="0"/>
          <w:color w:val="333333"/>
          <w:spacing w:val="0"/>
          <w:sz w:val="28"/>
          <w:szCs w:val="28"/>
          <w:u w:val="none"/>
          <w:lang w:val="en-US" w:eastAsia="zh-CN"/>
        </w:rPr>
      </w:pPr>
      <w:r>
        <w:rPr>
          <w:rFonts w:hint="eastAsia" w:ascii="Lucida Grande" w:hAnsi="Lucida Grande" w:eastAsia="宋体" w:cs="Lucida Grande"/>
          <w:b w:val="0"/>
          <w:bCs w:val="0"/>
          <w:i w:val="0"/>
          <w:iCs w:val="0"/>
          <w:caps w:val="0"/>
          <w:color w:val="333333"/>
          <w:spacing w:val="0"/>
          <w:sz w:val="28"/>
          <w:szCs w:val="28"/>
          <w:u w:val="none"/>
          <w:lang w:val="en-US" w:eastAsia="zh-CN"/>
        </w:rPr>
        <w:t>1.0直营模式一代首页产品政策入口修改为价格设置入口，允许一代设置所有直属拓客的分润比例，实现为业务员和一代进行两级间分润的效果；对下级展示页面不做修改，下级无法拓展团队，也无法进入价格设置页面。</w:t>
      </w:r>
    </w:p>
    <w:p>
      <w:pPr>
        <w:ind w:firstLine="720" w:firstLineChars="0"/>
      </w:pPr>
      <w:r>
        <w:drawing>
          <wp:inline distT="0" distB="0" distL="114300" distR="114300">
            <wp:extent cx="2675890" cy="5947410"/>
            <wp:effectExtent l="0" t="0" r="16510"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75890" cy="5947410"/>
                    </a:xfrm>
                    <a:prstGeom prst="rect">
                      <a:avLst/>
                    </a:prstGeom>
                    <a:noFill/>
                    <a:ln>
                      <a:noFill/>
                    </a:ln>
                  </pic:spPr>
                </pic:pic>
              </a:graphicData>
            </a:graphic>
          </wp:inline>
        </w:drawing>
      </w:r>
    </w:p>
    <w:p>
      <w:pPr>
        <w:numPr>
          <w:ilvl w:val="0"/>
          <w:numId w:val="0"/>
        </w:numPr>
        <w:bidi w:val="0"/>
        <w:ind w:left="420" w:leftChars="0"/>
        <w:jc w:val="left"/>
        <w:rPr>
          <w:rFonts w:hint="default" w:ascii="Lucida Grande" w:hAnsi="Lucida Grande" w:eastAsia="宋体" w:cs="Lucida Grande"/>
          <w:i w:val="0"/>
          <w:iCs w:val="0"/>
          <w:caps w:val="0"/>
          <w:color w:val="333333"/>
          <w:spacing w:val="0"/>
          <w:sz w:val="28"/>
          <w:szCs w:val="28"/>
          <w:u w:val="none"/>
          <w:lang w:val="en-US" w:eastAsia="zh-CN"/>
        </w:rPr>
      </w:pPr>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Lucida Grande">
    <w:panose1 w:val="020B0600040502020204"/>
    <w:charset w:val="00"/>
    <w:family w:val="auto"/>
    <w:pitch w:val="default"/>
    <w:sig w:usb0="E1000AEF" w:usb1="5000A1FF" w:usb2="00000000" w:usb3="00000000" w:csb0="200001B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restart"/>
          <w:vAlign w:val="center"/>
        </w:tcPr>
        <w:p>
          <w:pPr>
            <w:pStyle w:val="13"/>
            <w:keepNext w:val="0"/>
            <w:keepLines w:val="0"/>
            <w:widowControl/>
            <w:suppressLineNumbers w:val="0"/>
            <w:spacing w:beforeAutospacing="0" w:afterAutospacing="0"/>
            <w:ind w:left="0" w:right="0"/>
            <w:jc w:val="cente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pP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3</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3"/>
            <w:keepNext w:val="0"/>
            <w:keepLines w:val="0"/>
            <w:widowControl/>
            <w:suppressLineNumbers w:val="0"/>
            <w:spacing w:beforeAutospacing="0" w:afterAutospacing="0"/>
            <w:ind w:left="0" w:right="0"/>
            <w:rPr>
              <w:rFonts w:hint="default"/>
            </w:rPr>
          </w:pPr>
        </w:p>
      </w:tc>
    </w:tr>
    <w:t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continue"/>
          <w:vAlign w:val="center"/>
        </w:tcPr>
        <w:p>
          <w:pPr>
            <w:pStyle w:val="13"/>
            <w:keepNext w:val="0"/>
            <w:keepLines w:val="0"/>
            <w:widowControl/>
            <w:suppressLineNumbers w:val="0"/>
            <w:spacing w:beforeAutospacing="0" w:afterAutospacing="0"/>
            <w:ind w:left="0" w:right="0"/>
            <w:jc w:val="center"/>
            <w:rPr>
              <w:rFonts w:hint="default"/>
            </w:rPr>
          </w:pPr>
        </w:p>
      </w:tc>
      <w:tc>
        <w:tcPr>
          <w:tcW w:w="2214" w:type="pct"/>
        </w:tcPr>
        <w:p>
          <w:pPr>
            <w:pStyle w:val="13"/>
            <w:keepNext w:val="0"/>
            <w:keepLines w:val="0"/>
            <w:widowControl/>
            <w:suppressLineNumbers w:val="0"/>
            <w:spacing w:beforeAutospacing="0" w:afterAutospacing="0"/>
            <w:ind w:left="0" w:right="0"/>
            <w:rPr>
              <w:rFonts w:hint="default"/>
            </w:rPr>
          </w:pPr>
        </w:p>
      </w:tc>
    </w:tr>
  </w:tbl>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alias w:val="Title"/>
            <w:id w:val="436407044"/>
            <w:text/>
          </w:sdtPr>
          <w:sdtEnd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sdtEndPr>
          <w:sdtContent>
            <w:p>
              <w:pPr>
                <w:pStyle w:val="37"/>
                <w:keepNext w:val="0"/>
                <w:keepLines w:val="0"/>
                <w:widowControl/>
                <w:suppressLineNumbers w:val="0"/>
                <w:spacing w:before="0" w:beforeAutospacing="0" w:after="0" w:afterAutospacing="0"/>
                <w:ind w:left="0" w:right="0"/>
                <w:rPr>
                  <w:rFonts w:hint="default" w:asciiTheme="majorHAnsi" w:hAnsiTheme="majorHAnsi"/>
                </w:rPr>
              </w:pPr>
              <w:r>
                <w:rPr>
                  <w:rFonts w:hint="default"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EAEB3"/>
    <w:multiLevelType w:val="multilevel"/>
    <w:tmpl w:val="BEBEAEB3"/>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5FC7A8B"/>
    <w:multiLevelType w:val="multilevel"/>
    <w:tmpl w:val="55FC7A8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86B65CA"/>
    <w:multiLevelType w:val="multilevel"/>
    <w:tmpl w:val="786B65CA"/>
    <w:lvl w:ilvl="0" w:tentative="0">
      <w:start w:val="1"/>
      <w:numFmt w:val="decimal"/>
      <w:pStyle w:val="25"/>
      <w:suff w:val="space"/>
      <w:lvlText w:val="%1."/>
      <w:lvlJc w:val="left"/>
      <w:pPr>
        <w:tabs>
          <w:tab w:val="left" w:pos="360"/>
        </w:tabs>
        <w:ind w:left="0" w:firstLine="0"/>
      </w:pPr>
    </w:lvl>
    <w:lvl w:ilvl="1" w:tentative="0">
      <w:start w:val="1"/>
      <w:numFmt w:val="decimal"/>
      <w:pStyle w:val="26"/>
      <w:suff w:val="space"/>
      <w:lvlText w:val="%1.%2."/>
      <w:lvlJc w:val="left"/>
      <w:pPr>
        <w:tabs>
          <w:tab w:val="left" w:pos="792"/>
        </w:tabs>
        <w:ind w:left="0" w:firstLine="0"/>
      </w:pPr>
    </w:lvl>
    <w:lvl w:ilvl="2" w:tentative="0">
      <w:start w:val="1"/>
      <w:numFmt w:val="decimal"/>
      <w:pStyle w:val="27"/>
      <w:suff w:val="space"/>
      <w:lvlText w:val="%1.%2.%3."/>
      <w:lvlJc w:val="left"/>
      <w:pPr>
        <w:tabs>
          <w:tab w:val="left" w:pos="1440"/>
        </w:tabs>
        <w:ind w:left="0" w:firstLine="0"/>
      </w:pPr>
    </w:lvl>
    <w:lvl w:ilvl="3" w:tentative="0">
      <w:start w:val="1"/>
      <w:numFmt w:val="decimal"/>
      <w:pStyle w:val="28"/>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OGQzM2U5ZjU5YTUyMTk3MmE1MzdiM2I0Zjk5Yjc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04BD38C2"/>
    <w:rsid w:val="0B153DFF"/>
    <w:rsid w:val="0DD84DFE"/>
    <w:rsid w:val="0F3FBBA0"/>
    <w:rsid w:val="10635C65"/>
    <w:rsid w:val="122FF843"/>
    <w:rsid w:val="13DCFB99"/>
    <w:rsid w:val="151D3351"/>
    <w:rsid w:val="15AF157A"/>
    <w:rsid w:val="179E67AB"/>
    <w:rsid w:val="1A1D6E85"/>
    <w:rsid w:val="1B777675"/>
    <w:rsid w:val="1D911343"/>
    <w:rsid w:val="1F4B9F76"/>
    <w:rsid w:val="1F7051C4"/>
    <w:rsid w:val="1FFDE27F"/>
    <w:rsid w:val="227B3DFE"/>
    <w:rsid w:val="24DE3E1E"/>
    <w:rsid w:val="28FE5094"/>
    <w:rsid w:val="2F7D09B8"/>
    <w:rsid w:val="2FF7145A"/>
    <w:rsid w:val="352D95DA"/>
    <w:rsid w:val="369BB726"/>
    <w:rsid w:val="36DA1DB0"/>
    <w:rsid w:val="36DFC955"/>
    <w:rsid w:val="37411FAD"/>
    <w:rsid w:val="37B42D0F"/>
    <w:rsid w:val="37DDACC3"/>
    <w:rsid w:val="38A55CCB"/>
    <w:rsid w:val="3AAE7109"/>
    <w:rsid w:val="3BED44B1"/>
    <w:rsid w:val="3BF53502"/>
    <w:rsid w:val="3D3F3B41"/>
    <w:rsid w:val="3D89020A"/>
    <w:rsid w:val="3DD9DE67"/>
    <w:rsid w:val="3DFD37EE"/>
    <w:rsid w:val="3DFF6D56"/>
    <w:rsid w:val="3E7FAC2B"/>
    <w:rsid w:val="3EBE39D2"/>
    <w:rsid w:val="3EBF8964"/>
    <w:rsid w:val="3ECFF895"/>
    <w:rsid w:val="3EDF1828"/>
    <w:rsid w:val="3F3F39EA"/>
    <w:rsid w:val="3FB77B42"/>
    <w:rsid w:val="3FFBFAA3"/>
    <w:rsid w:val="3FFCD30D"/>
    <w:rsid w:val="3FFF45DE"/>
    <w:rsid w:val="443A2A91"/>
    <w:rsid w:val="45AECCC7"/>
    <w:rsid w:val="47FB1C56"/>
    <w:rsid w:val="4A82324B"/>
    <w:rsid w:val="4B750116"/>
    <w:rsid w:val="4EF9BF58"/>
    <w:rsid w:val="4F7F4C58"/>
    <w:rsid w:val="4F7FCCCE"/>
    <w:rsid w:val="4FAB1650"/>
    <w:rsid w:val="4FFC76C8"/>
    <w:rsid w:val="53FD79A1"/>
    <w:rsid w:val="55DD93BC"/>
    <w:rsid w:val="55F7069D"/>
    <w:rsid w:val="577FFFA6"/>
    <w:rsid w:val="57A75A04"/>
    <w:rsid w:val="57AF7F34"/>
    <w:rsid w:val="57FFF441"/>
    <w:rsid w:val="592B61C1"/>
    <w:rsid w:val="59374B66"/>
    <w:rsid w:val="5A4E382E"/>
    <w:rsid w:val="5BBFD0C0"/>
    <w:rsid w:val="5BE733F0"/>
    <w:rsid w:val="5BF78C4A"/>
    <w:rsid w:val="5D638F94"/>
    <w:rsid w:val="5D991C65"/>
    <w:rsid w:val="5DB8E684"/>
    <w:rsid w:val="5DBB8C98"/>
    <w:rsid w:val="5DBFEC95"/>
    <w:rsid w:val="5EAADE67"/>
    <w:rsid w:val="5ECC69D0"/>
    <w:rsid w:val="5EFD8577"/>
    <w:rsid w:val="5EFFA302"/>
    <w:rsid w:val="5F3F5848"/>
    <w:rsid w:val="5F6311F6"/>
    <w:rsid w:val="5F6F655F"/>
    <w:rsid w:val="5FBF303D"/>
    <w:rsid w:val="5FC5111D"/>
    <w:rsid w:val="5FDD1BF4"/>
    <w:rsid w:val="5FE72C7A"/>
    <w:rsid w:val="5FFDEC69"/>
    <w:rsid w:val="62F45876"/>
    <w:rsid w:val="63ED469E"/>
    <w:rsid w:val="63FB87DF"/>
    <w:rsid w:val="64040FFF"/>
    <w:rsid w:val="65167D25"/>
    <w:rsid w:val="657F9B6D"/>
    <w:rsid w:val="65FFEE2D"/>
    <w:rsid w:val="6BFDADD3"/>
    <w:rsid w:val="6DAE4CFF"/>
    <w:rsid w:val="6DE8ECF5"/>
    <w:rsid w:val="6E61A2CC"/>
    <w:rsid w:val="6EDCF3CC"/>
    <w:rsid w:val="6EF7F3BA"/>
    <w:rsid w:val="6F6F0A21"/>
    <w:rsid w:val="6FCBF6C6"/>
    <w:rsid w:val="6FEE8442"/>
    <w:rsid w:val="6FFEACBF"/>
    <w:rsid w:val="73EF579A"/>
    <w:rsid w:val="74FB85AA"/>
    <w:rsid w:val="7568A413"/>
    <w:rsid w:val="75E717A1"/>
    <w:rsid w:val="779D7EAF"/>
    <w:rsid w:val="797FDA64"/>
    <w:rsid w:val="79CBA17E"/>
    <w:rsid w:val="79DBF48C"/>
    <w:rsid w:val="7A38F741"/>
    <w:rsid w:val="7AFFD8FA"/>
    <w:rsid w:val="7B3EC220"/>
    <w:rsid w:val="7B3F1108"/>
    <w:rsid w:val="7BF637EF"/>
    <w:rsid w:val="7BF7A20A"/>
    <w:rsid w:val="7BFF9F92"/>
    <w:rsid w:val="7DE7E541"/>
    <w:rsid w:val="7DF5DB6F"/>
    <w:rsid w:val="7E05038E"/>
    <w:rsid w:val="7E2EE1F8"/>
    <w:rsid w:val="7E6F760C"/>
    <w:rsid w:val="7E7B5C30"/>
    <w:rsid w:val="7EA76626"/>
    <w:rsid w:val="7EAFD3A2"/>
    <w:rsid w:val="7EB69D70"/>
    <w:rsid w:val="7ED348BC"/>
    <w:rsid w:val="7ED37CE2"/>
    <w:rsid w:val="7EEF3593"/>
    <w:rsid w:val="7EFED9F9"/>
    <w:rsid w:val="7F1729A4"/>
    <w:rsid w:val="7F6F052B"/>
    <w:rsid w:val="7F793FB4"/>
    <w:rsid w:val="7F7E718A"/>
    <w:rsid w:val="7FA0939E"/>
    <w:rsid w:val="7FA5FBC5"/>
    <w:rsid w:val="7FAD203B"/>
    <w:rsid w:val="7FBF1229"/>
    <w:rsid w:val="7FDF3F8C"/>
    <w:rsid w:val="7FDF516A"/>
    <w:rsid w:val="7FE456E3"/>
    <w:rsid w:val="7FEA443B"/>
    <w:rsid w:val="7FFD0735"/>
    <w:rsid w:val="7FFF0504"/>
    <w:rsid w:val="86F7B8E4"/>
    <w:rsid w:val="8EEA9FED"/>
    <w:rsid w:val="8EF7286B"/>
    <w:rsid w:val="8F31F7B1"/>
    <w:rsid w:val="8FCF4917"/>
    <w:rsid w:val="8FD0429A"/>
    <w:rsid w:val="8FFABDB8"/>
    <w:rsid w:val="977EFF14"/>
    <w:rsid w:val="97FB2544"/>
    <w:rsid w:val="9DF60031"/>
    <w:rsid w:val="9F3BD2A6"/>
    <w:rsid w:val="9F9F4049"/>
    <w:rsid w:val="9FF50FCE"/>
    <w:rsid w:val="9FFF0798"/>
    <w:rsid w:val="A7CE9AB8"/>
    <w:rsid w:val="A97F818A"/>
    <w:rsid w:val="AEBED28B"/>
    <w:rsid w:val="AF3E1943"/>
    <w:rsid w:val="AF7D9DE3"/>
    <w:rsid w:val="AFCF22B5"/>
    <w:rsid w:val="AFEBF807"/>
    <w:rsid w:val="B3FAF705"/>
    <w:rsid w:val="B6F625C8"/>
    <w:rsid w:val="B747F614"/>
    <w:rsid w:val="B7FED67D"/>
    <w:rsid w:val="BAEFC2B0"/>
    <w:rsid w:val="BAFDC9CD"/>
    <w:rsid w:val="BBFBD6A4"/>
    <w:rsid w:val="BBFFD090"/>
    <w:rsid w:val="BE5D470D"/>
    <w:rsid w:val="BE9FA14C"/>
    <w:rsid w:val="BF3CBC4A"/>
    <w:rsid w:val="BFBF0BF7"/>
    <w:rsid w:val="BFDF99AE"/>
    <w:rsid w:val="CBCDA745"/>
    <w:rsid w:val="CE7FC2CF"/>
    <w:rsid w:val="CEEE23A6"/>
    <w:rsid w:val="CEEEB420"/>
    <w:rsid w:val="CFF53FA5"/>
    <w:rsid w:val="D57DD2B6"/>
    <w:rsid w:val="D7F37632"/>
    <w:rsid w:val="D9AFF43F"/>
    <w:rsid w:val="D9FBA566"/>
    <w:rsid w:val="D9FF1C85"/>
    <w:rsid w:val="DBBF6681"/>
    <w:rsid w:val="DBBFC11A"/>
    <w:rsid w:val="DBFF08C1"/>
    <w:rsid w:val="DCEFF83E"/>
    <w:rsid w:val="DD8FA973"/>
    <w:rsid w:val="DDCBFD86"/>
    <w:rsid w:val="DDE81DF1"/>
    <w:rsid w:val="DDF290A7"/>
    <w:rsid w:val="DEAFA810"/>
    <w:rsid w:val="DEC724C0"/>
    <w:rsid w:val="DEFBD2BE"/>
    <w:rsid w:val="DF5F069A"/>
    <w:rsid w:val="DFEDC625"/>
    <w:rsid w:val="DFFE927F"/>
    <w:rsid w:val="DFFFF9FB"/>
    <w:rsid w:val="E49A7684"/>
    <w:rsid w:val="E6573DB3"/>
    <w:rsid w:val="E75ABF42"/>
    <w:rsid w:val="E75FB5FC"/>
    <w:rsid w:val="E7F46BBB"/>
    <w:rsid w:val="E7F7E697"/>
    <w:rsid w:val="E7FF68E5"/>
    <w:rsid w:val="E9F75660"/>
    <w:rsid w:val="EBFF57E2"/>
    <w:rsid w:val="ECD6B3E1"/>
    <w:rsid w:val="ECF5EEB2"/>
    <w:rsid w:val="EEBB9E0B"/>
    <w:rsid w:val="EFB7BAF4"/>
    <w:rsid w:val="EFDA785B"/>
    <w:rsid w:val="EFE75EA2"/>
    <w:rsid w:val="EFFD5DA0"/>
    <w:rsid w:val="EFFF7B6A"/>
    <w:rsid w:val="EFFFF40D"/>
    <w:rsid w:val="F3AF37D8"/>
    <w:rsid w:val="F3BF70B9"/>
    <w:rsid w:val="F67EDA16"/>
    <w:rsid w:val="F77FB540"/>
    <w:rsid w:val="F7DFFABA"/>
    <w:rsid w:val="F96F0AA1"/>
    <w:rsid w:val="FB77CD13"/>
    <w:rsid w:val="FB87A72E"/>
    <w:rsid w:val="FB9C9EE1"/>
    <w:rsid w:val="FB9F076E"/>
    <w:rsid w:val="FBBB8722"/>
    <w:rsid w:val="FBBFC631"/>
    <w:rsid w:val="FBF7FC5B"/>
    <w:rsid w:val="FBFE9B92"/>
    <w:rsid w:val="FBFEE361"/>
    <w:rsid w:val="FBFF4F24"/>
    <w:rsid w:val="FBFF7097"/>
    <w:rsid w:val="FD7FB607"/>
    <w:rsid w:val="FDBE7854"/>
    <w:rsid w:val="FDFFE825"/>
    <w:rsid w:val="FE7FE378"/>
    <w:rsid w:val="FEBB7710"/>
    <w:rsid w:val="FEFB0701"/>
    <w:rsid w:val="FF3AF5CB"/>
    <w:rsid w:val="FF83F849"/>
    <w:rsid w:val="FF8985B8"/>
    <w:rsid w:val="FF9B7EFC"/>
    <w:rsid w:val="FF9FDA93"/>
    <w:rsid w:val="FFAE0C27"/>
    <w:rsid w:val="FFB3A4AE"/>
    <w:rsid w:val="FFB706F8"/>
    <w:rsid w:val="FFBFD1BD"/>
    <w:rsid w:val="FFCAAB5B"/>
    <w:rsid w:val="FFDBD492"/>
    <w:rsid w:val="FFE35211"/>
    <w:rsid w:val="FFE3CA4E"/>
    <w:rsid w:val="FFEF5C74"/>
    <w:rsid w:val="FFFA0273"/>
    <w:rsid w:val="FFFE3033"/>
    <w:rsid w:val="FFFEE3F3"/>
    <w:rsid w:val="FFFFC8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4"/>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22">
    <w:name w:val="Default Paragraph Font"/>
    <w:semiHidden/>
    <w:unhideWhenUsed/>
    <w:qFormat/>
    <w:uiPriority w:val="1"/>
  </w:style>
  <w:style w:type="table" w:default="1" w:styleId="2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rPr>
      <w:rFonts w:ascii="Tahoma" w:hAnsi="Tahoma" w:cs="Tahoma"/>
      <w:sz w:val="20"/>
      <w:szCs w:val="20"/>
    </w:rPr>
  </w:style>
  <w:style w:type="paragraph" w:styleId="10">
    <w:name w:val="toc 5"/>
    <w:basedOn w:val="1"/>
    <w:next w:val="1"/>
    <w:semiHidden/>
    <w:qFormat/>
    <w:uiPriority w:val="0"/>
    <w:pPr>
      <w:spacing w:line="360" w:lineRule="auto"/>
      <w:ind w:left="960"/>
    </w:pPr>
  </w:style>
  <w:style w:type="paragraph" w:styleId="11">
    <w:name w:val="toc 3"/>
    <w:basedOn w:val="1"/>
    <w:next w:val="1"/>
    <w:qFormat/>
    <w:uiPriority w:val="39"/>
    <w:pPr>
      <w:spacing w:line="360" w:lineRule="auto"/>
      <w:ind w:left="480"/>
    </w:pPr>
  </w:style>
  <w:style w:type="paragraph" w:styleId="12">
    <w:name w:val="Balloon Text"/>
    <w:basedOn w:val="1"/>
    <w:link w:val="32"/>
    <w:qFormat/>
    <w:uiPriority w:val="0"/>
    <w:rPr>
      <w:rFonts w:ascii="Tahoma" w:hAnsi="Tahoma" w:cs="Tahoma"/>
      <w:sz w:val="16"/>
      <w:szCs w:val="16"/>
    </w:rPr>
  </w:style>
  <w:style w:type="paragraph" w:styleId="13">
    <w:name w:val="footer"/>
    <w:basedOn w:val="1"/>
    <w:link w:val="40"/>
    <w:qFormat/>
    <w:uiPriority w:val="99"/>
    <w:pPr>
      <w:tabs>
        <w:tab w:val="center" w:pos="4680"/>
        <w:tab w:val="right" w:pos="9360"/>
      </w:tabs>
      <w:spacing w:before="0" w:after="0"/>
    </w:pPr>
  </w:style>
  <w:style w:type="paragraph" w:styleId="14">
    <w:name w:val="header"/>
    <w:basedOn w:val="1"/>
    <w:link w:val="39"/>
    <w:qFormat/>
    <w:uiPriority w:val="99"/>
    <w:pPr>
      <w:tabs>
        <w:tab w:val="center" w:pos="4680"/>
        <w:tab w:val="right" w:pos="9360"/>
      </w:tabs>
      <w:spacing w:before="0" w:after="0"/>
    </w:pPr>
  </w:style>
  <w:style w:type="paragraph" w:styleId="15">
    <w:name w:val="toc 1"/>
    <w:basedOn w:val="1"/>
    <w:next w:val="1"/>
    <w:qFormat/>
    <w:uiPriority w:val="39"/>
    <w:pPr>
      <w:spacing w:line="360" w:lineRule="auto"/>
    </w:pPr>
    <w:rPr>
      <w:b/>
    </w:rPr>
  </w:style>
  <w:style w:type="paragraph" w:styleId="16">
    <w:name w:val="toc 4"/>
    <w:basedOn w:val="1"/>
    <w:next w:val="1"/>
    <w:qFormat/>
    <w:uiPriority w:val="39"/>
    <w:pPr>
      <w:spacing w:line="360" w:lineRule="auto"/>
      <w:ind w:left="720"/>
    </w:pPr>
  </w:style>
  <w:style w:type="paragraph" w:styleId="17">
    <w:name w:val="toc 2"/>
    <w:basedOn w:val="1"/>
    <w:next w:val="1"/>
    <w:qFormat/>
    <w:uiPriority w:val="39"/>
    <w:pPr>
      <w:spacing w:line="360" w:lineRule="auto"/>
      <w:ind w:left="24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basedOn w:val="22"/>
    <w:qFormat/>
    <w:uiPriority w:val="99"/>
    <w:rPr>
      <w:color w:val="0000FF"/>
      <w:u w:val="single"/>
    </w:rPr>
  </w:style>
  <w:style w:type="paragraph" w:customStyle="1" w:styleId="24">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5">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6">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7">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8">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9">
    <w:name w:val="AxureTableHeaderText"/>
    <w:basedOn w:val="1"/>
    <w:qFormat/>
    <w:uiPriority w:val="0"/>
    <w:pPr>
      <w:spacing w:before="60" w:after="60"/>
    </w:pPr>
    <w:rPr>
      <w:b/>
      <w:sz w:val="16"/>
    </w:rPr>
  </w:style>
  <w:style w:type="paragraph" w:customStyle="1" w:styleId="30">
    <w:name w:val="AxureTableNormalText"/>
    <w:basedOn w:val="1"/>
    <w:qFormat/>
    <w:uiPriority w:val="0"/>
    <w:pPr>
      <w:spacing w:before="60" w:after="60"/>
    </w:pPr>
    <w:rPr>
      <w:sz w:val="16"/>
    </w:rPr>
  </w:style>
  <w:style w:type="paragraph" w:customStyle="1" w:styleId="31">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32">
    <w:name w:val="Balloon Text Char"/>
    <w:basedOn w:val="22"/>
    <w:link w:val="12"/>
    <w:qFormat/>
    <w:uiPriority w:val="0"/>
    <w:rPr>
      <w:rFonts w:ascii="Tahoma" w:hAnsi="Tahoma" w:cs="Tahoma"/>
      <w:sz w:val="16"/>
      <w:szCs w:val="16"/>
    </w:rPr>
  </w:style>
  <w:style w:type="table" w:customStyle="1" w:styleId="33">
    <w:name w:val="AxureTableStyle"/>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4">
    <w:name w:val="Heading 4 Char"/>
    <w:basedOn w:val="22"/>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5">
    <w:name w:val="Heading 5 Char"/>
    <w:basedOn w:val="22"/>
    <w:link w:val="6"/>
    <w:qFormat/>
    <w:uiPriority w:val="0"/>
    <w:rPr>
      <w:rFonts w:asciiTheme="majorHAnsi" w:hAnsiTheme="majorHAnsi" w:eastAsiaTheme="majorEastAsia" w:cstheme="majorBidi"/>
      <w:color w:val="254061" w:themeColor="accent1" w:themeShade="80"/>
      <w:sz w:val="18"/>
      <w:szCs w:val="24"/>
    </w:rPr>
  </w:style>
  <w:style w:type="paragraph" w:customStyle="1" w:styleId="36">
    <w:name w:val="AxureImageParagraph"/>
    <w:basedOn w:val="1"/>
    <w:qFormat/>
    <w:uiPriority w:val="0"/>
    <w:pPr>
      <w:jc w:val="center"/>
    </w:pPr>
  </w:style>
  <w:style w:type="paragraph" w:styleId="37">
    <w:name w:val="No Spacing"/>
    <w:link w:val="38"/>
    <w:qFormat/>
    <w:uiPriority w:val="1"/>
    <w:rPr>
      <w:rFonts w:asciiTheme="minorHAnsi" w:hAnsiTheme="minorHAnsi" w:eastAsiaTheme="minorEastAsia" w:cstheme="minorBidi"/>
      <w:sz w:val="22"/>
      <w:szCs w:val="22"/>
      <w:lang w:val="en-US" w:eastAsia="en-US" w:bidi="ar-SA"/>
    </w:rPr>
  </w:style>
  <w:style w:type="character" w:customStyle="1" w:styleId="38">
    <w:name w:val="No Spacing Char"/>
    <w:basedOn w:val="22"/>
    <w:link w:val="37"/>
    <w:qFormat/>
    <w:uiPriority w:val="1"/>
    <w:rPr>
      <w:rFonts w:asciiTheme="minorHAnsi" w:hAnsiTheme="minorHAnsi" w:eastAsiaTheme="minorEastAsia" w:cstheme="minorBidi"/>
      <w:sz w:val="22"/>
      <w:szCs w:val="22"/>
    </w:rPr>
  </w:style>
  <w:style w:type="character" w:customStyle="1" w:styleId="39">
    <w:name w:val="Header Char"/>
    <w:basedOn w:val="22"/>
    <w:link w:val="14"/>
    <w:qFormat/>
    <w:uiPriority w:val="99"/>
    <w:rPr>
      <w:rFonts w:ascii="Arial" w:hAnsi="Arial" w:cs="Arial"/>
      <w:sz w:val="18"/>
      <w:szCs w:val="24"/>
    </w:rPr>
  </w:style>
  <w:style w:type="character" w:customStyle="1" w:styleId="40">
    <w:name w:val="Footer Char"/>
    <w:basedOn w:val="22"/>
    <w:link w:val="13"/>
    <w:qFormat/>
    <w:uiPriority w:val="99"/>
    <w:rPr>
      <w:rFonts w:ascii="Arial" w:hAnsi="Arial" w:cs="Arial"/>
      <w:sz w:val="18"/>
      <w:szCs w:val="24"/>
    </w:rPr>
  </w:style>
  <w:style w:type="character" w:styleId="41">
    <w:name w:val="Placeholder Text"/>
    <w:basedOn w:val="22"/>
    <w:semiHidden/>
    <w:qFormat/>
    <w:uiPriority w:val="99"/>
    <w:rPr>
      <w:color w:val="808080"/>
    </w:rPr>
  </w:style>
  <w:style w:type="paragraph" w:customStyle="1" w:styleId="42">
    <w:name w:val="AxureHiddenParagraph"/>
    <w:basedOn w:val="1"/>
    <w:qFormat/>
    <w:uiPriority w:val="0"/>
    <w:pPr>
      <w:spacing w:before="0" w:after="0"/>
    </w:pPr>
    <w:rPr>
      <w:sz w:val="2"/>
    </w:rPr>
  </w:style>
  <w:style w:type="paragraph" w:customStyle="1" w:styleId="43">
    <w:name w:val="Axure一级标题"/>
    <w:basedOn w:val="1"/>
    <w:qFormat/>
    <w:uiPriority w:val="0"/>
    <w:pPr>
      <w:spacing w:after="240"/>
      <w:outlineLvl w:val="0"/>
    </w:pPr>
    <w:rPr>
      <w:b/>
      <w:color w:val="auto"/>
      <w:sz w:val="28"/>
    </w:rPr>
  </w:style>
  <w:style w:type="paragraph" w:customStyle="1" w:styleId="44">
    <w:name w:val="AxureHeading21"/>
    <w:basedOn w:val="1"/>
    <w:qFormat/>
    <w:uiPriority w:val="0"/>
    <w:pPr>
      <w:outlineLvl w:val="1"/>
    </w:pPr>
    <w:rPr>
      <w:b/>
      <w:color w:val="auto"/>
      <w:sz w:val="26"/>
    </w:rPr>
  </w:style>
  <w:style w:type="paragraph" w:customStyle="1" w:styleId="45">
    <w:name w:val="AxureHeading31"/>
    <w:basedOn w:val="1"/>
    <w:qFormat/>
    <w:uiPriority w:val="0"/>
    <w:pPr>
      <w:spacing w:before="240"/>
      <w:outlineLvl w:val="2"/>
    </w:pPr>
    <w:rPr>
      <w:b/>
      <w:color w:val="auto"/>
      <w:szCs w:val="20"/>
    </w:rPr>
  </w:style>
  <w:style w:type="paragraph" w:customStyle="1" w:styleId="46">
    <w:name w:val="AxureHeading41"/>
    <w:basedOn w:val="1"/>
    <w:qFormat/>
    <w:uiPriority w:val="0"/>
    <w:pPr>
      <w:spacing w:before="240"/>
      <w:outlineLvl w:val="3"/>
    </w:pPr>
    <w:rPr>
      <w:b/>
      <w:i/>
      <w:color w:val="auto"/>
      <w:sz w:val="20"/>
    </w:rPr>
  </w:style>
  <w:style w:type="paragraph" w:customStyle="1" w:styleId="47">
    <w:name w:val="Axure表格标题文字"/>
    <w:basedOn w:val="1"/>
    <w:qFormat/>
    <w:uiPriority w:val="0"/>
    <w:pPr>
      <w:spacing w:before="60" w:after="60"/>
    </w:pPr>
    <w:rPr>
      <w:b/>
      <w:sz w:val="16"/>
    </w:rPr>
  </w:style>
  <w:style w:type="paragraph" w:customStyle="1" w:styleId="48">
    <w:name w:val="Axure表格常规文字"/>
    <w:basedOn w:val="1"/>
    <w:qFormat/>
    <w:uiPriority w:val="0"/>
    <w:pPr>
      <w:spacing w:before="60" w:after="60"/>
    </w:pPr>
    <w:rPr>
      <w:sz w:val="16"/>
    </w:rPr>
  </w:style>
  <w:style w:type="paragraph" w:customStyle="1" w:styleId="49">
    <w:name w:val="Axure基本标题"/>
    <w:basedOn w:val="1"/>
    <w:qFormat/>
    <w:uiPriority w:val="0"/>
    <w:pPr>
      <w:spacing w:before="240"/>
    </w:pPr>
    <w:rPr>
      <w:b/>
      <w:u w:val="single"/>
    </w:rPr>
  </w:style>
  <w:style w:type="table" w:customStyle="1" w:styleId="50">
    <w:name w:val="Axure表格样式"/>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1</Pages>
  <Words>3494</Words>
  <Characters>3590</Characters>
  <Lines>1</Lines>
  <Paragraphs>1</Paragraphs>
  <TotalTime>18</TotalTime>
  <ScaleCrop>false</ScaleCrop>
  <LinksUpToDate>false</LinksUpToDate>
  <CharactersWithSpaces>3700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2010-10-23T21:47:00Z</dcterms:created>
  <dc:creator>[Your Name]</dc:creator>
  <cp:lastModifiedBy>风过之痕</cp:lastModifiedBy>
  <cp:lastPrinted>2010-10-23T00:33:00Z</cp:lastPrinted>
  <dcterms:modified xsi:type="dcterms:W3CDTF">2024-03-13T14:48:00Z</dcterms:modified>
  <dc:title>The Documentation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26E8800BB2A53D1EAD85F863DB4D9814</vt:lpwstr>
  </property>
</Properties>
</file>