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88BD94"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趣伴卡系统政策体系调整优化</w:t>
      </w:r>
    </w:p>
    <w:p w14:paraId="61662DBE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需求背景：</w:t>
      </w:r>
    </w:p>
    <w:p w14:paraId="6BDFEF8D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目前，我们实行的是按比例分配的推广政策。具体来说，不管是高价格产品还是低价产品，都给一代保留 10% 的利润作为奖励。假如一款高价产品300元，10% 的部分就是 30 元；而一款低价产品售价 100 元，10% 就只有 10 元。别的同行可能给直推人员的奖励要比我们高很多，这就导致我们的直推人员积极性不高，产品推广的效率也受到了影响。</w:t>
      </w:r>
    </w:p>
    <w:p w14:paraId="6BEE70AA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为了改变这种不利的局面，我们迫切需要调整政策模式。新的模式可以考虑按指定金额保留给一代 。比如，不管产品价格高低，都给一代直推人员固定的 10 元奖励。剩下的金额，就全部保留给拓卡方。这样一来，一代清楚自己能拿到多少钱，拓卡方会更有动力去推广产品。通过这种政策调整，利润分配会更加合理，各方参与推广的积极性都能得到提升，最终实现产品销售业绩的增长，让我们在市场竞争中占据更有利的位置。</w:t>
      </w:r>
    </w:p>
    <w:p w14:paraId="151A525D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需求汇总：</w:t>
      </w:r>
    </w:p>
    <w:p w14:paraId="28648E0C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政策配置功能优化</w:t>
      </w:r>
    </w:p>
    <w:p w14:paraId="2AE82CC2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结算单生成功能优化</w:t>
      </w:r>
    </w:p>
    <w:p w14:paraId="1F9E7011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控台-业务员结算表功能优化</w:t>
      </w:r>
    </w:p>
    <w:p w14:paraId="23EFF3F3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一代产品政策页面逻辑调整</w:t>
      </w:r>
    </w:p>
    <w:p w14:paraId="4B32A55A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切换前后订单处理</w:t>
      </w:r>
    </w:p>
    <w:p w14:paraId="1F106A51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拓客端调整</w:t>
      </w:r>
    </w:p>
    <w:p w14:paraId="51C794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034F2252"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需求内容：</w:t>
      </w:r>
    </w:p>
    <w:p w14:paraId="0CA1A997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政策配置功能优化</w:t>
      </w:r>
    </w:p>
    <w:p w14:paraId="2C9C030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1.1.1推客产品政策配置-新增修改时增加内容（信用卡、借记卡）</w:t>
      </w:r>
    </w:p>
    <w:p w14:paraId="752EEC4F"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272155" cy="37338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1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2701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结算金额、补贴金额文案修改为结算规则、补贴规则</w:t>
      </w:r>
    </w:p>
    <w:p w14:paraId="3283CCA6"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新建、修改政策配置的弹窗中，当进行信用卡或借记卡产品类型的选择操作后，结算规则与补贴规则的部分，增设一个专门用于输入签约方金额的输入框。录入数据时，运营人员需分别录入拓卡方金额及签约方金额。目的在于后续生成结算单时，系统能够依据录入的这两个不同金额数据，区分并生成各自对应的拓卡方结算单和签约方结算单，确保两条结算数据所呈现的金额数据与配置一致。</w:t>
      </w:r>
    </w:p>
    <w:p w14:paraId="0E3523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D72EEE0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1.1.2推客产品政策配置-新增修改时增加内容（其他产品）</w:t>
      </w:r>
    </w:p>
    <w:p w14:paraId="4E65E227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0500" cy="3937635"/>
            <wp:effectExtent l="0" t="0" r="12700" b="247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1489">
      <w:pPr>
        <w:numPr>
          <w:ilvl w:val="0"/>
          <w:numId w:val="3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在新建、修改政策配置的弹窗中，当进行</w:t>
      </w:r>
      <w:r>
        <w:rPr>
          <w:rFonts w:hint="eastAsia"/>
          <w:lang w:val="en-US" w:eastAsia="zh-CN"/>
        </w:rPr>
        <w:t>拉新、保险、贷款</w:t>
      </w:r>
      <w:r>
        <w:rPr>
          <w:rFonts w:hint="eastAsia"/>
          <w:lang w:eastAsia="zh-CN"/>
        </w:rPr>
        <w:t>产品类型的选择操作后，结算规则与补贴规则的部分，增设专门用于输入签约方金额、</w:t>
      </w:r>
      <w:r>
        <w:rPr>
          <w:rFonts w:hint="eastAsia"/>
          <w:lang w:val="en-US" w:eastAsia="zh-CN"/>
        </w:rPr>
        <w:t>签约方比例</w:t>
      </w:r>
      <w:r>
        <w:rPr>
          <w:rFonts w:hint="eastAsia"/>
          <w:lang w:eastAsia="zh-CN"/>
        </w:rPr>
        <w:t>的输入框。录入数据时，运营人员需分别录入拓卡方金额</w:t>
      </w:r>
      <w:r>
        <w:rPr>
          <w:rFonts w:hint="eastAsia"/>
          <w:lang w:val="en-US" w:eastAsia="zh-CN"/>
        </w:rPr>
        <w:t>或比例</w:t>
      </w:r>
      <w:r>
        <w:rPr>
          <w:rFonts w:hint="eastAsia"/>
          <w:lang w:eastAsia="zh-CN"/>
        </w:rPr>
        <w:t>及签约方金额</w:t>
      </w:r>
      <w:r>
        <w:rPr>
          <w:rFonts w:hint="eastAsia"/>
          <w:lang w:val="en-US" w:eastAsia="zh-CN"/>
        </w:rPr>
        <w:t>或比例（需保持一致）</w:t>
      </w:r>
      <w:r>
        <w:rPr>
          <w:rFonts w:hint="eastAsia"/>
          <w:lang w:eastAsia="zh-CN"/>
        </w:rPr>
        <w:t>。目的在于后续生成结算单时，系统能够依据录入的这两个不同金额数据（</w:t>
      </w:r>
      <w:r>
        <w:rPr>
          <w:rFonts w:hint="eastAsia"/>
          <w:lang w:val="en-US" w:eastAsia="zh-CN"/>
        </w:rPr>
        <w:t>或比例</w:t>
      </w:r>
      <w:r>
        <w:rPr>
          <w:rFonts w:hint="eastAsia"/>
          <w:lang w:eastAsia="zh-CN"/>
        </w:rPr>
        <w:t>），区分并生成各自对应的拓卡方结算单和签约方结算单，确保两条结算数据所呈现的金额数据（</w:t>
      </w:r>
      <w:r>
        <w:rPr>
          <w:rFonts w:hint="eastAsia"/>
          <w:lang w:val="en-US" w:eastAsia="zh-CN"/>
        </w:rPr>
        <w:t>按比例计算的金额数据</w:t>
      </w:r>
      <w:r>
        <w:rPr>
          <w:rFonts w:hint="eastAsia"/>
          <w:lang w:eastAsia="zh-CN"/>
        </w:rPr>
        <w:t>）与配置一致。</w:t>
      </w:r>
    </w:p>
    <w:p w14:paraId="11A794E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1.1.3批量导入、批量修改支持新字段</w:t>
      </w:r>
    </w:p>
    <w:p w14:paraId="1BBFEA2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77.9pt;width:77.9pt;" o:ole="t" filled="f" o:preferrelative="t" stroked="f" coordsize="21600,21600">
            <v:path/>
            <v:fill on="f" focussize="0,0"/>
            <v:stroke on="f"/>
            <v:imagedata r:id="rId7" o:title="oleimage"/>
            <o:lock v:ext="edit" aspectratio="t"/>
            <w10:wrap type="none"/>
            <w10:anchorlock/>
          </v:shape>
          <o:OLEObject Type="Embed" ProgID="Excel.Sheet.12" ShapeID="_x0000_i1025" DrawAspect="Icon" ObjectID="_1468075725" r:id="rId6">
            <o:LockedField>false</o:LockedField>
          </o:OLEObject>
        </w:object>
      </w:r>
    </w:p>
    <w:p w14:paraId="7315001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新增了签约方结算金额、签约方结算比例，签约方补贴金额，签约方补贴比例字段的导入。</w:t>
      </w:r>
    </w:p>
    <w:p w14:paraId="2E4DDC04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签约方结算金额、签约方结算比例，签约方补贴金额，签约方补贴比例的字段允许为空，或为纯数字，导入后将对应数值保存至数据库中。</w:t>
      </w:r>
    </w:p>
    <w:p w14:paraId="70BBB38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现有数据不做变动，功能上线后新导入新政策时进行增加该部分字段即可。</w:t>
      </w:r>
    </w:p>
    <w:p w14:paraId="58214FEE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1.1.4同步拓客结算规则</w:t>
      </w:r>
    </w:p>
    <w:p w14:paraId="6FA8CFDC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同步时只同步第一档的拓卡方金额、比例。</w:t>
      </w:r>
    </w:p>
    <w:p w14:paraId="2495F59A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1.1.5导出功能增加字段支持</w:t>
      </w:r>
    </w:p>
    <w:p w14:paraId="123C1B01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162425" cy="1200150"/>
            <wp:effectExtent l="0" t="0" r="31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77991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导出的文件，增加签约方相关金额、比例字段，详见下方文件：</w:t>
      </w:r>
    </w:p>
    <w:p w14:paraId="21C700A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56.85pt;width:56.85pt;" o:ole="t" filled="f" o:preferrelative="t" stroked="f" coordsize="21600,21600">
            <v:path/>
            <v:fill on="f" focussize="0,0"/>
            <v:stroke on="f"/>
            <v:imagedata r:id="rId10" o:title="oleimage"/>
            <o:lock v:ext="edit" aspectratio="t"/>
            <w10:wrap type="none"/>
            <w10:anchorlock/>
          </v:shape>
          <o:OLEObject Type="Embed" ProgID="Excel.Sheet.12" ShapeID="_x0000_i1026" DrawAspect="Icon" ObjectID="_1468075726" r:id="rId9">
            <o:LockedField>false</o:LockedField>
          </o:OLEObject>
        </w:object>
      </w:r>
    </w:p>
    <w:p w14:paraId="209B48E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5A676C76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结算单生成功能优化</w:t>
      </w:r>
    </w:p>
    <w:p w14:paraId="4DBC683D"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触发条件与流程：</w:t>
      </w:r>
    </w:p>
    <w:p w14:paraId="1EACF3A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订单达到对应的政策配置的结算标准，生成结算单时，根据不同判断，走不同逻辑。</w:t>
      </w:r>
    </w:p>
    <w:p w14:paraId="7E610BAE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A订单创建时间早于拓客分润比例表中对应数据的截止日期</w:t>
      </w:r>
    </w:p>
    <w:p w14:paraId="0D5E04D8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按分润比例表中签约方、拓卡方比例，为双方分别生成结算单。</w:t>
      </w:r>
    </w:p>
    <w:p w14:paraId="0AA9CC6D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B订单中的渠道+产品在拓客分润比例表中未找到对应数据</w:t>
      </w:r>
    </w:p>
    <w:p w14:paraId="49A263A1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生成收益方为拓卡方的结算单。</w:t>
      </w:r>
    </w:p>
    <w:p w14:paraId="0F79F011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C订单创建时间晚于拓客分润比例表中对应数据的截止日期</w:t>
      </w:r>
    </w:p>
    <w:p w14:paraId="0AFBE5F1"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按政策中配置的规则为拓卡方和签约方分别生成结算单。</w:t>
      </w:r>
    </w:p>
    <w:p w14:paraId="14F1765F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D渠道分润类型为2.0的渠道。</w:t>
      </w:r>
    </w:p>
    <w:p w14:paraId="20C6B641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任何时间都仅生成收益方为拓卡方的结算单。</w:t>
      </w:r>
    </w:p>
    <w:p w14:paraId="6FE74973"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拓客分润比例表</w:t>
      </w:r>
    </w:p>
    <w:p w14:paraId="1901C338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人工导入开启自定义比例的机构的签约方编号，和这些签约方的每个产品的分润比例，以及各渠道的默认比例到趣伴卡系统生成临时表：拓客分润比例表。</w:t>
      </w:r>
    </w:p>
    <w:p w14:paraId="14AFCA72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格式：配置类型+渠道编码+签约方编号+产品类型+分润类型+产品编码+签约方比例+拓卡方比例+起始日期+截止日期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897"/>
        <w:gridCol w:w="830"/>
        <w:gridCol w:w="876"/>
        <w:gridCol w:w="937"/>
        <w:gridCol w:w="707"/>
        <w:gridCol w:w="830"/>
        <w:gridCol w:w="830"/>
        <w:gridCol w:w="842"/>
        <w:gridCol w:w="843"/>
      </w:tblGrid>
      <w:tr w14:paraId="13A31279">
        <w:trPr>
          <w:trHeight w:val="336" w:hRule="atLeast"/>
        </w:trPr>
        <w:tc>
          <w:tcPr>
            <w:tcW w:w="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27C7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配置类型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9F52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渠道编码</w:t>
            </w: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E784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签约方编号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EBF1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产品类型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78D10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分润类型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F70F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产品编码</w:t>
            </w: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0EEB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签约方比例</w:t>
            </w: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E39B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拓卡方比例</w:t>
            </w: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9C11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起始日期</w:t>
            </w: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96D172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截止日期</w:t>
            </w:r>
          </w:p>
        </w:tc>
      </w:tr>
      <w:tr w14:paraId="177E2E3B">
        <w:trPr>
          <w:trHeight w:val="336" w:hRule="atLeast"/>
        </w:trPr>
        <w:tc>
          <w:tcPr>
            <w:tcW w:w="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8E4CF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CHANNEL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198E1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HTKTK_APP</w:t>
            </w: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0BAD1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EC11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CREDIT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511D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PRODTYPE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F76412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9A64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0.1</w:t>
            </w: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17DF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0.9</w:t>
            </w: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0CF9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2020-01-01</w:t>
            </w: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98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2025-03-31</w:t>
            </w:r>
          </w:p>
        </w:tc>
      </w:tr>
      <w:tr w14:paraId="7DD129AF">
        <w:trPr>
          <w:trHeight w:val="336" w:hRule="atLeast"/>
        </w:trPr>
        <w:tc>
          <w:tcPr>
            <w:tcW w:w="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B088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SIGN_AGENT</w:t>
            </w: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3FC3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HAOTK_APP</w:t>
            </w: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419FE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20224436</w:t>
            </w: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D8696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LOAN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33F6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SINGLEPROD</w:t>
            </w: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C1D9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ZXYHSS</w:t>
            </w: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5CE9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0.2</w:t>
            </w: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BB93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0.8</w:t>
            </w: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74E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2A7C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</w:p>
        </w:tc>
      </w:tr>
      <w:tr w14:paraId="6FACAA69">
        <w:trPr>
          <w:trHeight w:val="336" w:hRule="atLeast"/>
        </w:trPr>
        <w:tc>
          <w:tcPr>
            <w:tcW w:w="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AB232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1ECA4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6842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2480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INSURANCE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5ED5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02499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948FF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E657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1107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F011C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 w14:paraId="412F327A">
        <w:trPr>
          <w:trHeight w:val="336" w:hRule="atLeast"/>
        </w:trPr>
        <w:tc>
          <w:tcPr>
            <w:tcW w:w="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8DBA7B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6F8373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C4471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6AA8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INVITE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C653D7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84F838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80D416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4836B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96E65D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9482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 w14:paraId="206403F8">
        <w:trPr>
          <w:trHeight w:val="336" w:hRule="atLeast"/>
        </w:trPr>
        <w:tc>
          <w:tcPr>
            <w:tcW w:w="54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372068A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094FCA5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131161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51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16D7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DEBIT</w:t>
            </w:r>
          </w:p>
        </w:tc>
        <w:tc>
          <w:tcPr>
            <w:tcW w:w="54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E00809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8AF9C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1B39E0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8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2CD14F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58E4D9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49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29DDE"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</w:tbl>
    <w:p w14:paraId="42923DEC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 w14:paraId="773E86D7"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实操提示：非层层的签约方使用真实的签约方比例和拓卡方比例，层层的使用0比1，0%给签约方，100%拓卡方，生成仅1条收益方为拓卡方的结算单，发放后由拓客系统按层层配置的比例进行分润。</w:t>
      </w:r>
    </w:p>
    <w:p w14:paraId="2319BCFF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分润比例查询优先级</w:t>
      </w:r>
    </w:p>
    <w:p w14:paraId="7F7AA72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6"/>
        <w:gridCol w:w="3963"/>
        <w:gridCol w:w="1246"/>
        <w:gridCol w:w="1471"/>
      </w:tblGrid>
      <w:tr w14:paraId="5D676ABD">
        <w:tc>
          <w:tcPr>
            <w:tcW w:w="1073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D8B5E8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 匹配名称</w:t>
            </w:r>
          </w:p>
        </w:tc>
        <w:tc>
          <w:tcPr>
            <w:tcW w:w="2329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EEFC64E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适用条件参数</w:t>
            </w:r>
          </w:p>
        </w:tc>
        <w:tc>
          <w:tcPr>
            <w:tcW w:w="732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3CE8BAD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优先级</w:t>
            </w:r>
          </w:p>
        </w:tc>
        <w:tc>
          <w:tcPr>
            <w:tcW w:w="864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EB534C0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分润类型</w:t>
            </w:r>
          </w:p>
        </w:tc>
      </w:tr>
      <w:tr w14:paraId="38CED706">
        <w:tc>
          <w:tcPr>
            <w:tcW w:w="1073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C4B772E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精准匹配</w:t>
            </w:r>
          </w:p>
        </w:tc>
        <w:tc>
          <w:tcPr>
            <w:tcW w:w="2329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B8705F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sz w:val="20"/>
                <w:szCs w:val="22"/>
              </w:rPr>
              <w:t>配置类型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签约方（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lang w:val="en-US" w:eastAsia="zh-CN" w:bidi="ar"/>
              </w:rPr>
              <w:t>SIGN_AGENT</w:t>
            </w:r>
          </w:p>
          <w:p w14:paraId="79E79042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）</w:t>
            </w:r>
            <w:r>
              <w:rPr>
                <w:sz w:val="20"/>
                <w:szCs w:val="22"/>
              </w:rPr>
              <w:t>+渠道编码+签约方编号 ★+ 产品编码 ○</w:t>
            </w:r>
          </w:p>
        </w:tc>
        <w:tc>
          <w:tcPr>
            <w:tcW w:w="732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98E4388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</w:t>
            </w:r>
          </w:p>
        </w:tc>
        <w:tc>
          <w:tcPr>
            <w:tcW w:w="864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BA46611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SINGLEPROD</w:t>
            </w:r>
          </w:p>
        </w:tc>
      </w:tr>
      <w:tr w14:paraId="7FC88164">
        <w:tc>
          <w:tcPr>
            <w:tcW w:w="1073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DD70512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产品类型匹配</w:t>
            </w:r>
          </w:p>
        </w:tc>
        <w:tc>
          <w:tcPr>
            <w:tcW w:w="2329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96624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sz w:val="20"/>
                <w:szCs w:val="22"/>
              </w:rPr>
              <w:t>配置类型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签约方（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lang w:val="en-US" w:eastAsia="zh-CN" w:bidi="ar"/>
              </w:rPr>
              <w:t>SIGN_AGENT</w:t>
            </w:r>
          </w:p>
          <w:p w14:paraId="47862813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）</w:t>
            </w:r>
            <w:r>
              <w:rPr>
                <w:sz w:val="20"/>
                <w:szCs w:val="22"/>
              </w:rPr>
              <w:t>+渠道编码+签约方编号 ★+ 产品类型 △</w:t>
            </w:r>
          </w:p>
        </w:tc>
        <w:tc>
          <w:tcPr>
            <w:tcW w:w="732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B1BE66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</w:t>
            </w:r>
          </w:p>
        </w:tc>
        <w:tc>
          <w:tcPr>
            <w:tcW w:w="864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D675AA1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PRODTYPE</w:t>
            </w:r>
          </w:p>
        </w:tc>
      </w:tr>
      <w:tr w14:paraId="3B127448">
        <w:tc>
          <w:tcPr>
            <w:tcW w:w="1073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AC33F6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渠道级精准匹配</w:t>
            </w:r>
          </w:p>
        </w:tc>
        <w:tc>
          <w:tcPr>
            <w:tcW w:w="2329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B78E27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sz w:val="20"/>
                <w:szCs w:val="22"/>
              </w:rPr>
              <w:t>配置类型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渠道（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lang w:val="en-US" w:eastAsia="zh-CN" w:bidi="ar"/>
              </w:rPr>
              <w:t>CHANNEL</w:t>
            </w:r>
          </w:p>
          <w:p w14:paraId="7E7A9AA0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）</w:t>
            </w:r>
            <w:r>
              <w:rPr>
                <w:sz w:val="20"/>
                <w:szCs w:val="22"/>
              </w:rPr>
              <w:t>+渠道编码 ★+ 产品编码 ○</w:t>
            </w:r>
          </w:p>
        </w:tc>
        <w:tc>
          <w:tcPr>
            <w:tcW w:w="732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2402DA9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</w:t>
            </w:r>
          </w:p>
        </w:tc>
        <w:tc>
          <w:tcPr>
            <w:tcW w:w="864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03EF864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SINGLEPROD</w:t>
            </w:r>
          </w:p>
        </w:tc>
      </w:tr>
      <w:tr w14:paraId="76DCBE8F">
        <w:tc>
          <w:tcPr>
            <w:tcW w:w="1073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8CCA675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渠道级类型匹配</w:t>
            </w:r>
          </w:p>
        </w:tc>
        <w:tc>
          <w:tcPr>
            <w:tcW w:w="2329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CFD1EF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sz w:val="20"/>
                <w:szCs w:val="22"/>
              </w:rPr>
              <w:t>配置类型</w:t>
            </w:r>
            <w:r>
              <w:rPr>
                <w:rFonts w:hint="eastAsia"/>
                <w:sz w:val="20"/>
                <w:szCs w:val="22"/>
                <w:lang w:val="en-US" w:eastAsia="zh-CN"/>
              </w:rPr>
              <w:t>渠道（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lang w:val="en-US" w:eastAsia="zh-CN" w:bidi="ar"/>
              </w:rPr>
              <w:t>CHANNEL</w:t>
            </w:r>
          </w:p>
          <w:p w14:paraId="6F5C8260"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  <w:lang w:eastAsia="zh-CN"/>
              </w:rPr>
              <w:t>）</w:t>
            </w:r>
            <w:r>
              <w:rPr>
                <w:sz w:val="20"/>
                <w:szCs w:val="22"/>
              </w:rPr>
              <w:t>+渠道编码 ★+ 产品类型 △</w:t>
            </w:r>
          </w:p>
        </w:tc>
        <w:tc>
          <w:tcPr>
            <w:tcW w:w="732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B1B1C12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</w:t>
            </w:r>
          </w:p>
        </w:tc>
        <w:tc>
          <w:tcPr>
            <w:tcW w:w="864" w:type="pct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F5067EA">
            <w:pPr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PRODTYPE</w:t>
            </w:r>
          </w:p>
        </w:tc>
      </w:tr>
    </w:tbl>
    <w:p w14:paraId="6BCB8C6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★：强制匹配字段（如渠道编码必须存在）</w:t>
      </w:r>
    </w:p>
    <w:p w14:paraId="70E76836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○：产品维度指向具体</w:t>
      </w:r>
      <w:r>
        <w:rPr>
          <w:rFonts w:hint="eastAsia"/>
          <w:lang w:val="en-US" w:eastAsia="zh-CN"/>
        </w:rPr>
        <w:t>产品</w:t>
      </w:r>
      <w:r>
        <w:rPr>
          <w:rFonts w:hint="default"/>
          <w:lang w:val="en-US" w:eastAsia="zh-CN"/>
        </w:rPr>
        <w:t>编码</w:t>
      </w:r>
    </w:p>
    <w:p w14:paraId="0F10685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 △：产品类型指向</w:t>
      </w:r>
      <w:r>
        <w:rPr>
          <w:rFonts w:hint="eastAsia"/>
          <w:lang w:val="en-US" w:eastAsia="zh-CN"/>
        </w:rPr>
        <w:t>趣伴卡产品类别：信用卡、借记卡、贷款、拉新、保险</w:t>
      </w:r>
    </w:p>
    <w:p w14:paraId="5F6736B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78116247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匹配成功后结算单生成逻辑调整</w:t>
      </w:r>
    </w:p>
    <w:p w14:paraId="49C98CA5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A订单创建日期</w:t>
      </w:r>
      <w:r>
        <w:rPr>
          <w:rFonts w:hint="eastAsia"/>
          <w:lang w:val="en-US" w:eastAsia="zh-CN"/>
        </w:rPr>
        <w:t>小于等于分润比例表截止日期的，走拓客分润比例表匹配逻辑。</w:t>
      </w:r>
    </w:p>
    <w:p w14:paraId="7B013E1B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匹配成功时</w:t>
      </w:r>
    </w:p>
    <w:p w14:paraId="050E2F1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</w:t>
      </w:r>
      <w:r>
        <w:rPr>
          <w:rFonts w:hint="default"/>
          <w:lang w:val="en-US" w:eastAsia="zh-CN"/>
        </w:rPr>
        <w:t>签约方结算单：</w:t>
      </w:r>
    </w:p>
    <w:p w14:paraId="02CE0E24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奖励</w:t>
      </w:r>
      <w:r>
        <w:rPr>
          <w:rFonts w:hint="default"/>
          <w:lang w:val="en-US" w:eastAsia="zh-CN"/>
        </w:rPr>
        <w:t xml:space="preserve">金额 = </w:t>
      </w:r>
      <w:r>
        <w:rPr>
          <w:rFonts w:hint="eastAsia"/>
          <w:lang w:val="en-US" w:eastAsia="zh-CN"/>
        </w:rPr>
        <w:t>政策拓卡方结算金额</w:t>
      </w:r>
      <w:r>
        <w:rPr>
          <w:rFonts w:hint="default"/>
          <w:lang w:val="en-US" w:eastAsia="zh-CN"/>
        </w:rPr>
        <w:t xml:space="preserve"> × </w:t>
      </w:r>
      <w:r>
        <w:rPr>
          <w:rFonts w:hint="eastAsia"/>
          <w:lang w:val="en-US" w:eastAsia="zh-CN"/>
        </w:rPr>
        <w:t>拓客分润比例表中</w:t>
      </w:r>
      <w:r>
        <w:rPr>
          <w:rFonts w:hint="default"/>
          <w:lang w:val="en-US" w:eastAsia="zh-CN"/>
        </w:rPr>
        <w:t>签约方比例</w:t>
      </w:r>
      <w:r>
        <w:rPr>
          <w:rFonts w:hint="eastAsia"/>
          <w:lang w:val="en-US" w:eastAsia="zh-CN"/>
        </w:rPr>
        <w:t>（或结算依据x政策拓卡方结算比例x拓客分润比例表中签约方比例）</w:t>
      </w:r>
    </w:p>
    <w:p w14:paraId="7F7AFD50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取整规则：  </w:t>
      </w:r>
    </w:p>
    <w:p w14:paraId="142EE114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分润精度为「取整」→ 向上取整（如100.2→101）  </w:t>
      </w:r>
    </w:p>
    <w:p w14:paraId="518E7D21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分润精度为「两位小数」→ 向上保留两位（如100.123→100.13）  </w:t>
      </w:r>
    </w:p>
    <w:p w14:paraId="0295EFF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拓卡方结算单：</w:t>
      </w:r>
    </w:p>
    <w:p w14:paraId="29A1F7F5">
      <w:pPr>
        <w:keepNext w:val="0"/>
        <w:keepLines w:val="0"/>
        <w:widowControl w:val="0"/>
        <w:suppressLineNumbers w:val="0"/>
        <w:spacing w:before="0" w:beforeAutospacing="0" w:after="0" w:afterAutospacing="0"/>
        <w:ind w:left="1260" w:leftChars="0" w:right="0" w:firstLine="420" w:firstLineChars="0"/>
        <w:jc w:val="both"/>
      </w:pPr>
      <w:r>
        <w:rPr>
          <w:rFonts w:hint="eastAsia"/>
          <w:lang w:val="en-US" w:eastAsia="zh-CN"/>
        </w:rPr>
        <w:t>奖励</w:t>
      </w:r>
      <w:r>
        <w:rPr>
          <w:rFonts w:hint="default"/>
          <w:lang w:val="en-US" w:eastAsia="zh-CN"/>
        </w:rPr>
        <w:t>金额 =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政策拓卡方结算金额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 xml:space="preserve">× </w:t>
      </w:r>
      <w:r>
        <w:rPr>
          <w:rFonts w:hint="eastAsia"/>
          <w:lang w:val="en-US" w:eastAsia="zh-CN"/>
        </w:rPr>
        <w:t>拓客分润比例表中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拓卡方比例（或结算依据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政策拓卡方结算比例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x</w:t>
      </w:r>
      <w:r>
        <w:rPr>
          <w:rFonts w:hint="eastAsia"/>
          <w:lang w:val="en-US" w:eastAsia="zh-CN"/>
        </w:rPr>
        <w:t>拓客分润比例表中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签约方比例）</w:t>
      </w:r>
    </w:p>
    <w:p w14:paraId="11CCBBAD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取整规则：  </w:t>
      </w:r>
    </w:p>
    <w:p w14:paraId="31943E88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分润精度为「取整」→ 向下取整（如100.8→100）  </w:t>
      </w:r>
    </w:p>
    <w:p w14:paraId="169C88B5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分润精度为「两位小数」→ 向下保留两位（如100.789→100.78）  </w:t>
      </w:r>
    </w:p>
    <w:p w14:paraId="054F421B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匹配失败时</w:t>
      </w:r>
    </w:p>
    <w:p w14:paraId="1E166E72"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兜底逻辑：</w:t>
      </w:r>
      <w:r>
        <w:rPr>
          <w:rFonts w:hint="eastAsia"/>
          <w:lang w:val="en-US" w:eastAsia="zh-CN"/>
        </w:rPr>
        <w:t>仅</w:t>
      </w:r>
      <w:r>
        <w:rPr>
          <w:rFonts w:hint="default"/>
          <w:lang w:val="en-US" w:eastAsia="zh-CN"/>
        </w:rPr>
        <w:t>生成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笔结算单，</w:t>
      </w:r>
      <w:r>
        <w:rPr>
          <w:rFonts w:hint="eastAsia"/>
          <w:lang w:val="en-US" w:eastAsia="zh-CN"/>
        </w:rPr>
        <w:t>收益方为</w:t>
      </w:r>
      <w:r>
        <w:rPr>
          <w:rFonts w:hint="default"/>
          <w:lang w:val="en-US" w:eastAsia="zh-CN"/>
        </w:rPr>
        <w:t>拓卡方</w:t>
      </w:r>
      <w:r>
        <w:rPr>
          <w:rFonts w:hint="eastAsia"/>
          <w:lang w:val="en-US" w:eastAsia="zh-CN"/>
        </w:rPr>
        <w:t>，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政策拓卡方结算金额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（或结算依据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政策拓卡方结算比例）</w:t>
      </w:r>
    </w:p>
    <w:p w14:paraId="64681508"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C订单创建日期大于分润比例表截止日期的，走新政策逻辑：</w:t>
      </w:r>
    </w:p>
    <w:p w14:paraId="50CDA414"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</w:t>
      </w:r>
      <w:r>
        <w:rPr>
          <w:rFonts w:hint="default"/>
          <w:lang w:val="en-US" w:eastAsia="zh-CN"/>
        </w:rPr>
        <w:t>签约方结算单：</w:t>
      </w:r>
    </w:p>
    <w:p w14:paraId="1C0479A7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奖励</w:t>
      </w:r>
      <w:r>
        <w:rPr>
          <w:rFonts w:hint="default"/>
          <w:lang w:val="en-US" w:eastAsia="zh-CN"/>
        </w:rPr>
        <w:t xml:space="preserve">金额 = </w:t>
      </w:r>
      <w:r>
        <w:rPr>
          <w:rFonts w:hint="eastAsia"/>
          <w:lang w:val="en-US" w:eastAsia="zh-CN"/>
        </w:rPr>
        <w:t>政策签约方结算金额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（或结算依据x政策签约方结算比例）</w:t>
      </w:r>
    </w:p>
    <w:p w14:paraId="6976EEAB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取整规则：  </w:t>
      </w:r>
    </w:p>
    <w:p w14:paraId="390D4EF0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分润精度为「取整」→ 向上取整（如100.2→101）  </w:t>
      </w:r>
    </w:p>
    <w:p w14:paraId="4D0A13B7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分润精度为「两位小数」→ 向上保留两位（如100.123→100.13）  </w:t>
      </w:r>
    </w:p>
    <w:p w14:paraId="76AD300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拓卡方结算单：</w:t>
      </w:r>
    </w:p>
    <w:p w14:paraId="60EA8BC2">
      <w:pPr>
        <w:keepNext w:val="0"/>
        <w:keepLines w:val="0"/>
        <w:widowControl w:val="0"/>
        <w:suppressLineNumbers w:val="0"/>
        <w:spacing w:before="0" w:beforeAutospacing="0" w:after="0" w:afterAutospacing="0"/>
        <w:ind w:left="1260" w:leftChars="0" w:right="0" w:firstLine="420" w:firstLineChars="0"/>
        <w:jc w:val="both"/>
      </w:pPr>
      <w:r>
        <w:rPr>
          <w:rFonts w:hint="eastAsia"/>
          <w:lang w:val="en-US" w:eastAsia="zh-CN"/>
        </w:rPr>
        <w:t>奖励</w:t>
      </w:r>
      <w:r>
        <w:rPr>
          <w:rFonts w:hint="default"/>
          <w:lang w:val="en-US" w:eastAsia="zh-CN"/>
        </w:rPr>
        <w:t>金额 =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政策拓卡方结算金额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（或结算依据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政策拓卡方结算比例）</w:t>
      </w:r>
    </w:p>
    <w:p w14:paraId="194BC57F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取整规则：  </w:t>
      </w:r>
    </w:p>
    <w:p w14:paraId="6A5B8325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分润精度为「取整」→ 向下取整（如100.8→100）  </w:t>
      </w:r>
    </w:p>
    <w:p w14:paraId="1C3F3C32"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分润精度为「两位小数」→ 向下保留两位（如100.789→100.78）</w:t>
      </w:r>
    </w:p>
    <w:p w14:paraId="225EB21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5B2B085">
      <w:pPr>
        <w:numPr>
          <w:ilvl w:val="0"/>
          <w:numId w:val="0"/>
        </w:numPr>
        <w:ind w:leftChars="0"/>
      </w:pPr>
    </w:p>
    <w:p w14:paraId="6FB33648">
      <w:pPr>
        <w:keepNext w:val="0"/>
        <w:keepLines w:val="0"/>
        <w:widowControl/>
        <w:suppressLineNumbers w:val="0"/>
        <w:jc w:val="left"/>
      </w:pPr>
    </w:p>
    <w:p w14:paraId="3E5861CD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数据准确性要求：需确保系统对新结算单的生成逻辑准确无误，在测试环节，重点针对该新结算单的生成流程及金额准确性进行全面、细致的测试，若发现任何问题或异常情况，应及时反馈并沟通解决方案 。</w:t>
      </w:r>
    </w:p>
    <w:p w14:paraId="4C8C1521"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控台-业务员结算表功能优化</w:t>
      </w:r>
    </w:p>
    <w:p w14:paraId="53A2184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在控台-业务员结算表复核、产品结算表复核的筛选项、查询结果、导出文件的账单类型字段中增加枚举值——“签约方收益”。</w:t>
      </w:r>
    </w:p>
    <w:p w14:paraId="704C8B55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一代产品政策页面逻辑调整</w:t>
      </w:r>
    </w:p>
    <w:p w14:paraId="53037C58"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2882900" cy="2900680"/>
            <wp:effectExtent l="0" t="0" r="12700" b="203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B7AE0"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产品政策页面除产品名称外允许左右滑动，在顶部提供类别选择栏，可选择当前用户对应渠道存在的产品政策中的产品类别+产品分组。产品类别的展示条件为渠道信息管理中勾选了该类别，且该类别下存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在当前生效中</w:t>
      </w:r>
      <w:r>
        <w:rPr>
          <w:rFonts w:hint="eastAsia"/>
          <w:lang w:val="en-US" w:eastAsia="zh-CN"/>
        </w:rPr>
        <w:t>的产品政策配置；分组的展示条件为渠道信息管理中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勾选了该分组</w:t>
      </w:r>
      <w:r>
        <w:rPr>
          <w:rFonts w:hint="eastAsia"/>
          <w:lang w:val="en-US" w:eastAsia="zh-CN"/>
        </w:rPr>
        <w:t>，且该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分组为启用状态</w:t>
      </w:r>
      <w:r>
        <w:rPr>
          <w:rFonts w:hint="eastAsia"/>
          <w:lang w:val="en-US" w:eastAsia="zh-CN"/>
        </w:rPr>
        <w:t>，且该分组存在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当前生效中的产品政策配置</w:t>
      </w:r>
      <w:r>
        <w:rPr>
          <w:rFonts w:hint="eastAsia"/>
          <w:lang w:val="en-US" w:eastAsia="zh-CN"/>
        </w:rPr>
        <w:t>。</w:t>
      </w:r>
    </w:p>
    <w:p w14:paraId="32088BCC"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产品政策页面中列表内容为产品名称（取银行简称或产品名称）、达标标准（取推客产品政策配置中的展示名称）、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总奖励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直推奖励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机构奖励</w:t>
      </w:r>
      <w:r>
        <w:rPr>
          <w:rFonts w:hint="eastAsia"/>
          <w:lang w:val="en-US" w:eastAsia="zh-CN"/>
        </w:rPr>
        <w:t>。字段标题达标标准，在信用卡借记卡类别中显示为“达标标准（新户）”，在其他产品类别中，显示未“达标标准”。</w:t>
      </w:r>
    </w:p>
    <w:p w14:paraId="7683B77B">
      <w:pPr>
        <w:numPr>
          <w:ilvl w:val="0"/>
          <w:numId w:val="4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信用卡、借记卡产品展示逻辑为：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总奖励</w:t>
      </w:r>
      <w:r>
        <w:rPr>
          <w:rFonts w:hint="eastAsia"/>
          <w:lang w:val="en-US" w:eastAsia="zh-CN"/>
        </w:rPr>
        <w:t>=拓卡方结算金额与签约方结算金额的和+拓卡方补贴金额与签约方补贴金额的和、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直推奖励</w:t>
      </w:r>
      <w:r>
        <w:rPr>
          <w:rFonts w:hint="eastAsia"/>
          <w:lang w:val="en-US" w:eastAsia="zh-CN"/>
        </w:rPr>
        <w:t>=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拓卡方结算金额+</w:t>
      </w:r>
      <w:r>
        <w:rPr>
          <w:rFonts w:hint="eastAsia"/>
          <w:lang w:val="en-US" w:eastAsia="zh-CN"/>
        </w:rPr>
        <w:t>拓卡方补贴金额、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机构奖励=</w:t>
      </w:r>
      <w:r>
        <w:rPr>
          <w:rFonts w:hint="eastAsia"/>
          <w:lang w:val="en-US" w:eastAsia="zh-CN"/>
        </w:rPr>
        <w:t>签约方结算金额+签约方补贴金额。</w:t>
      </w:r>
      <w:r>
        <w:rPr>
          <w:rFonts w:hint="eastAsia"/>
          <w:color w:val="FF0000"/>
          <w:lang w:val="en-US" w:eastAsia="zh-CN"/>
        </w:rPr>
        <w:t>所有的金额，都要乘以拓客系统真实分润比例后进行展示。</w:t>
      </w:r>
    </w:p>
    <w:p w14:paraId="74A8D538">
      <w:pPr>
        <w:numPr>
          <w:ilvl w:val="0"/>
          <w:numId w:val="4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若为贷款、拉新、保险产品展示逻辑为：总奖励=拓卡方结算金额与签约方结算金额的和+拓卡方补贴金额与签约方补贴金额的和+拓卡方结算比例与签约方结算比例的和+拓客方补贴比例与签约方补贴比例的和、直推奖励=拓卡方结算金额+拓卡方补贴金额+拓卡方结算比例+拓客方补贴比例、机构奖励=签约方结算金额+签约方补贴金额+签约方结算比例+签约发补贴比例。实例——百度有钱花：总奖励：20+2%+5+6.4%、直推奖励18+1%+3+4.4%、机构奖励2+1%+2+2%。对应政策配置为：签约方结算金额2元，结算比例1%，补贴金额3元，补贴比例2%，拓卡方结算金额18元，结算比例1%，补贴金额3元，补贴比例4.4%。</w:t>
      </w:r>
      <w:r>
        <w:rPr>
          <w:rFonts w:hint="eastAsia"/>
          <w:color w:val="FF0000"/>
          <w:lang w:val="en-US" w:eastAsia="zh-CN"/>
        </w:rPr>
        <w:t>所有的金额、比例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都要乘以拓客系统真实分润比例后进行展示。</w:t>
      </w:r>
    </w:p>
    <w:p w14:paraId="0C6E514F">
      <w:pPr>
        <w:numPr>
          <w:numId w:val="0"/>
        </w:numPr>
        <w:rPr>
          <w:rFonts w:hint="default"/>
          <w:lang w:val="en-US" w:eastAsia="zh-CN"/>
        </w:rPr>
      </w:pPr>
    </w:p>
    <w:p w14:paraId="490363B9"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若机构奖励所有行的数据均为空或0或0+0或0%的情况，则隐藏总奖励和机构奖励两列字段。</w:t>
      </w:r>
    </w:p>
    <w:p w14:paraId="303F2FB1"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截止日期为当前生效政策的截止日期。</w:t>
      </w:r>
    </w:p>
    <w:p w14:paraId="6CB7BB65">
      <w:pPr>
        <w:numPr>
          <w:ilvl w:val="0"/>
          <w:numId w:val="4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首页“产品政策”入口展示逻辑为分润模式非直营&amp;非层层&amp;展示政策开关为开启&amp;角色为管理员的都展示产品政策入口，进入产品政策入口后，统一展示渠道的政策，不考虑外部渠道设置中的展示价格比例。</w:t>
      </w:r>
    </w:p>
    <w:p w14:paraId="744BF2EE"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拓客端调整</w:t>
      </w:r>
    </w:p>
    <w:p w14:paraId="7BB93E37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尽快将已开启自定义分润比例的模板的机构自定义权限关闭，3月13后不再支持修改分润比例。</w:t>
      </w:r>
    </w:p>
    <w:p w14:paraId="268776DC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尽快</w:t>
      </w:r>
      <w:r>
        <w:rPr>
          <w:rFonts w:hint="default"/>
          <w:lang w:val="en-US" w:eastAsia="zh-CN"/>
        </w:rPr>
        <w:t>关闭自定义增值业务分润入口：</w:t>
      </w:r>
      <w:r>
        <w:rPr>
          <w:rFonts w:hint="eastAsia"/>
          <w:lang w:val="en-US" w:eastAsia="zh-CN"/>
        </w:rPr>
        <w:t>各渠道默认模板中，</w:t>
      </w:r>
      <w:r>
        <w:rPr>
          <w:rFonts w:hint="default"/>
          <w:lang w:val="en-US" w:eastAsia="zh-CN"/>
        </w:rPr>
        <w:t>开启的自定义增值业务分润设置入口，</w:t>
      </w:r>
      <w:r>
        <w:rPr>
          <w:rFonts w:hint="eastAsia"/>
          <w:lang w:val="en-US" w:eastAsia="zh-CN"/>
        </w:rPr>
        <w:t>修改为关闭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未进行申请开通单独模板的机构不再允许自定义修改分润比例</w:t>
      </w:r>
      <w:r>
        <w:rPr>
          <w:rFonts w:hint="default"/>
          <w:lang w:val="en-US" w:eastAsia="zh-CN"/>
        </w:rPr>
        <w:t>。</w:t>
      </w:r>
    </w:p>
    <w:p w14:paraId="40392169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4月1日将渠道模板分润比例修改为100%给拓卡方，服务费费率、服务费成本均为0。（控台完成）</w:t>
      </w:r>
    </w:p>
    <w:p w14:paraId="0044E07F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</w:t>
      </w:r>
      <w:r>
        <w:rPr>
          <w:rFonts w:hint="default"/>
          <w:lang w:val="en-US" w:eastAsia="zh-CN"/>
        </w:rPr>
        <w:t>数据</w:t>
      </w:r>
      <w:r>
        <w:rPr>
          <w:rFonts w:hint="eastAsia"/>
          <w:lang w:val="en-US" w:eastAsia="zh-CN"/>
        </w:rPr>
        <w:t>维护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4月1日，</w:t>
      </w:r>
      <w:r>
        <w:rPr>
          <w:rFonts w:hint="default"/>
          <w:lang w:val="en-US" w:eastAsia="zh-CN"/>
        </w:rPr>
        <w:t>把现有的</w:t>
      </w:r>
      <w:r>
        <w:rPr>
          <w:rFonts w:hint="eastAsia"/>
          <w:lang w:val="en-US" w:eastAsia="zh-CN"/>
        </w:rPr>
        <w:t>未开启层层的</w:t>
      </w:r>
      <w:r>
        <w:rPr>
          <w:rFonts w:hint="default"/>
          <w:lang w:val="en-US" w:eastAsia="zh-CN"/>
        </w:rPr>
        <w:t>自定义政策配置</w:t>
      </w:r>
      <w:r>
        <w:rPr>
          <w:rFonts w:hint="eastAsia"/>
          <w:lang w:val="en-US" w:eastAsia="zh-CN"/>
        </w:rPr>
        <w:t>在4月1日全部置为失效。后续</w:t>
      </w:r>
      <w:r>
        <w:rPr>
          <w:rFonts w:hint="default"/>
          <w:lang w:val="en-US" w:eastAsia="zh-CN"/>
        </w:rPr>
        <w:t>有新的自定义需求，得经过严格的审批流程，不</w:t>
      </w:r>
      <w:r>
        <w:rPr>
          <w:rFonts w:hint="eastAsia"/>
          <w:lang w:val="en-US" w:eastAsia="zh-CN"/>
        </w:rPr>
        <w:t>再</w:t>
      </w:r>
      <w:r>
        <w:rPr>
          <w:rFonts w:hint="default"/>
          <w:lang w:val="en-US" w:eastAsia="zh-CN"/>
        </w:rPr>
        <w:t>随</w:t>
      </w:r>
      <w:r>
        <w:rPr>
          <w:rFonts w:hint="eastAsia"/>
          <w:lang w:val="en-US" w:eastAsia="zh-CN"/>
        </w:rPr>
        <w:t>意允许</w:t>
      </w:r>
      <w:r>
        <w:rPr>
          <w:rFonts w:hint="default"/>
          <w:lang w:val="en-US" w:eastAsia="zh-CN"/>
        </w:rPr>
        <w:t>自定义</w:t>
      </w:r>
      <w:r>
        <w:rPr>
          <w:rFonts w:hint="eastAsia"/>
          <w:lang w:val="en-US" w:eastAsia="zh-CN"/>
        </w:rPr>
        <w:t>分润比例</w:t>
      </w:r>
      <w:r>
        <w:rPr>
          <w:rFonts w:hint="default"/>
          <w:lang w:val="en-US" w:eastAsia="zh-CN"/>
        </w:rPr>
        <w:t>配置。</w:t>
      </w:r>
    </w:p>
    <w:p w14:paraId="652E7F76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调整</w:t>
      </w:r>
      <w:r>
        <w:rPr>
          <w:rFonts w:hint="eastAsia"/>
          <w:lang w:val="en-US" w:eastAsia="zh-CN"/>
        </w:rPr>
        <w:t>好拓客</w:t>
      </w:r>
      <w:r>
        <w:rPr>
          <w:rFonts w:hint="default"/>
          <w:lang w:val="en-US" w:eastAsia="zh-CN"/>
        </w:rPr>
        <w:t>分润比例：</w:t>
      </w:r>
      <w:r>
        <w:rPr>
          <w:rFonts w:hint="eastAsia"/>
          <w:lang w:val="en-US" w:eastAsia="zh-CN"/>
        </w:rPr>
        <w:t>4月1日，</w:t>
      </w:r>
      <w:r>
        <w:rPr>
          <w:rFonts w:hint="default"/>
          <w:lang w:val="en-US" w:eastAsia="zh-CN"/>
        </w:rPr>
        <w:t>好拓客系统的分润</w:t>
      </w:r>
      <w:r>
        <w:rPr>
          <w:rFonts w:hint="eastAsia"/>
          <w:lang w:val="en-US" w:eastAsia="zh-CN"/>
        </w:rPr>
        <w:t>比例</w:t>
      </w:r>
      <w:r>
        <w:rPr>
          <w:rFonts w:hint="default"/>
          <w:lang w:val="en-US" w:eastAsia="zh-CN"/>
        </w:rPr>
        <w:t>改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 xml:space="preserve"> 0 比 100 ，</w:t>
      </w:r>
      <w:r>
        <w:rPr>
          <w:rFonts w:hint="eastAsia"/>
          <w:lang w:val="en-US" w:eastAsia="zh-CN"/>
        </w:rPr>
        <w:t>为最下级孵化基地保留收益的部分由趣伴卡系统完成。</w:t>
      </w:r>
    </w:p>
    <w:p w14:paraId="6FA1279D"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分润报表逻辑调整，原各渠道下级服务费补贴字段有特殊处理的，统一为“否”，或按照实际未收取服务费的统一为“否”处理。</w:t>
      </w:r>
    </w:p>
    <w:p w14:paraId="1F8CC4D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上线调整流程：</w:t>
      </w:r>
    </w:p>
    <w:p w14:paraId="50A8F5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（1）3月13日趣伴卡上线，上线后在测试渠道等完成功能验证。拓客端关闭机构自定义政策入口和权限，固化各机构比例。</w:t>
      </w:r>
    </w:p>
    <w:p w14:paraId="45A1F90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（2）3月31日导出拓客系统各机构分润比例，生成拓客分润比例表。下班前暂停趣伴卡系统结算单生成任务，暂停期间达到结算标准的订单暂时不做处理，待后续开启后，按新逻辑生成结算单。</w:t>
      </w:r>
    </w:p>
    <w:p w14:paraId="43D9E0E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4月1日上线日，导入拓客分润比例表，拓客系统维护自定义比例的机构模板失效，在拓客后台调整默认的渠道分润比例，维护完成后，开启趣伴卡系统的结算单生成任务，并跟进检查结算单准确性，新政策展示情况等。</w:t>
      </w:r>
    </w:p>
    <w:p w14:paraId="0646AD2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数据依据：2.1-3.4日间，每日平均结算单数17单，最高一天结算69单，多日出现仅1单结算的情况，因此，自3.31下班后至4.1维护中间不做结算，影响不大。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9734E"/>
    <w:multiLevelType w:val="singleLevel"/>
    <w:tmpl w:val="8FD9734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7CC461"/>
    <w:multiLevelType w:val="multilevel"/>
    <w:tmpl w:val="B57CC4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CFE247BF"/>
    <w:multiLevelType w:val="singleLevel"/>
    <w:tmpl w:val="CFE247B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9AC2606"/>
    <w:multiLevelType w:val="singleLevel"/>
    <w:tmpl w:val="39AC260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yMDljMzUyMDcxZjY1OGM2ODE5MTkzNDJjZDU4NjkifQ=="/>
  </w:docVars>
  <w:rsids>
    <w:rsidRoot w:val="331170C2"/>
    <w:rsid w:val="025F4662"/>
    <w:rsid w:val="054A03FE"/>
    <w:rsid w:val="056D42A0"/>
    <w:rsid w:val="05724F65"/>
    <w:rsid w:val="06FC9DD1"/>
    <w:rsid w:val="0AF36B3A"/>
    <w:rsid w:val="0AFA5870"/>
    <w:rsid w:val="0B170387"/>
    <w:rsid w:val="0D4834BD"/>
    <w:rsid w:val="126A32DB"/>
    <w:rsid w:val="149B6B6A"/>
    <w:rsid w:val="14B54840"/>
    <w:rsid w:val="15FF5506"/>
    <w:rsid w:val="169F376F"/>
    <w:rsid w:val="176AD0F7"/>
    <w:rsid w:val="17C92604"/>
    <w:rsid w:val="17FA6EAF"/>
    <w:rsid w:val="1D5A712F"/>
    <w:rsid w:val="1DB418AE"/>
    <w:rsid w:val="1DF627CD"/>
    <w:rsid w:val="1EBFDD42"/>
    <w:rsid w:val="1EFEBB52"/>
    <w:rsid w:val="250D5954"/>
    <w:rsid w:val="25D7DB01"/>
    <w:rsid w:val="26902787"/>
    <w:rsid w:val="269F0C21"/>
    <w:rsid w:val="26D42FC1"/>
    <w:rsid w:val="279F6E1C"/>
    <w:rsid w:val="28AB6DFB"/>
    <w:rsid w:val="28D948BF"/>
    <w:rsid w:val="29D90840"/>
    <w:rsid w:val="29FF8F41"/>
    <w:rsid w:val="2B0C0F7B"/>
    <w:rsid w:val="2BD82C0B"/>
    <w:rsid w:val="2BDF6266"/>
    <w:rsid w:val="2C036605"/>
    <w:rsid w:val="2C1764C2"/>
    <w:rsid w:val="2CDF7744"/>
    <w:rsid w:val="2FBA2B33"/>
    <w:rsid w:val="2FC719A3"/>
    <w:rsid w:val="2FFEA267"/>
    <w:rsid w:val="325B6344"/>
    <w:rsid w:val="331170C2"/>
    <w:rsid w:val="35FFE910"/>
    <w:rsid w:val="365E6403"/>
    <w:rsid w:val="37511F05"/>
    <w:rsid w:val="379D3277"/>
    <w:rsid w:val="37AB4A32"/>
    <w:rsid w:val="37B0ABB9"/>
    <w:rsid w:val="37FE299D"/>
    <w:rsid w:val="38672FB0"/>
    <w:rsid w:val="39CE2BEA"/>
    <w:rsid w:val="39EF76B0"/>
    <w:rsid w:val="3BB0325D"/>
    <w:rsid w:val="3BC74A9B"/>
    <w:rsid w:val="3BC7D5A0"/>
    <w:rsid w:val="3CF67AA2"/>
    <w:rsid w:val="3CFD641E"/>
    <w:rsid w:val="3D0860DE"/>
    <w:rsid w:val="3DFFD8B0"/>
    <w:rsid w:val="3E59872F"/>
    <w:rsid w:val="3E772B2E"/>
    <w:rsid w:val="3E7B90DB"/>
    <w:rsid w:val="3EEBAE92"/>
    <w:rsid w:val="3EFBDBE7"/>
    <w:rsid w:val="3F7FEE61"/>
    <w:rsid w:val="3F9B7DD1"/>
    <w:rsid w:val="3F9D3DB4"/>
    <w:rsid w:val="3FF5BD0B"/>
    <w:rsid w:val="42274495"/>
    <w:rsid w:val="442C18EF"/>
    <w:rsid w:val="446E1F07"/>
    <w:rsid w:val="45123B0B"/>
    <w:rsid w:val="45F823D0"/>
    <w:rsid w:val="46B53E1D"/>
    <w:rsid w:val="481E1118"/>
    <w:rsid w:val="49951CE4"/>
    <w:rsid w:val="4E911C4C"/>
    <w:rsid w:val="4EDE0445"/>
    <w:rsid w:val="4F77E09C"/>
    <w:rsid w:val="4FF5F2D8"/>
    <w:rsid w:val="4FFF0646"/>
    <w:rsid w:val="50072B3F"/>
    <w:rsid w:val="513774DE"/>
    <w:rsid w:val="51600E2A"/>
    <w:rsid w:val="51FB4509"/>
    <w:rsid w:val="5297754E"/>
    <w:rsid w:val="52E96395"/>
    <w:rsid w:val="54316AAD"/>
    <w:rsid w:val="557B26D6"/>
    <w:rsid w:val="57342B3C"/>
    <w:rsid w:val="577E3975"/>
    <w:rsid w:val="5786F00E"/>
    <w:rsid w:val="57D650A9"/>
    <w:rsid w:val="57F5CF05"/>
    <w:rsid w:val="59771406"/>
    <w:rsid w:val="59D32AE1"/>
    <w:rsid w:val="59F795EA"/>
    <w:rsid w:val="59FD906D"/>
    <w:rsid w:val="59FFEECB"/>
    <w:rsid w:val="5AD5988F"/>
    <w:rsid w:val="5AF165E7"/>
    <w:rsid w:val="5B3573F3"/>
    <w:rsid w:val="5B73982F"/>
    <w:rsid w:val="5BC55253"/>
    <w:rsid w:val="5BDF17FA"/>
    <w:rsid w:val="5BEE19F9"/>
    <w:rsid w:val="5CF8F223"/>
    <w:rsid w:val="5D4DAAC3"/>
    <w:rsid w:val="5DD24E5D"/>
    <w:rsid w:val="5DFF38D8"/>
    <w:rsid w:val="5E97B05E"/>
    <w:rsid w:val="5E9E5913"/>
    <w:rsid w:val="5EDA0E5A"/>
    <w:rsid w:val="5EF47FC3"/>
    <w:rsid w:val="5F3B0C09"/>
    <w:rsid w:val="5F867DF7"/>
    <w:rsid w:val="5FB6ABF1"/>
    <w:rsid w:val="5FF7D6D9"/>
    <w:rsid w:val="5FFBB22A"/>
    <w:rsid w:val="5FFF1258"/>
    <w:rsid w:val="60C74A21"/>
    <w:rsid w:val="60F03797"/>
    <w:rsid w:val="62EF1C8F"/>
    <w:rsid w:val="64A39E57"/>
    <w:rsid w:val="64CFC57A"/>
    <w:rsid w:val="64FFD05F"/>
    <w:rsid w:val="676F5D83"/>
    <w:rsid w:val="677BFDA9"/>
    <w:rsid w:val="6787315C"/>
    <w:rsid w:val="678AE555"/>
    <w:rsid w:val="67BEDA8D"/>
    <w:rsid w:val="67BF2386"/>
    <w:rsid w:val="67C95DD4"/>
    <w:rsid w:val="68C62302"/>
    <w:rsid w:val="69672308"/>
    <w:rsid w:val="697B1B62"/>
    <w:rsid w:val="6A826756"/>
    <w:rsid w:val="6B69A118"/>
    <w:rsid w:val="6B798A20"/>
    <w:rsid w:val="6C101972"/>
    <w:rsid w:val="6CB09691"/>
    <w:rsid w:val="6DBA3878"/>
    <w:rsid w:val="6DC5678C"/>
    <w:rsid w:val="6DF8B81B"/>
    <w:rsid w:val="6DFFC52D"/>
    <w:rsid w:val="6DFFE9F3"/>
    <w:rsid w:val="6E75334E"/>
    <w:rsid w:val="6F03131A"/>
    <w:rsid w:val="6F57C7A9"/>
    <w:rsid w:val="6F7D5A02"/>
    <w:rsid w:val="6FB96520"/>
    <w:rsid w:val="6FBB6557"/>
    <w:rsid w:val="6FDBE896"/>
    <w:rsid w:val="6FF60B2F"/>
    <w:rsid w:val="6FF9586C"/>
    <w:rsid w:val="6FFF71F6"/>
    <w:rsid w:val="707715D2"/>
    <w:rsid w:val="714BAC6D"/>
    <w:rsid w:val="72FB09B4"/>
    <w:rsid w:val="733BAFE6"/>
    <w:rsid w:val="73998727"/>
    <w:rsid w:val="73DEA874"/>
    <w:rsid w:val="73DEE1A9"/>
    <w:rsid w:val="73F65E8C"/>
    <w:rsid w:val="75FE82B5"/>
    <w:rsid w:val="773F25BB"/>
    <w:rsid w:val="776652A2"/>
    <w:rsid w:val="77796479"/>
    <w:rsid w:val="77BE6145"/>
    <w:rsid w:val="77DA4BE2"/>
    <w:rsid w:val="77F26D24"/>
    <w:rsid w:val="77F92938"/>
    <w:rsid w:val="77FCF165"/>
    <w:rsid w:val="77FE2376"/>
    <w:rsid w:val="77FFE065"/>
    <w:rsid w:val="78EEA41C"/>
    <w:rsid w:val="793D5D31"/>
    <w:rsid w:val="79CB35D5"/>
    <w:rsid w:val="79CDF044"/>
    <w:rsid w:val="79D26677"/>
    <w:rsid w:val="79E72071"/>
    <w:rsid w:val="79FCBE95"/>
    <w:rsid w:val="7A370149"/>
    <w:rsid w:val="7AFDB9C5"/>
    <w:rsid w:val="7B3F192C"/>
    <w:rsid w:val="7B5E3CE3"/>
    <w:rsid w:val="7BBC1C9A"/>
    <w:rsid w:val="7BCB4A3D"/>
    <w:rsid w:val="7BDF2C73"/>
    <w:rsid w:val="7BF3C7F3"/>
    <w:rsid w:val="7BFF9E1C"/>
    <w:rsid w:val="7BFFA47D"/>
    <w:rsid w:val="7CCE86F9"/>
    <w:rsid w:val="7CFB6C5F"/>
    <w:rsid w:val="7DE97C2F"/>
    <w:rsid w:val="7DF5769D"/>
    <w:rsid w:val="7DFF77D0"/>
    <w:rsid w:val="7E2B03DC"/>
    <w:rsid w:val="7E5E1B1E"/>
    <w:rsid w:val="7E9FBA0F"/>
    <w:rsid w:val="7ECEF63E"/>
    <w:rsid w:val="7EFEDBFB"/>
    <w:rsid w:val="7F2B7949"/>
    <w:rsid w:val="7F5C972D"/>
    <w:rsid w:val="7F5F2735"/>
    <w:rsid w:val="7F6F4F12"/>
    <w:rsid w:val="7F79C859"/>
    <w:rsid w:val="7F7EDCEF"/>
    <w:rsid w:val="7F8F91FC"/>
    <w:rsid w:val="7FAF1F7C"/>
    <w:rsid w:val="7FDD4938"/>
    <w:rsid w:val="7FDEDCBE"/>
    <w:rsid w:val="7FDF369F"/>
    <w:rsid w:val="7FDF49BE"/>
    <w:rsid w:val="7FE7BA73"/>
    <w:rsid w:val="7FEC246B"/>
    <w:rsid w:val="7FF23B55"/>
    <w:rsid w:val="7FF78F5E"/>
    <w:rsid w:val="7FFB7A54"/>
    <w:rsid w:val="7FFCD815"/>
    <w:rsid w:val="7FFEC360"/>
    <w:rsid w:val="7FFEC578"/>
    <w:rsid w:val="82B1AAD1"/>
    <w:rsid w:val="8EEEE5B4"/>
    <w:rsid w:val="97F6C9D0"/>
    <w:rsid w:val="98B30F93"/>
    <w:rsid w:val="9A6F7BE7"/>
    <w:rsid w:val="9B3BE8B4"/>
    <w:rsid w:val="9D73C619"/>
    <w:rsid w:val="9E3EACD8"/>
    <w:rsid w:val="9E5B92CC"/>
    <w:rsid w:val="9E77B586"/>
    <w:rsid w:val="9EDF8CEB"/>
    <w:rsid w:val="9F977D71"/>
    <w:rsid w:val="9FB61B61"/>
    <w:rsid w:val="9FDFFEDA"/>
    <w:rsid w:val="A57F2811"/>
    <w:rsid w:val="A7FCAF73"/>
    <w:rsid w:val="AAFA8937"/>
    <w:rsid w:val="AD924BFC"/>
    <w:rsid w:val="AE6FC35B"/>
    <w:rsid w:val="AFAFF7F7"/>
    <w:rsid w:val="AFB1325D"/>
    <w:rsid w:val="AFE7BEC5"/>
    <w:rsid w:val="AFFFA412"/>
    <w:rsid w:val="AFFFFEBB"/>
    <w:rsid w:val="B2CF853E"/>
    <w:rsid w:val="B39E647A"/>
    <w:rsid w:val="B6FF8CB0"/>
    <w:rsid w:val="B73ECC82"/>
    <w:rsid w:val="B776F9CF"/>
    <w:rsid w:val="B9EFAD0A"/>
    <w:rsid w:val="B9F2F62F"/>
    <w:rsid w:val="BB46BA3F"/>
    <w:rsid w:val="BBB74342"/>
    <w:rsid w:val="BBFDD361"/>
    <w:rsid w:val="BBFE2FA0"/>
    <w:rsid w:val="BD5F6CF6"/>
    <w:rsid w:val="BDDF0272"/>
    <w:rsid w:val="BDF9334B"/>
    <w:rsid w:val="BEE75CDD"/>
    <w:rsid w:val="BEE79162"/>
    <w:rsid w:val="BF2F3ECB"/>
    <w:rsid w:val="BF5BBF88"/>
    <w:rsid w:val="BF6E44B0"/>
    <w:rsid w:val="BFB649D6"/>
    <w:rsid w:val="BFE52F51"/>
    <w:rsid w:val="BFED1F76"/>
    <w:rsid w:val="BFF8A449"/>
    <w:rsid w:val="C21BE37B"/>
    <w:rsid w:val="C2EF8014"/>
    <w:rsid w:val="C3DF93E4"/>
    <w:rsid w:val="C7DEE127"/>
    <w:rsid w:val="C7F03935"/>
    <w:rsid w:val="CEFC1FC5"/>
    <w:rsid w:val="CFB78D68"/>
    <w:rsid w:val="CFDDC6F8"/>
    <w:rsid w:val="CFDECB15"/>
    <w:rsid w:val="D7E69D4F"/>
    <w:rsid w:val="D7F3542E"/>
    <w:rsid w:val="D7FE70C2"/>
    <w:rsid w:val="DAF76C71"/>
    <w:rsid w:val="DBA7EF59"/>
    <w:rsid w:val="DBBCDE27"/>
    <w:rsid w:val="DBEEC970"/>
    <w:rsid w:val="DBEFB147"/>
    <w:rsid w:val="DC9DBB67"/>
    <w:rsid w:val="DCBFF384"/>
    <w:rsid w:val="DD9B6FD8"/>
    <w:rsid w:val="DDF7F0F2"/>
    <w:rsid w:val="DDFF01A3"/>
    <w:rsid w:val="DE5F5EC1"/>
    <w:rsid w:val="DEF761F3"/>
    <w:rsid w:val="DEFFCD04"/>
    <w:rsid w:val="DF5F946E"/>
    <w:rsid w:val="DFBFB897"/>
    <w:rsid w:val="DFDFD81F"/>
    <w:rsid w:val="DFEF44EE"/>
    <w:rsid w:val="DFF5DE04"/>
    <w:rsid w:val="DFFBE02C"/>
    <w:rsid w:val="DFFF635E"/>
    <w:rsid w:val="DFFFC3C5"/>
    <w:rsid w:val="E142191D"/>
    <w:rsid w:val="E2FA1B28"/>
    <w:rsid w:val="E3DB8F6E"/>
    <w:rsid w:val="E9FBB0D2"/>
    <w:rsid w:val="EABF7639"/>
    <w:rsid w:val="EB7DEEB2"/>
    <w:rsid w:val="EBD934B6"/>
    <w:rsid w:val="EC7BBCB6"/>
    <w:rsid w:val="ECDF517D"/>
    <w:rsid w:val="ECFE2DE6"/>
    <w:rsid w:val="ED97A4AF"/>
    <w:rsid w:val="ED9D4236"/>
    <w:rsid w:val="EDABB757"/>
    <w:rsid w:val="EE3DE8AD"/>
    <w:rsid w:val="EEABCDC2"/>
    <w:rsid w:val="EECF0BDD"/>
    <w:rsid w:val="EF3E2A34"/>
    <w:rsid w:val="EFB6B16B"/>
    <w:rsid w:val="EFC5AAE0"/>
    <w:rsid w:val="EFDF1872"/>
    <w:rsid w:val="EFF7A043"/>
    <w:rsid w:val="EFFB2EBE"/>
    <w:rsid w:val="EFFE8D61"/>
    <w:rsid w:val="F24F03FD"/>
    <w:rsid w:val="F38EA11E"/>
    <w:rsid w:val="F3C9BFA5"/>
    <w:rsid w:val="F3F3AB85"/>
    <w:rsid w:val="F45742A3"/>
    <w:rsid w:val="F4FD7FDA"/>
    <w:rsid w:val="F5FF07A8"/>
    <w:rsid w:val="F5FFC338"/>
    <w:rsid w:val="F6E7B3EA"/>
    <w:rsid w:val="F75D6376"/>
    <w:rsid w:val="F77F12DF"/>
    <w:rsid w:val="F79FF99A"/>
    <w:rsid w:val="F7B8B1E7"/>
    <w:rsid w:val="F7E73838"/>
    <w:rsid w:val="F7EE9023"/>
    <w:rsid w:val="F9E70E51"/>
    <w:rsid w:val="F9FB7CD9"/>
    <w:rsid w:val="FA6F180F"/>
    <w:rsid w:val="FA9FB645"/>
    <w:rsid w:val="FAFECF2E"/>
    <w:rsid w:val="FB6F4ADC"/>
    <w:rsid w:val="FBB7ADFC"/>
    <w:rsid w:val="FBDA37A0"/>
    <w:rsid w:val="FBDFCE4E"/>
    <w:rsid w:val="FBE7A1CD"/>
    <w:rsid w:val="FBEC9A09"/>
    <w:rsid w:val="FBFEFDB9"/>
    <w:rsid w:val="FC47A18A"/>
    <w:rsid w:val="FC4F8F6E"/>
    <w:rsid w:val="FC77A59C"/>
    <w:rsid w:val="FC7C17A9"/>
    <w:rsid w:val="FD3518AA"/>
    <w:rsid w:val="FD7AABC3"/>
    <w:rsid w:val="FD7FAD8C"/>
    <w:rsid w:val="FDEB89B0"/>
    <w:rsid w:val="FDEE9779"/>
    <w:rsid w:val="FDFB5F25"/>
    <w:rsid w:val="FDFBC9E7"/>
    <w:rsid w:val="FDFF1510"/>
    <w:rsid w:val="FDFF26BE"/>
    <w:rsid w:val="FE81BD37"/>
    <w:rsid w:val="FE9E63A4"/>
    <w:rsid w:val="FEBBBEBB"/>
    <w:rsid w:val="FEBDB134"/>
    <w:rsid w:val="FEBEEA0F"/>
    <w:rsid w:val="FEF6569B"/>
    <w:rsid w:val="FEF7A357"/>
    <w:rsid w:val="FEF94EC6"/>
    <w:rsid w:val="FEFAD058"/>
    <w:rsid w:val="FEFE95B4"/>
    <w:rsid w:val="FEFF7932"/>
    <w:rsid w:val="FF426D6C"/>
    <w:rsid w:val="FF578EB8"/>
    <w:rsid w:val="FF5A5030"/>
    <w:rsid w:val="FF67E432"/>
    <w:rsid w:val="FF6F9C7D"/>
    <w:rsid w:val="FF774F08"/>
    <w:rsid w:val="FFAF1121"/>
    <w:rsid w:val="FFD712E3"/>
    <w:rsid w:val="FFDFB01F"/>
    <w:rsid w:val="FFEF6FA8"/>
    <w:rsid w:val="FFF1B904"/>
    <w:rsid w:val="FFF3748B"/>
    <w:rsid w:val="FFF75351"/>
    <w:rsid w:val="FFF77171"/>
    <w:rsid w:val="FFF9EBC4"/>
    <w:rsid w:val="FFFB2D38"/>
    <w:rsid w:val="FFFD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6">
    <w:name w:val="header"/>
    <w:basedOn w:val="1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HTML Code"/>
    <w:basedOn w:val="11"/>
    <w:uiPriority w:val="0"/>
    <w:rPr>
      <w:rFonts w:ascii="Courier New" w:hAnsi="Courier New"/>
      <w:sz w:val="20"/>
    </w:rPr>
  </w:style>
  <w:style w:type="paragraph" w:styleId="16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p1"/>
    <w:basedOn w:val="1"/>
    <w:uiPriority w:val="0"/>
    <w:pPr>
      <w:spacing w:before="0" w:beforeAutospacing="0" w:after="0" w:afterAutospacing="0" w:line="640" w:lineRule="atLeast"/>
      <w:ind w:left="0" w:right="0"/>
      <w:jc w:val="left"/>
    </w:pPr>
    <w:rPr>
      <w:rFonts w:ascii="pingfang sc" w:hAnsi="pingfang sc" w:eastAsia="pingfang sc" w:cs="pingfang sc"/>
      <w:color w:val="000000"/>
      <w:kern w:val="0"/>
      <w:sz w:val="28"/>
      <w:szCs w:val="28"/>
      <w:lang w:val="en-US" w:eastAsia="zh-CN" w:bidi="ar"/>
    </w:rPr>
  </w:style>
  <w:style w:type="character" w:customStyle="1" w:styleId="18">
    <w:name w:val="s1"/>
    <w:basedOn w:val="11"/>
    <w:uiPriority w:val="0"/>
    <w:rPr>
      <w:rFonts w:ascii="Helvetica Neue" w:hAnsi="Helvetica Neue" w:eastAsia="Helvetica Neue" w:cs="Helvetica Neue"/>
      <w:sz w:val="28"/>
      <w:szCs w:val="28"/>
    </w:rPr>
  </w:style>
  <w:style w:type="paragraph" w:customStyle="1" w:styleId="19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323232"/>
      <w:kern w:val="0"/>
      <w:sz w:val="27"/>
      <w:szCs w:val="27"/>
      <w:lang w:val="en-US" w:eastAsia="zh-CN" w:bidi="ar"/>
    </w:rPr>
  </w:style>
  <w:style w:type="character" w:customStyle="1" w:styleId="20">
    <w:name w:val="s2"/>
    <w:basedOn w:val="11"/>
    <w:uiPriority w:val="0"/>
    <w:rPr>
      <w:rFonts w:ascii="pingfang sc" w:hAnsi="pingfang sc" w:eastAsia="pingfang sc" w:cs="pingfang sc"/>
      <w:sz w:val="27"/>
      <w:szCs w:val="27"/>
    </w:rPr>
  </w:style>
  <w:style w:type="character" w:customStyle="1" w:styleId="21">
    <w:name w:val="s3"/>
    <w:basedOn w:val="11"/>
    <w:uiPriority w:val="0"/>
    <w:rPr>
      <w:rFonts w:hint="eastAsia" w:ascii="pingfang sc" w:hAnsi="pingfang sc" w:eastAsia="pingfang sc" w:cs="pingfang sc"/>
      <w:color w:val="000000"/>
      <w:sz w:val="27"/>
      <w:szCs w:val="27"/>
    </w:rPr>
  </w:style>
  <w:style w:type="paragraph" w:customStyle="1" w:styleId="22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 semibold" w:hAnsi="pingfang sc semibold" w:eastAsia="pingfang sc semibold" w:cs="pingfang sc semibold"/>
      <w:color w:val="323232"/>
      <w:kern w:val="0"/>
      <w:sz w:val="27"/>
      <w:szCs w:val="27"/>
      <w:lang w:val="en-US" w:eastAsia="zh-CN" w:bidi="ar"/>
    </w:rPr>
  </w:style>
  <w:style w:type="character" w:customStyle="1" w:styleId="23">
    <w:name w:val="s4"/>
    <w:basedOn w:val="11"/>
    <w:uiPriority w:val="0"/>
    <w:rPr>
      <w:rFonts w:hint="default" w:ascii="Helvetica Neue" w:hAnsi="Helvetica Neue" w:eastAsia="Helvetica Neue" w:cs="Helvetica Neue"/>
      <w:sz w:val="27"/>
      <w:szCs w:val="27"/>
    </w:rPr>
  </w:style>
  <w:style w:type="paragraph" w:customStyle="1" w:styleId="2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color w:val="323232"/>
      <w:kern w:val="0"/>
      <w:sz w:val="27"/>
      <w:szCs w:val="27"/>
      <w:lang w:val="en-US" w:eastAsia="zh-CN" w:bidi="ar"/>
    </w:rPr>
  </w:style>
  <w:style w:type="character" w:customStyle="1" w:styleId="25">
    <w:name w:val="s5"/>
    <w:basedOn w:val="11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1858</Words>
  <Characters>1876</Characters>
  <Lines>1</Lines>
  <Paragraphs>1</Paragraphs>
  <TotalTime>250</TotalTime>
  <ScaleCrop>false</ScaleCrop>
  <LinksUpToDate>false</LinksUpToDate>
  <CharactersWithSpaces>1887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2024-03-03T22:01:00Z</dcterms:created>
  <dc:creator>WPS_1622707002</dc:creator>
  <cp:lastModifiedBy>风过之痕</cp:lastModifiedBy>
  <dcterms:modified xsi:type="dcterms:W3CDTF">2025-03-07T13:43:34Z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5B4279C0D777B4B5EB3861676C0C0882_43</vt:lpwstr>
  </property>
</Properties>
</file>