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88BD94"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趣伴卡推客页面优化</w:t>
      </w:r>
    </w:p>
    <w:p w14:paraId="61662DBE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需求背景：</w:t>
      </w:r>
    </w:p>
    <w:p w14:paraId="086D23C4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优化当前推广页面细节</w:t>
      </w:r>
    </w:p>
    <w:p w14:paraId="151A525D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需求汇总：</w:t>
      </w:r>
    </w:p>
    <w:p w14:paraId="1A692832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“我的页面”增加发票余额入口</w:t>
      </w:r>
    </w:p>
    <w:p w14:paraId="49196AC1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订单明细页面tab页支持自定义</w:t>
      </w:r>
    </w:p>
    <w:p w14:paraId="4FBEE6F0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信用卡、借记卡、保险、拉新订单详情页优化</w:t>
      </w:r>
    </w:p>
    <w:p w14:paraId="2FF052F2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C端页面优化</w:t>
      </w:r>
    </w:p>
    <w:p w14:paraId="5D550F86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银行卡产品详情页优化</w:t>
      </w:r>
    </w:p>
    <w:p w14:paraId="2B7EAB1E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价格设置页面取值逻辑优化</w:t>
      </w:r>
    </w:p>
    <w:p w14:paraId="7B0F471D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控台优化-api订单增加注销时间及回调、客户管理增加查看用户信息</w:t>
      </w:r>
    </w:p>
    <w:p w14:paraId="7C09D6B9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DA19B58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需求内容：</w:t>
      </w:r>
    </w:p>
    <w:p w14:paraId="2F4D0C7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1、“我的页面”增加发票余额入口</w:t>
      </w:r>
    </w:p>
    <w:p w14:paraId="6825750C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渠道信息管理增加开关——发票余额入口，有开启、关闭状态，初始化全部渠道为关闭。</w:t>
      </w:r>
    </w:p>
    <w:p w14:paraId="4CF007D5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发票余额入口为开启的渠道，进入我的页面时，判断当前用户是否为企业类型，企业用户，增加发票余额入口，点击后调用拓客接口查询代理商最新信息，弹窗展示用票主体、发票账户余额。</w:t>
      </w:r>
    </w:p>
    <w:p w14:paraId="71A0EF69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57700" cy="3815080"/>
            <wp:effectExtent l="0" t="0" r="1270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127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2、订单明细页面tab页支持自定义</w:t>
      </w:r>
    </w:p>
    <w:p w14:paraId="433E4BBA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推客版、展业版订单明细页面，顶部产品类别栏，支持自定义</w:t>
      </w:r>
    </w:p>
    <w:p w14:paraId="2A53C751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2.1定义入口</w:t>
      </w:r>
    </w:p>
    <w:p w14:paraId="5FB1BC35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控台-渠道信息管理-修改</w:t>
      </w:r>
    </w:p>
    <w:p w14:paraId="203157A5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增加订单类别展示选项，五个复选框，枚举值信用卡、借记卡、贷款、保险、拉新</w:t>
      </w:r>
    </w:p>
    <w:p w14:paraId="2DDF3A89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现有全部初始化为全部选中状态</w:t>
      </w:r>
    </w:p>
    <w:p w14:paraId="702DFC33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新增渠道时默认全部为勾选状态</w:t>
      </w:r>
    </w:p>
    <w:p w14:paraId="6E3046F2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2.2展示效果</w:t>
      </w:r>
    </w:p>
    <w:p w14:paraId="5B6418B1"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057775" cy="3948430"/>
            <wp:effectExtent l="0" t="0" r="2222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2E8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3、信用卡、借记卡、保险、拉新订单详情页优化</w:t>
      </w:r>
    </w:p>
    <w:p w14:paraId="5D19AFF1">
      <w:pPr>
        <w:numPr>
          <w:ilvl w:val="0"/>
          <w:numId w:val="0"/>
        </w:numPr>
      </w:pPr>
      <w:r>
        <w:drawing>
          <wp:inline distT="0" distB="0" distL="114300" distR="114300">
            <wp:extent cx="5273040" cy="2273300"/>
            <wp:effectExtent l="0" t="0" r="1016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15A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统一订单详情页样式，顶部展示银行logo、产品logo，信用卡名称、产品名称，订单号（客诉），状态更新时间，产品结算数据更新至（日期）</w:t>
      </w:r>
    </w:p>
    <w:p w14:paraId="39A604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下方内容不变。</w:t>
      </w:r>
    </w:p>
    <w:p w14:paraId="603C0576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C端页面优化</w:t>
      </w:r>
    </w:p>
    <w:p w14:paraId="62EF3BE1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A来源渠道类型为C端渠道的，产品列表首页展示的银行名称，取控台-银行信用卡管理-机构银行管理-修改银行信息中的C端展示银行名称的内容。后续运营控制发布在C端渠道中的银行，每个发卡机构只发布一个。</w:t>
      </w:r>
    </w:p>
    <w:p w14:paraId="35FA2AF0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B来源渠道类型为其他类型的，首页</w:t>
      </w:r>
      <w:bookmarkStart w:id="0" w:name="_GoBack"/>
      <w:bookmarkEnd w:id="0"/>
      <w:r>
        <w:rPr>
          <w:rFonts w:hint="eastAsia"/>
          <w:lang w:val="en-US" w:eastAsia="zh-CN"/>
        </w:rPr>
        <w:t>展示的银行名称，保持原来逻辑取银行简称。</w:t>
      </w:r>
    </w:p>
    <w:p w14:paraId="46643367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4.2A卡种中心的银行名称取值，渠道类型为C端渠道的，使用C端展示银行名称。</w:t>
      </w:r>
    </w:p>
    <w:p w14:paraId="6EEF62F0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B渠道类型为其他类型的，使用银行简称。</w:t>
      </w:r>
    </w:p>
    <w:p w14:paraId="6E0A262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5、银行卡产品详情页优化</w:t>
      </w:r>
    </w:p>
    <w:p w14:paraId="7191D13B">
      <w:pPr>
        <w:numPr>
          <w:ilvl w:val="0"/>
          <w:numId w:val="0"/>
        </w:numPr>
        <w:ind w:firstLine="420" w:firstLineChars="0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3175</wp:posOffset>
            </wp:positionV>
            <wp:extent cx="1614170" cy="3309620"/>
            <wp:effectExtent l="0" t="0" r="62230" b="43180"/>
            <wp:wrapTight wrapText="bothSides">
              <wp:wrapPolygon>
                <wp:start x="0" y="0"/>
                <wp:lineTo x="0" y="21384"/>
                <wp:lineTo x="21413" y="21384"/>
                <wp:lineTo x="21413" y="0"/>
                <wp:lineTo x="0" y="0"/>
              </wp:wrapPolygon>
            </wp:wrapTight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417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BECF1C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 w14:paraId="4E21C2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顶部展示卡片图片，卡片名称</w:t>
      </w:r>
    </w:p>
    <w:p w14:paraId="67DA760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标签位置：卡特色</w:t>
      </w:r>
    </w:p>
    <w:p w14:paraId="680EB2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权益一位置：卡片简介</w:t>
      </w:r>
    </w:p>
    <w:p w14:paraId="5B9164E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去掉功能栏</w:t>
      </w:r>
    </w:p>
    <w:p w14:paraId="4E72F814">
      <w:pPr>
        <w:rPr>
          <w:rFonts w:hint="eastAsia"/>
          <w:lang w:val="en-US" w:eastAsia="zh-CN"/>
        </w:rPr>
      </w:pPr>
    </w:p>
    <w:p w14:paraId="721CEE3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推广奖励使用银行的推广奖励描述（新增）富文本</w:t>
      </w:r>
    </w:p>
    <w:p w14:paraId="28BE1202">
      <w:pPr>
        <w:rPr>
          <w:rFonts w:hint="eastAsia"/>
          <w:lang w:val="en-US" w:eastAsia="zh-CN"/>
        </w:rPr>
      </w:pPr>
    </w:p>
    <w:p w14:paraId="536CBC4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详情区域固定展示申请区域、推广须知、产品详情模块</w:t>
      </w:r>
    </w:p>
    <w:p w14:paraId="4607C32B">
      <w:pPr>
        <w:rPr>
          <w:rFonts w:hint="eastAsia"/>
          <w:lang w:val="en-US" w:eastAsia="zh-CN"/>
        </w:rPr>
      </w:pPr>
    </w:p>
    <w:p w14:paraId="78A861B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推广须知使用所属银行的业务员推广须知富文本</w:t>
      </w:r>
    </w:p>
    <w:p w14:paraId="142CDF0D">
      <w:pPr>
        <w:rPr>
          <w:rFonts w:hint="eastAsia"/>
          <w:lang w:val="en-US" w:eastAsia="zh-CN"/>
        </w:rPr>
      </w:pPr>
    </w:p>
    <w:p w14:paraId="13CA631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产品详情使用银行信用卡详情富文本</w:t>
      </w:r>
    </w:p>
    <w:p w14:paraId="27374720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 w14:paraId="7026E9B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底部立即申请按钮受控台渠道信息管理控制展示</w:t>
      </w:r>
    </w:p>
    <w:p w14:paraId="797279E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68CF84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列表页点击卡片时进入详情页，点击一键推广直接进入对应的推广页面，海报或面对面；点击立即申请时进入详情页，底部按钮分别为为他人申请，本人申请。</w:t>
      </w:r>
    </w:p>
    <w:p w14:paraId="12D9AB8C">
      <w:r>
        <w:drawing>
          <wp:inline distT="0" distB="0" distL="114300" distR="114300">
            <wp:extent cx="1410970" cy="2974340"/>
            <wp:effectExtent l="0" t="0" r="11430" b="228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097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E9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C端打开产品详情页：</w:t>
      </w:r>
    </w:p>
    <w:p w14:paraId="47E9904C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1774190" cy="3193415"/>
            <wp:effectExtent l="0" t="0" r="3810" b="6985"/>
            <wp:wrapTight wrapText="bothSides">
              <wp:wrapPolygon>
                <wp:start x="0" y="0"/>
                <wp:lineTo x="0" y="21475"/>
                <wp:lineTo x="21337" y="21475"/>
                <wp:lineTo x="21337" y="0"/>
                <wp:lineTo x="0" y="0"/>
              </wp:wrapPolygon>
            </wp:wrapTight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32D07A">
      <w:pPr>
        <w:rPr>
          <w:rFonts w:hint="eastAsia"/>
          <w:lang w:val="en-US" w:eastAsia="zh-CN"/>
        </w:rPr>
      </w:pPr>
    </w:p>
    <w:p w14:paraId="5BE1C917">
      <w:pPr>
        <w:rPr>
          <w:rFonts w:hint="eastAsia"/>
          <w:lang w:val="en-US" w:eastAsia="zh-CN"/>
        </w:rPr>
      </w:pPr>
    </w:p>
    <w:p w14:paraId="1C3249E8">
      <w:pPr>
        <w:rPr>
          <w:rFonts w:hint="eastAsia"/>
          <w:lang w:val="en-US" w:eastAsia="zh-CN"/>
        </w:rPr>
      </w:pPr>
    </w:p>
    <w:p w14:paraId="3B29F9A4">
      <w:pPr>
        <w:rPr>
          <w:rFonts w:hint="eastAsia"/>
          <w:lang w:val="en-US" w:eastAsia="zh-CN"/>
        </w:rPr>
      </w:pPr>
    </w:p>
    <w:p w14:paraId="073EFB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不展示推广奖励</w:t>
      </w:r>
    </w:p>
    <w:p w14:paraId="67A8A74F">
      <w:pPr>
        <w:rPr>
          <w:rFonts w:hint="eastAsia"/>
          <w:lang w:val="en-US" w:eastAsia="zh-CN"/>
        </w:rPr>
      </w:pPr>
    </w:p>
    <w:p w14:paraId="0B76FB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不展示推广须知</w:t>
      </w:r>
    </w:p>
    <w:p w14:paraId="1AC7F27D">
      <w:pPr>
        <w:rPr>
          <w:rFonts w:hint="eastAsia"/>
          <w:lang w:val="en-US" w:eastAsia="zh-CN"/>
        </w:rPr>
      </w:pPr>
    </w:p>
    <w:p w14:paraId="485E5E20">
      <w:pPr>
        <w:rPr>
          <w:rFonts w:hint="eastAsia"/>
          <w:lang w:val="en-US" w:eastAsia="zh-CN"/>
        </w:rPr>
      </w:pPr>
    </w:p>
    <w:p w14:paraId="01F7D780">
      <w:pPr>
        <w:rPr>
          <w:rFonts w:hint="eastAsia"/>
          <w:lang w:val="en-US" w:eastAsia="zh-CN"/>
        </w:rPr>
      </w:pPr>
    </w:p>
    <w:p w14:paraId="6953B820">
      <w:pPr>
        <w:rPr>
          <w:rFonts w:hint="eastAsia"/>
          <w:lang w:val="en-US" w:eastAsia="zh-CN"/>
        </w:rPr>
      </w:pPr>
    </w:p>
    <w:p w14:paraId="64EC3546">
      <w:pPr>
        <w:rPr>
          <w:rFonts w:hint="eastAsia"/>
          <w:lang w:val="en-US" w:eastAsia="zh-CN"/>
        </w:rPr>
      </w:pPr>
    </w:p>
    <w:p w14:paraId="3D1090E3">
      <w:pPr>
        <w:rPr>
          <w:rFonts w:hint="eastAsia"/>
          <w:lang w:val="en-US" w:eastAsia="zh-CN"/>
        </w:rPr>
      </w:pPr>
    </w:p>
    <w:p w14:paraId="36D41931">
      <w:pPr>
        <w:rPr>
          <w:rFonts w:hint="eastAsia"/>
          <w:lang w:val="en-US" w:eastAsia="zh-CN"/>
        </w:rPr>
      </w:pPr>
    </w:p>
    <w:p w14:paraId="4126C5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底部按钮为为他人申请，本人申请</w:t>
      </w:r>
    </w:p>
    <w:p w14:paraId="4E1C5CE7">
      <w:pPr>
        <w:rPr>
          <w:rFonts w:hint="eastAsia"/>
          <w:lang w:val="en-US" w:eastAsia="zh-CN"/>
        </w:rPr>
      </w:pPr>
    </w:p>
    <w:p w14:paraId="02D3E0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后台银行管理增加推广奖励描述：</w:t>
      </w:r>
    </w:p>
    <w:p w14:paraId="5AEF1910">
      <w:pPr>
        <w:numPr>
          <w:ilvl w:val="0"/>
          <w:numId w:val="0"/>
        </w:numPr>
      </w:pPr>
      <w:r>
        <w:drawing>
          <wp:inline distT="0" distB="0" distL="114300" distR="114300">
            <wp:extent cx="4741545" cy="4305300"/>
            <wp:effectExtent l="0" t="0" r="8255" b="1270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E02F">
      <w:pPr>
        <w:numPr>
          <w:ilvl w:val="0"/>
          <w:numId w:val="0"/>
        </w:numPr>
      </w:pPr>
    </w:p>
    <w:p w14:paraId="4EA1109D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支持占位符：结算金额，补贴金额。</w:t>
      </w:r>
    </w:p>
    <w:p w14:paraId="763598E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13C5AA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6、价格设置页面逻辑修改</w:t>
      </w:r>
    </w:p>
    <w:p w14:paraId="6F42FA1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因各渠道可单独配置政策，无法全部使用同步至拓客的默认配置，需使用拓客接口中新增加的字段：当前业务员真实分润比例，来计算当前业务员的可分配金额、合作方结算价，不再使用拓客接口中的数值。</w:t>
      </w:r>
    </w:p>
    <w:p w14:paraId="2E04A2D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当前业务员设置默认所有直属下级的价格：</w:t>
      </w:r>
    </w:p>
    <w:p w14:paraId="2749CC48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52705</wp:posOffset>
            </wp:positionV>
            <wp:extent cx="1491615" cy="3228340"/>
            <wp:effectExtent l="0" t="0" r="6985" b="22860"/>
            <wp:wrapTight wrapText="bothSides">
              <wp:wrapPolygon>
                <wp:start x="0" y="0"/>
                <wp:lineTo x="0" y="21413"/>
                <wp:lineTo x="21333" y="21413"/>
                <wp:lineTo x="21333" y="0"/>
                <wp:lineTo x="0" y="0"/>
              </wp:wrapPolygon>
            </wp:wrapTight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485367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B29001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产品列表取拓客接口返回的所有产品中，趣伴卡侧有对应政策的产品进行展示</w:t>
      </w:r>
    </w:p>
    <w:p w14:paraId="68B6EA2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3B7E7D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6DEB86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的可分配奖励取值改为：当前业务员真实分润比例*该产品当前业务员所属渠道的对应政策金额或比例*业务员发放系数，仅取对应政策配置中的第一档的金额或比例。取整或两位小数，按照政策配置的分润精度来处理。</w:t>
      </w:r>
    </w:p>
    <w:p w14:paraId="5226090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渠道信息中的强制单独政策，如果开启，则仅展示渠道配置的政策金额，无渠道配置的政策不展示；如果未开启，则优先展示渠道配置的政策金额，无渠道配置的，取默认配置的政策进行展示。仅取当前时间生效中的配置。</w:t>
      </w:r>
    </w:p>
    <w:p w14:paraId="61B2866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2B7F8D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合作方结算价取值改为：新的可分配奖励*所设下级分润比例*业务员发放系数</w:t>
      </w:r>
    </w:p>
    <w:p w14:paraId="0594295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5682D5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AA6E06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387DF17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86995</wp:posOffset>
            </wp:positionV>
            <wp:extent cx="1725295" cy="3735705"/>
            <wp:effectExtent l="0" t="0" r="52705" b="48895"/>
            <wp:wrapTight wrapText="bothSides">
              <wp:wrapPolygon>
                <wp:start x="0" y="0"/>
                <wp:lineTo x="0" y="21442"/>
                <wp:lineTo x="21306" y="21442"/>
                <wp:lineTo x="21306" y="0"/>
                <wp:lineTo x="0" y="0"/>
              </wp:wrapPolygon>
            </wp:wrapTight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25487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5A45940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69920B1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91989DC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3789DE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6DA871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A77A2C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501EE4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1F47CD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A92C9D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新的可分配奖励取值改为：当前业务员真实分润比例*该产品当前业务员所属渠道的对应政策金额或比例*业务员发放系数</w:t>
      </w:r>
    </w:p>
    <w:p w14:paraId="70FB54D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0F7C96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合作方结算价取值改为：新的可分配奖励*所设下级分润比例*业务员发放系数。设置后，未单独配置价格的直属下级，均使用该比例进行分润，实际产生结算后，应按照该比例进行逐级分润。</w:t>
      </w:r>
    </w:p>
    <w:p w14:paraId="775C6F21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4F728B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设置指定下级的价格设置：</w:t>
      </w:r>
    </w:p>
    <w:p w14:paraId="2527D21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在团队页面，直属拓客列表中点击价格设置，该列表数据逻辑与价格设置一致，切换新的可分配奖励取值改为：当前业务员真实分润比例*该产品当前业务员所属渠道的对应政策金额或比例*业务员发放系数</w:t>
      </w:r>
    </w:p>
    <w:p w14:paraId="1D126F39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2729865" cy="5907405"/>
            <wp:effectExtent l="0" t="0" r="13335" b="10795"/>
            <wp:wrapTight wrapText="bothSides">
              <wp:wrapPolygon>
                <wp:start x="0" y="0"/>
                <wp:lineTo x="0" y="21547"/>
                <wp:lineTo x="21304" y="21547"/>
                <wp:lineTo x="21304" y="0"/>
                <wp:lineTo x="0" y="0"/>
              </wp:wrapPolygon>
            </wp:wrapTight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590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58DC2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7B0592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987514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9FB71D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CCF09A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4D8F3E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4D45FF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83274C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889EC4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756FA7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156D01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05DCF3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6BECBC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132667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57EFEB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D262D5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1A6355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BD7DEA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C15583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E0FDA8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F3F7D6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AA298F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18E5F7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7726DC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14C470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DDF1B3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721702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A2BD85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48D3C3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3DAE8F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7、控台优化</w:t>
      </w:r>
    </w:p>
    <w:p w14:paraId="117976A3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7.1api订单增加注销时间及回调</w:t>
      </w:r>
    </w:p>
    <w:p w14:paraId="4D91C0EE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上游，银行</w:t>
      </w:r>
    </w:p>
    <w:p w14:paraId="5EB9D235"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29455" cy="3938905"/>
            <wp:effectExtent l="0" t="0" r="17145" b="234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1FEC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api对接模板配置-新增、修改、复制</w:t>
      </w:r>
    </w:p>
    <w:p w14:paraId="42FB82F9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增加注销时间参数</w:t>
      </w:r>
    </w:p>
    <w:p w14:paraId="0EDE4E4C"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581660"/>
            <wp:effectExtent l="0" t="0" r="10795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EEE7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数据管理-api数据查询-增加字段：注销时间</w:t>
      </w:r>
    </w:p>
    <w:p w14:paraId="0BC402B9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 w14:paraId="72D7E7C4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收到上游消息后同步回调给下游。</w:t>
      </w:r>
    </w:p>
    <w:p w14:paraId="5AA39325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 w14:paraId="148E1E6A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7.2客户管理增加查看用户信息</w:t>
      </w:r>
    </w:p>
    <w:p w14:paraId="32FF1662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客户管理-客户查询增加操作按钮：查看。点击后弹窗展示用户的明文姓名，明文手机号。</w:t>
      </w:r>
    </w:p>
    <w:p w14:paraId="773D5D78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7.3银行结算规则配置-导出功能修复</w:t>
      </w:r>
    </w:p>
    <w:p w14:paraId="0A1F9696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目前每次只能导出当前页面的数据，需导出全部查询结果，修复导出客户经营收益比例为空的问题。查询有遗漏及重复问题。</w:t>
      </w:r>
    </w:p>
    <w:p w14:paraId="347F09A8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7.4推客产品政策配置优化</w:t>
      </w:r>
    </w:p>
    <w:p w14:paraId="5BCF0A84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-查询、导出增加字段</w:t>
      </w:r>
    </w:p>
    <w:tbl>
      <w:tblPr>
        <w:tblStyle w:val="9"/>
        <w:tblpPr w:leftFromText="180" w:rightFromText="180" w:vertAnchor="text" w:horzAnchor="page" w:tblpX="2324" w:tblpY="245"/>
        <w:tblOverlap w:val="never"/>
        <w:tblW w:w="87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8"/>
        <w:gridCol w:w="623"/>
        <w:gridCol w:w="540"/>
        <w:gridCol w:w="508"/>
        <w:gridCol w:w="533"/>
        <w:gridCol w:w="523"/>
        <w:gridCol w:w="533"/>
        <w:gridCol w:w="523"/>
        <w:gridCol w:w="542"/>
        <w:gridCol w:w="561"/>
        <w:gridCol w:w="495"/>
        <w:gridCol w:w="486"/>
        <w:gridCol w:w="481"/>
        <w:gridCol w:w="486"/>
        <w:gridCol w:w="561"/>
        <w:gridCol w:w="561"/>
      </w:tblGrid>
      <w:tr w14:paraId="61590EAA">
        <w:trPr>
          <w:trHeight w:val="336" w:hRule="atLeast"/>
        </w:trPr>
        <w:tc>
          <w:tcPr>
            <w:tcW w:w="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5D7223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结算规则编码</w:t>
            </w:r>
          </w:p>
        </w:tc>
        <w:tc>
          <w:tcPr>
            <w:tcW w:w="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667675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配置类型</w:t>
            </w:r>
          </w:p>
        </w:tc>
        <w:tc>
          <w:tcPr>
            <w:tcW w:w="5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1B3D9B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产品类型</w:t>
            </w:r>
          </w:p>
        </w:tc>
        <w:tc>
          <w:tcPr>
            <w:tcW w:w="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16FDE4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渠道编码</w:t>
            </w:r>
          </w:p>
        </w:tc>
        <w:tc>
          <w:tcPr>
            <w:tcW w:w="5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5C09AC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渠道名称</w:t>
            </w:r>
          </w:p>
        </w:tc>
        <w:tc>
          <w:tcPr>
            <w:tcW w:w="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4AC737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产品编码</w:t>
            </w:r>
          </w:p>
        </w:tc>
        <w:tc>
          <w:tcPr>
            <w:tcW w:w="5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01C437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产品名称</w:t>
            </w:r>
          </w:p>
        </w:tc>
        <w:tc>
          <w:tcPr>
            <w:tcW w:w="5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1C0B78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开始日期</w:t>
            </w:r>
          </w:p>
        </w:tc>
        <w:tc>
          <w:tcPr>
            <w:tcW w:w="5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213AFE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截止日期</w:t>
            </w:r>
          </w:p>
        </w:tc>
        <w:tc>
          <w:tcPr>
            <w:tcW w:w="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014B6F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结算标准</w:t>
            </w:r>
          </w:p>
        </w:tc>
        <w:tc>
          <w:tcPr>
            <w:tcW w:w="4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78CCD2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12"/>
                <w:szCs w:val="12"/>
                <w:u w:val="none"/>
                <w:lang w:val="en-US" w:eastAsia="zh-CN" w:bidi="ar"/>
              </w:rPr>
              <w:t>展示名称</w:t>
            </w:r>
          </w:p>
        </w:tc>
        <w:tc>
          <w:tcPr>
            <w:tcW w:w="4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5639EB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12"/>
                <w:szCs w:val="12"/>
                <w:u w:val="none"/>
                <w:lang w:val="en-US" w:eastAsia="zh-CN" w:bidi="ar"/>
              </w:rPr>
              <w:t>一档间隔</w:t>
            </w:r>
          </w:p>
        </w:tc>
        <w:tc>
          <w:tcPr>
            <w:tcW w:w="4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347550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结算金额</w:t>
            </w:r>
          </w:p>
        </w:tc>
        <w:tc>
          <w:tcPr>
            <w:tcW w:w="4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50E081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结算比例</w:t>
            </w:r>
          </w:p>
        </w:tc>
        <w:tc>
          <w:tcPr>
            <w:tcW w:w="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6BA1CB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补贴金额</w:t>
            </w:r>
          </w:p>
        </w:tc>
        <w:tc>
          <w:tcPr>
            <w:tcW w:w="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19A45B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补贴比例</w:t>
            </w:r>
          </w:p>
        </w:tc>
      </w:tr>
    </w:tbl>
    <w:tbl>
      <w:tblPr>
        <w:tblStyle w:val="9"/>
        <w:tblpPr w:leftFromText="180" w:rightFromText="180" w:vertAnchor="text" w:horzAnchor="page" w:tblpX="2306" w:tblpY="664"/>
        <w:tblOverlap w:val="never"/>
        <w:tblW w:w="856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9"/>
        <w:gridCol w:w="539"/>
        <w:gridCol w:w="539"/>
        <w:gridCol w:w="539"/>
        <w:gridCol w:w="539"/>
        <w:gridCol w:w="539"/>
        <w:gridCol w:w="779"/>
        <w:gridCol w:w="898"/>
        <w:gridCol w:w="623"/>
        <w:gridCol w:w="384"/>
        <w:gridCol w:w="779"/>
        <w:gridCol w:w="780"/>
        <w:gridCol w:w="1087"/>
      </w:tblGrid>
      <w:tr w14:paraId="381A3F3B">
        <w:trPr>
          <w:trHeight w:val="336" w:hRule="atLeast"/>
        </w:trPr>
        <w:tc>
          <w:tcPr>
            <w:tcW w:w="5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16BE76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12"/>
                <w:szCs w:val="12"/>
                <w:u w:val="none"/>
                <w:lang w:val="en-US" w:eastAsia="zh-CN" w:bidi="ar"/>
              </w:rPr>
              <w:t>二档间隔</w:t>
            </w:r>
          </w:p>
        </w:tc>
        <w:tc>
          <w:tcPr>
            <w:tcW w:w="5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788D4D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12"/>
                <w:szCs w:val="12"/>
                <w:u w:val="none"/>
                <w:lang w:val="en-US" w:eastAsia="zh-CN" w:bidi="ar"/>
              </w:rPr>
              <w:t>结算金额</w:t>
            </w:r>
          </w:p>
        </w:tc>
        <w:tc>
          <w:tcPr>
            <w:tcW w:w="5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11251F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12"/>
                <w:szCs w:val="12"/>
                <w:u w:val="none"/>
                <w:lang w:val="en-US" w:eastAsia="zh-CN" w:bidi="ar"/>
              </w:rPr>
              <w:t>补贴金额</w:t>
            </w:r>
          </w:p>
        </w:tc>
        <w:tc>
          <w:tcPr>
            <w:tcW w:w="5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330183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12"/>
                <w:szCs w:val="12"/>
                <w:u w:val="none"/>
                <w:lang w:val="en-US" w:eastAsia="zh-CN" w:bidi="ar"/>
              </w:rPr>
              <w:t>三档间隔</w:t>
            </w:r>
          </w:p>
        </w:tc>
        <w:tc>
          <w:tcPr>
            <w:tcW w:w="5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59CF97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12"/>
                <w:szCs w:val="12"/>
                <w:u w:val="none"/>
                <w:lang w:val="en-US" w:eastAsia="zh-CN" w:bidi="ar"/>
              </w:rPr>
              <w:t>结算金额</w:t>
            </w:r>
          </w:p>
        </w:tc>
        <w:tc>
          <w:tcPr>
            <w:tcW w:w="5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744630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12"/>
                <w:szCs w:val="12"/>
                <w:u w:val="none"/>
                <w:lang w:val="en-US" w:eastAsia="zh-CN" w:bidi="ar"/>
              </w:rPr>
              <w:t>补贴金额</w:t>
            </w: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2330D8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客户收益比例</w:t>
            </w:r>
          </w:p>
        </w:tc>
        <w:tc>
          <w:tcPr>
            <w:tcW w:w="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5123F7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业务员发放系数</w:t>
            </w:r>
          </w:p>
        </w:tc>
        <w:tc>
          <w:tcPr>
            <w:tcW w:w="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138F5B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分润精度</w:t>
            </w:r>
          </w:p>
        </w:tc>
        <w:tc>
          <w:tcPr>
            <w:tcW w:w="3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1BE314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状态</w:t>
            </w: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739A48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12"/>
                <w:szCs w:val="12"/>
                <w:u w:val="none"/>
                <w:lang w:val="en-US" w:eastAsia="zh-CN" w:bidi="ar"/>
              </w:rPr>
              <w:t>参考产品类别</w:t>
            </w:r>
          </w:p>
        </w:tc>
        <w:tc>
          <w:tcPr>
            <w:tcW w:w="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31659B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12"/>
                <w:szCs w:val="12"/>
                <w:u w:val="none"/>
                <w:lang w:val="en-US" w:eastAsia="zh-CN" w:bidi="ar"/>
              </w:rPr>
              <w:t>参考产品编码</w:t>
            </w:r>
          </w:p>
        </w:tc>
        <w:tc>
          <w:tcPr>
            <w:tcW w:w="10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vAlign w:val="center"/>
          </w:tcPr>
          <w:p w14:paraId="4967EC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2"/>
                <w:szCs w:val="1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2"/>
                <w:szCs w:val="12"/>
                <w:u w:val="none"/>
                <w:lang w:val="en-US" w:eastAsia="zh-CN" w:bidi="ar"/>
              </w:rPr>
              <w:t>操作时间</w:t>
            </w:r>
          </w:p>
        </w:tc>
      </w:tr>
    </w:tbl>
    <w:p w14:paraId="0AC5EF3F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红色部分为新增的字段，查询结果列表及导出文件中一并增加</w:t>
      </w:r>
    </w:p>
    <w:p w14:paraId="52315536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 w14:paraId="5964AD42"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7.5推客产品政策配置问题修复：</w:t>
      </w:r>
    </w:p>
    <w:p w14:paraId="6F0ACC74"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查询条件：选择开始日期应为配置的开始日期的起止，而不是开始日期-截止日期。</w:t>
      </w:r>
    </w:p>
    <w:p w14:paraId="0789964A"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7.6推客产品政策配置</w:t>
      </w:r>
    </w:p>
    <w:p w14:paraId="4F251E3F"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新建、修改弹窗中取值模式文案修改为分润精度。</w:t>
      </w:r>
    </w:p>
    <w:p w14:paraId="69E86BAC"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7.7渠道发放系数配置优化</w:t>
      </w:r>
    </w:p>
    <w:p w14:paraId="6CBEE0B6"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修复查询有重复、遗漏问题，增加导出功能，导出内容同查询页面。</w:t>
      </w:r>
    </w:p>
    <w:p w14:paraId="3B70D24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8、解决code bean used问题</w:t>
      </w:r>
    </w:p>
    <w:p w14:paraId="7481B463"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2114550" cy="4577715"/>
            <wp:effectExtent l="0" t="0" r="19050" b="196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7CC461"/>
    <w:multiLevelType w:val="multilevel"/>
    <w:tmpl w:val="B57CC46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D96E6B0F"/>
    <w:multiLevelType w:val="multilevel"/>
    <w:tmpl w:val="D96E6B0F"/>
    <w:lvl w:ilvl="0" w:tentative="0">
      <w:start w:val="4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743B5DE2"/>
    <w:multiLevelType w:val="singleLevel"/>
    <w:tmpl w:val="743B5DE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IyMDljMzUyMDcxZjY1OGM2ODE5MTkzNDJjZDU4NjkifQ=="/>
  </w:docVars>
  <w:rsids>
    <w:rsidRoot w:val="331170C2"/>
    <w:rsid w:val="025F4662"/>
    <w:rsid w:val="054A03FE"/>
    <w:rsid w:val="056D42A0"/>
    <w:rsid w:val="05724F65"/>
    <w:rsid w:val="0AF36B3A"/>
    <w:rsid w:val="0AFA5870"/>
    <w:rsid w:val="0B170387"/>
    <w:rsid w:val="0D4834BD"/>
    <w:rsid w:val="126A32DB"/>
    <w:rsid w:val="149B6B6A"/>
    <w:rsid w:val="14B54840"/>
    <w:rsid w:val="15FF5506"/>
    <w:rsid w:val="169F376F"/>
    <w:rsid w:val="176AD0F7"/>
    <w:rsid w:val="17C92604"/>
    <w:rsid w:val="17FA6EAF"/>
    <w:rsid w:val="1D5A712F"/>
    <w:rsid w:val="1DB418AE"/>
    <w:rsid w:val="1DF627CD"/>
    <w:rsid w:val="1EBFDD42"/>
    <w:rsid w:val="250D5954"/>
    <w:rsid w:val="25D7DB01"/>
    <w:rsid w:val="26902787"/>
    <w:rsid w:val="269F0C21"/>
    <w:rsid w:val="26D42FC1"/>
    <w:rsid w:val="279F6E1C"/>
    <w:rsid w:val="28AB6DFB"/>
    <w:rsid w:val="28D948BF"/>
    <w:rsid w:val="29D90840"/>
    <w:rsid w:val="29FF8F41"/>
    <w:rsid w:val="2B0C0F7B"/>
    <w:rsid w:val="2BD82C0B"/>
    <w:rsid w:val="2C036605"/>
    <w:rsid w:val="2C1764C2"/>
    <w:rsid w:val="2CDF7744"/>
    <w:rsid w:val="325B6344"/>
    <w:rsid w:val="331170C2"/>
    <w:rsid w:val="365E6403"/>
    <w:rsid w:val="37511F05"/>
    <w:rsid w:val="379D3277"/>
    <w:rsid w:val="38672FB0"/>
    <w:rsid w:val="39EF76B0"/>
    <w:rsid w:val="3BB0325D"/>
    <w:rsid w:val="3BC74A9B"/>
    <w:rsid w:val="3BC7D5A0"/>
    <w:rsid w:val="3CF67AA2"/>
    <w:rsid w:val="3CFD641E"/>
    <w:rsid w:val="3D0860DE"/>
    <w:rsid w:val="3DFFD8B0"/>
    <w:rsid w:val="3E59872F"/>
    <w:rsid w:val="3E772B2E"/>
    <w:rsid w:val="3EEBAE92"/>
    <w:rsid w:val="3EFBDBE7"/>
    <w:rsid w:val="3F7FEE61"/>
    <w:rsid w:val="3F9B7DD1"/>
    <w:rsid w:val="3F9D3DB4"/>
    <w:rsid w:val="3FF5BD0B"/>
    <w:rsid w:val="42274495"/>
    <w:rsid w:val="442C18EF"/>
    <w:rsid w:val="446E1F07"/>
    <w:rsid w:val="45123B0B"/>
    <w:rsid w:val="45F823D0"/>
    <w:rsid w:val="46B53E1D"/>
    <w:rsid w:val="481E1118"/>
    <w:rsid w:val="49951CE4"/>
    <w:rsid w:val="4E911C4C"/>
    <w:rsid w:val="4F77E09C"/>
    <w:rsid w:val="50072B3F"/>
    <w:rsid w:val="513774DE"/>
    <w:rsid w:val="51600E2A"/>
    <w:rsid w:val="51FB4509"/>
    <w:rsid w:val="5297754E"/>
    <w:rsid w:val="52E96395"/>
    <w:rsid w:val="54316AAD"/>
    <w:rsid w:val="557B26D6"/>
    <w:rsid w:val="57342B3C"/>
    <w:rsid w:val="577E3975"/>
    <w:rsid w:val="57D650A9"/>
    <w:rsid w:val="57F5CF05"/>
    <w:rsid w:val="59771406"/>
    <w:rsid w:val="59D32AE1"/>
    <w:rsid w:val="59FFEECB"/>
    <w:rsid w:val="5AD5988F"/>
    <w:rsid w:val="5B3573F3"/>
    <w:rsid w:val="5BC55253"/>
    <w:rsid w:val="5BEE19F9"/>
    <w:rsid w:val="5DD24E5D"/>
    <w:rsid w:val="5DFF38D8"/>
    <w:rsid w:val="5EDA0E5A"/>
    <w:rsid w:val="5EF47FC3"/>
    <w:rsid w:val="5F3B0C09"/>
    <w:rsid w:val="5FB6ABF1"/>
    <w:rsid w:val="5FF7D6D9"/>
    <w:rsid w:val="60C74A21"/>
    <w:rsid w:val="60F03797"/>
    <w:rsid w:val="62EF1C8F"/>
    <w:rsid w:val="64CFC57A"/>
    <w:rsid w:val="64FFD05F"/>
    <w:rsid w:val="676F5D83"/>
    <w:rsid w:val="677BFDA9"/>
    <w:rsid w:val="6787315C"/>
    <w:rsid w:val="678AE555"/>
    <w:rsid w:val="67BEDA8D"/>
    <w:rsid w:val="67BF2386"/>
    <w:rsid w:val="67C95DD4"/>
    <w:rsid w:val="68C62302"/>
    <w:rsid w:val="69672308"/>
    <w:rsid w:val="697B1B62"/>
    <w:rsid w:val="6A826756"/>
    <w:rsid w:val="6B69A118"/>
    <w:rsid w:val="6B798A20"/>
    <w:rsid w:val="6C101972"/>
    <w:rsid w:val="6DBA3878"/>
    <w:rsid w:val="6DC5678C"/>
    <w:rsid w:val="6DF8B81B"/>
    <w:rsid w:val="6DFFC52D"/>
    <w:rsid w:val="6DFFE9F3"/>
    <w:rsid w:val="6F03131A"/>
    <w:rsid w:val="6F57C7A9"/>
    <w:rsid w:val="6FB96520"/>
    <w:rsid w:val="6FBB6557"/>
    <w:rsid w:val="6FDBE896"/>
    <w:rsid w:val="6FF60B2F"/>
    <w:rsid w:val="6FFF71F6"/>
    <w:rsid w:val="707715D2"/>
    <w:rsid w:val="714BAC6D"/>
    <w:rsid w:val="72FB09B4"/>
    <w:rsid w:val="733BAFE6"/>
    <w:rsid w:val="73998727"/>
    <w:rsid w:val="75FE82B5"/>
    <w:rsid w:val="773F25BB"/>
    <w:rsid w:val="776652A2"/>
    <w:rsid w:val="77796479"/>
    <w:rsid w:val="77BE6145"/>
    <w:rsid w:val="77DA4BE2"/>
    <w:rsid w:val="77F26D24"/>
    <w:rsid w:val="77F92938"/>
    <w:rsid w:val="77FE2376"/>
    <w:rsid w:val="77FFE065"/>
    <w:rsid w:val="78EEA41C"/>
    <w:rsid w:val="79CDF044"/>
    <w:rsid w:val="79D26677"/>
    <w:rsid w:val="7A370149"/>
    <w:rsid w:val="7AFDB9C5"/>
    <w:rsid w:val="7B3F192C"/>
    <w:rsid w:val="7BBC1C9A"/>
    <w:rsid w:val="7BCB4A3D"/>
    <w:rsid w:val="7BDF2C73"/>
    <w:rsid w:val="7BF3C7F3"/>
    <w:rsid w:val="7BFFA47D"/>
    <w:rsid w:val="7CFB6C5F"/>
    <w:rsid w:val="7DF5769D"/>
    <w:rsid w:val="7E2B03DC"/>
    <w:rsid w:val="7E5E1B1E"/>
    <w:rsid w:val="7ECEF63E"/>
    <w:rsid w:val="7EFEDBFB"/>
    <w:rsid w:val="7F2B7949"/>
    <w:rsid w:val="7F5C972D"/>
    <w:rsid w:val="7F5F2735"/>
    <w:rsid w:val="7F6F4F12"/>
    <w:rsid w:val="7F7EDCEF"/>
    <w:rsid w:val="7F8F91FC"/>
    <w:rsid w:val="7FAF1F7C"/>
    <w:rsid w:val="7FDD4938"/>
    <w:rsid w:val="7FDF369F"/>
    <w:rsid w:val="7FDF49BE"/>
    <w:rsid w:val="7FE7BA73"/>
    <w:rsid w:val="7FEC246B"/>
    <w:rsid w:val="7FF23B55"/>
    <w:rsid w:val="7FF78F5E"/>
    <w:rsid w:val="7FFB7A54"/>
    <w:rsid w:val="7FFCD815"/>
    <w:rsid w:val="7FFEC578"/>
    <w:rsid w:val="97F6C9D0"/>
    <w:rsid w:val="98B30F93"/>
    <w:rsid w:val="9A6F7BE7"/>
    <w:rsid w:val="9D73C619"/>
    <w:rsid w:val="9E77B586"/>
    <w:rsid w:val="9EDF8CEB"/>
    <w:rsid w:val="9F977D71"/>
    <w:rsid w:val="9FB61B61"/>
    <w:rsid w:val="A7FCAF73"/>
    <w:rsid w:val="AAFA8937"/>
    <w:rsid w:val="AE6FC35B"/>
    <w:rsid w:val="AFB1325D"/>
    <w:rsid w:val="AFFFFEBB"/>
    <w:rsid w:val="B2CF853E"/>
    <w:rsid w:val="B6FF8CB0"/>
    <w:rsid w:val="B73ECC82"/>
    <w:rsid w:val="B776F9CF"/>
    <w:rsid w:val="BBFDD361"/>
    <w:rsid w:val="BBFE2FA0"/>
    <w:rsid w:val="BD5F6CF6"/>
    <w:rsid w:val="BDDF0272"/>
    <w:rsid w:val="BDF9334B"/>
    <w:rsid w:val="BF2F3ECB"/>
    <w:rsid w:val="BFF8A449"/>
    <w:rsid w:val="C2EF8014"/>
    <w:rsid w:val="C3DF93E4"/>
    <w:rsid w:val="C7DEE127"/>
    <w:rsid w:val="C7F03935"/>
    <w:rsid w:val="CEFC1FC5"/>
    <w:rsid w:val="CFDDC6F8"/>
    <w:rsid w:val="D7E69D4F"/>
    <w:rsid w:val="D7FE70C2"/>
    <w:rsid w:val="DBA7EF59"/>
    <w:rsid w:val="DBEEC970"/>
    <w:rsid w:val="DBEFB147"/>
    <w:rsid w:val="DD9B6FD8"/>
    <w:rsid w:val="DDF7F0F2"/>
    <w:rsid w:val="DDFF01A3"/>
    <w:rsid w:val="DEF761F3"/>
    <w:rsid w:val="DEFFCD04"/>
    <w:rsid w:val="DF5F946E"/>
    <w:rsid w:val="DFEF44EE"/>
    <w:rsid w:val="DFFBE02C"/>
    <w:rsid w:val="DFFFC3C5"/>
    <w:rsid w:val="E142191D"/>
    <w:rsid w:val="E2FA1B28"/>
    <w:rsid w:val="E3DB8F6E"/>
    <w:rsid w:val="EAFC04E6"/>
    <w:rsid w:val="EB7DEEB2"/>
    <w:rsid w:val="ECFE2DE6"/>
    <w:rsid w:val="EE3DE8AD"/>
    <w:rsid w:val="EEABCDC2"/>
    <w:rsid w:val="EFB6B16B"/>
    <w:rsid w:val="EFC5AAE0"/>
    <w:rsid w:val="EFDF1872"/>
    <w:rsid w:val="F38EA11E"/>
    <w:rsid w:val="F3C9BFA5"/>
    <w:rsid w:val="F3F3AB85"/>
    <w:rsid w:val="F45742A3"/>
    <w:rsid w:val="F75D6376"/>
    <w:rsid w:val="F79FF99A"/>
    <w:rsid w:val="F7B8B1E7"/>
    <w:rsid w:val="F7EE9023"/>
    <w:rsid w:val="F9E70E51"/>
    <w:rsid w:val="FA9FB645"/>
    <w:rsid w:val="FBB7ADFC"/>
    <w:rsid w:val="FBDA37A0"/>
    <w:rsid w:val="FBE7A1CD"/>
    <w:rsid w:val="FBFEFDB9"/>
    <w:rsid w:val="FC47A18A"/>
    <w:rsid w:val="FC4F8F6E"/>
    <w:rsid w:val="FC77A59C"/>
    <w:rsid w:val="FC7C17A9"/>
    <w:rsid w:val="FDEB89B0"/>
    <w:rsid w:val="FDEE9779"/>
    <w:rsid w:val="FDFB5F25"/>
    <w:rsid w:val="FDFBC9E7"/>
    <w:rsid w:val="FDFF1510"/>
    <w:rsid w:val="FDFF26BE"/>
    <w:rsid w:val="FE81BD37"/>
    <w:rsid w:val="FEBBBEBB"/>
    <w:rsid w:val="FEBEEA0F"/>
    <w:rsid w:val="FEF6569B"/>
    <w:rsid w:val="FEF7A357"/>
    <w:rsid w:val="FEF94EC6"/>
    <w:rsid w:val="FEFE95B4"/>
    <w:rsid w:val="FEFF7932"/>
    <w:rsid w:val="FF426D6C"/>
    <w:rsid w:val="FF578EB8"/>
    <w:rsid w:val="FF6F9C7D"/>
    <w:rsid w:val="FF774F08"/>
    <w:rsid w:val="FFAF1121"/>
    <w:rsid w:val="FFD712E3"/>
    <w:rsid w:val="FFDFB01F"/>
    <w:rsid w:val="FFEF6FA8"/>
    <w:rsid w:val="FFF1B904"/>
    <w:rsid w:val="FFF3748B"/>
    <w:rsid w:val="FFF75351"/>
    <w:rsid w:val="FFF77171"/>
    <w:rsid w:val="FFF9EBC4"/>
    <w:rsid w:val="FFFD0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6">
    <w:name w:val="head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FollowedHyperlink"/>
    <w:basedOn w:val="11"/>
    <w:uiPriority w:val="0"/>
    <w:rPr>
      <w:color w:val="800080"/>
      <w:u w:val="single"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paragraph" w:styleId="14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5">
    <w:name w:val="p1"/>
    <w:basedOn w:val="1"/>
    <w:uiPriority w:val="0"/>
    <w:pPr>
      <w:spacing w:before="0" w:beforeAutospacing="0" w:after="0" w:afterAutospacing="0" w:line="640" w:lineRule="atLeast"/>
      <w:ind w:left="0" w:right="0"/>
      <w:jc w:val="left"/>
    </w:pPr>
    <w:rPr>
      <w:rFonts w:ascii="pingfang sc" w:hAnsi="pingfang sc" w:eastAsia="pingfang sc" w:cs="pingfang sc"/>
      <w:color w:val="000000"/>
      <w:kern w:val="0"/>
      <w:sz w:val="28"/>
      <w:szCs w:val="28"/>
      <w:lang w:val="en-US" w:eastAsia="zh-CN" w:bidi="ar"/>
    </w:rPr>
  </w:style>
  <w:style w:type="character" w:customStyle="1" w:styleId="16">
    <w:name w:val="s1"/>
    <w:basedOn w:val="11"/>
    <w:uiPriority w:val="0"/>
    <w:rPr>
      <w:rFonts w:ascii="Helvetica Neue" w:hAnsi="Helvetica Neue" w:eastAsia="Helvetica Neue" w:cs="Helvetica Neue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1858</Words>
  <Characters>1876</Characters>
  <Lines>1</Lines>
  <Paragraphs>1</Paragraphs>
  <TotalTime>16</TotalTime>
  <ScaleCrop>false</ScaleCrop>
  <LinksUpToDate>false</LinksUpToDate>
  <CharactersWithSpaces>1887</CharactersWithSpaces>
  <Application>WPS Office_6.12.0.8899_F1E327BC-269C-435d-A152-05C5408002CA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2024-02-11T06:01:00Z</dcterms:created>
  <dc:creator>WPS_1622707002</dc:creator>
  <cp:lastModifiedBy>风过之痕</cp:lastModifiedBy>
  <dcterms:modified xsi:type="dcterms:W3CDTF">2024-10-23T15:43:50Z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2052-6.12.0.8899</vt:lpwstr>
  </property>
  <property fmtid="{D5CDD505-2E9C-101B-9397-08002B2CF9AE}" pid="3" name="ICV">
    <vt:lpwstr>A9CD73FA07C2CBCA6F3B54666D26945B_43</vt:lpwstr>
  </property>
</Properties>
</file>