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sz w:val="32"/>
          <w:szCs w:val="40"/>
          <w:lang w:val="en-US" w:eastAsia="zh-CN"/>
        </w:rPr>
      </w:pPr>
      <w:r>
        <w:rPr>
          <w:rFonts w:hint="eastAsia"/>
          <w:sz w:val="32"/>
          <w:szCs w:val="40"/>
          <w:lang w:val="en-US" w:eastAsia="zh-CN"/>
        </w:rPr>
        <w:t>调整推广页、个人业绩页优化需求增加运营阵地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需求背景：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1、首页轮播图与C端分开处理，首页增加弹窗</w:t>
      </w:r>
    </w:p>
    <w:p>
      <w:pPr>
        <w:numPr>
          <w:ilvl w:val="0"/>
          <w:numId w:val="2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推客轮播图+落地页内容更多侧重办卡奖励，推广，用户端侧重卡片活动，优势。</w:t>
      </w:r>
    </w:p>
    <w:p>
      <w:pPr>
        <w:numPr>
          <w:ilvl w:val="0"/>
          <w:numId w:val="2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目前趣伴卡无强触达方式，增加弹窗增强重要内容触达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推广页没有辨别业务员的内容，二维码太小</w:t>
      </w:r>
    </w:p>
    <w:p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进入首页无法查看最新银行变动与弹窗，调整默认进入页面逻辑</w:t>
      </w:r>
    </w:p>
    <w:p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新增api对接银行数据需定制，上传规则优化</w:t>
      </w:r>
    </w:p>
    <w:p>
      <w:pPr>
        <w:numPr>
          <w:ilvl w:val="0"/>
          <w:numId w:val="3"/>
        </w:numPr>
        <w:ind w:left="84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Api包前置页模式，前置页短信显示拉卡拉，不符合渠道方需求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需求内容：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具体交互、备注见原型链接：</w:t>
      </w:r>
      <w:r>
        <w:rPr>
          <w:rFonts w:hint="eastAsia"/>
          <w:lang w:val="en-US" w:eastAsia="zh-CN"/>
        </w:rPr>
        <w:fldChar w:fldCharType="begin"/>
      </w:r>
      <w:r>
        <w:instrText xml:space="preserve"> HYPERLINK "https://f1cqe0.axshare.com"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5"/>
          <w:rFonts w:hint="eastAsia"/>
          <w:lang w:val="en-US" w:eastAsia="zh-CN"/>
        </w:rPr>
        <w:t>https://f1cqe0.axshare.com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主要改动情况：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进入趣伴卡后首页增加弹窗，推广办卡顶部轮播图配置与C端全银行链接轮播图分开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【1.1】前端弹窗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443095" cy="2421890"/>
            <wp:effectExtent l="0" t="0" r="14605" b="1651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43095" cy="24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弹窗展示规则：</w:t>
      </w:r>
    </w:p>
    <w:p>
      <w:p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允许发布</w:t>
      </w:r>
      <w:r>
        <w:rPr>
          <w:rFonts w:hint="eastAsia"/>
          <w:color w:val="FF0000"/>
          <w:lang w:val="en-US" w:eastAsia="zh-CN"/>
        </w:rPr>
        <w:t>多条</w:t>
      </w:r>
      <w:r>
        <w:rPr>
          <w:rFonts w:hint="eastAsia"/>
          <w:lang w:val="en-US" w:eastAsia="zh-CN"/>
        </w:rPr>
        <w:t>弹窗，按修改时间，</w:t>
      </w:r>
      <w:bookmarkStart w:id="0" w:name="_GoBack"/>
      <w:r>
        <w:rPr>
          <w:rFonts w:hint="eastAsia"/>
          <w:color w:val="FF0000"/>
          <w:lang w:val="en-US" w:eastAsia="zh-CN"/>
        </w:rPr>
        <w:t>最新的，最先弹出，点按关闭后，显示下一条弹窗</w:t>
      </w:r>
      <w:bookmarkEnd w:id="0"/>
      <w:r>
        <w:rPr>
          <w:rFonts w:hint="eastAsia"/>
          <w:lang w:val="en-US" w:eastAsia="zh-CN"/>
        </w:rPr>
        <w:t>，实际业务中尽量只有1-2个弹窗同时存在，由运营人工控制</w:t>
      </w:r>
    </w:p>
    <w:p>
      <w:pPr>
        <w:jc w:val="left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【1.2】对应控台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1.2.1广告素材，新建时增加提示弹窗广告尺寸：295*375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675" cy="5367020"/>
            <wp:effectExtent l="0" t="0" r="3175" b="5080"/>
            <wp:docPr id="1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36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1.2.2【业务发布】，广告发布一栏，增加“首页-弹窗”配置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808220" cy="1555750"/>
            <wp:effectExtent l="0" t="0" r="1143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8220" cy="155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首页弹窗发布页面，新增“弹窗频率”和“生效时间”2项配置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8"/>
        <w:gridCol w:w="58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  <w:shd w:val="clear" w:color="auto" w:fill="E7E6E6" w:themeFill="background2"/>
          </w:tcPr>
          <w:p>
            <w:p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配置项</w:t>
            </w:r>
          </w:p>
        </w:tc>
        <w:tc>
          <w:tcPr>
            <w:tcW w:w="5862" w:type="dxa"/>
            <w:shd w:val="clear" w:color="auto" w:fill="E7E6E6" w:themeFill="background2"/>
          </w:tcPr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内容配置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弹窗频率（必填）</w:t>
            </w:r>
          </w:p>
        </w:tc>
        <w:tc>
          <w:tcPr>
            <w:tcW w:w="5862" w:type="dxa"/>
          </w:tcPr>
          <w:p>
            <w:pPr>
              <w:numPr>
                <w:ilvl w:val="0"/>
                <w:numId w:val="5"/>
              </w:num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只弹一次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弹窗只在第一次打开页面的时候显示，关闭后，不再显示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每次打开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每次打开趣办卡首页，弹窗都会显示</w:t>
            </w:r>
          </w:p>
          <w:p>
            <w:pPr>
              <w:numPr>
                <w:ilvl w:val="0"/>
                <w:numId w:val="5"/>
              </w:num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每日打开</w:t>
            </w:r>
          </w:p>
          <w:p>
            <w:pPr>
              <w:numPr>
                <w:ilvl w:val="0"/>
                <w:numId w:val="0"/>
              </w:numPr>
              <w:rPr>
                <w:rFonts w:hint="eastAsia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弹窗每日显示一次，关闭后，当天不再显示；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highlight w:val="none"/>
                <w:lang w:val="en-US" w:eastAsia="zh-CN"/>
              </w:rPr>
            </w:pPr>
            <w:r>
              <w:rPr>
                <w:rFonts w:hint="eastAsia"/>
                <w:highlight w:val="none"/>
                <w:lang w:val="en-US" w:eastAsia="zh-CN"/>
              </w:rPr>
              <w:t>第二天打开，重新显示。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生效时间（必填）</w:t>
            </w:r>
          </w:p>
        </w:tc>
        <w:tc>
          <w:tcPr>
            <w:tcW w:w="5862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只在设置的日期范围内显示弹窗，若超出日期范围，则不显示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18" w:type="dxa"/>
          </w:tcPr>
          <w:p>
            <w:pPr>
              <w:numPr>
                <w:ilvl w:val="0"/>
                <w:numId w:val="0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选择发布对象</w:t>
            </w:r>
          </w:p>
        </w:tc>
        <w:tc>
          <w:tcPr>
            <w:tcW w:w="5862" w:type="dxa"/>
          </w:tcPr>
          <w:p>
            <w:pPr>
              <w:numPr>
                <w:ilvl w:val="0"/>
                <w:numId w:val="6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业务员</w:t>
            </w:r>
          </w:p>
          <w:p>
            <w:pPr>
              <w:numPr>
                <w:ilvl w:val="0"/>
                <w:numId w:val="6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办卡人</w:t>
            </w:r>
          </w:p>
        </w:tc>
      </w:tr>
    </w:tbl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2999740" cy="3034665"/>
            <wp:effectExtent l="0" t="0" r="10160" b="133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99740" cy="3034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1.2.3首页弹窗查询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143635"/>
            <wp:effectExtent l="0" t="0" r="12065" b="18415"/>
            <wp:docPr id="1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【1.3】控台-轮播图配置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【业务发布】-【趣伴卡推广首页广告】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发布页面，选择发布对象更换为两个角色：“业务员”和“办卡人”，不保留“全部”，发布内容只展示给对应的角色，同一个渠道同一个对象，分别有3个位置首页广告，各自展示给业务员、办卡人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835275" cy="2256155"/>
            <wp:effectExtent l="0" t="0" r="3175" b="1079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35275" cy="2256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ind w:left="840" w:leftChars="0"/>
        <w:rPr>
          <w:rFonts w:hint="default"/>
          <w:b/>
          <w:bCs/>
          <w:sz w:val="22"/>
          <w:szCs w:val="28"/>
          <w:lang w:val="en-US" w:eastAsia="zh-CN"/>
        </w:rPr>
      </w:pP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推广海报页面调整二维码大小，增加推广码展示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2962910"/>
            <wp:effectExtent l="0" t="0" r="7620" b="889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推广码使用白色，英文字母+数字，避免0开头</w:t>
      </w:r>
    </w:p>
    <w:p>
      <w:pPr>
        <w:numPr>
          <w:ilvl w:val="0"/>
          <w:numId w:val="0"/>
        </w:numPr>
        <w:rPr>
          <w:rFonts w:hint="eastAsia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二维码大小230*230像素，左上角坐标472*975像素</w:t>
      </w:r>
    </w:p>
    <w:p>
      <w:pPr>
        <w:numPr>
          <w:ilvl w:val="0"/>
          <w:numId w:val="0"/>
        </w:numPr>
        <w:rPr>
          <w:rFonts w:hint="default"/>
          <w:b w:val="0"/>
          <w:bCs w:val="0"/>
          <w:color w:val="FF0000"/>
          <w:lang w:val="en-US" w:eastAsia="zh-CN"/>
        </w:rPr>
      </w:pPr>
      <w:r>
        <w:rPr>
          <w:rFonts w:hint="eastAsia"/>
          <w:b w:val="0"/>
          <w:bCs w:val="0"/>
          <w:color w:val="FF0000"/>
          <w:lang w:val="en-US" w:eastAsia="zh-CN"/>
        </w:rPr>
        <w:t>推广码左上角坐标217*1045像素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default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登录后默认进入推广办卡页面，点击办卡数据后默认进入个人业绩页面</w:t>
      </w:r>
    </w:p>
    <w:p>
      <w:pPr>
        <w:numPr>
          <w:ilvl w:val="0"/>
          <w:numId w:val="4"/>
        </w:numPr>
        <w:ind w:left="840" w:leftChars="0" w:firstLine="0" w:firstLineChars="0"/>
        <w:rPr>
          <w:rFonts w:hint="eastAsia"/>
          <w:b/>
          <w:bCs/>
          <w:sz w:val="22"/>
          <w:szCs w:val="28"/>
          <w:lang w:val="en-US" w:eastAsia="zh-CN"/>
        </w:rPr>
      </w:pPr>
      <w:r>
        <w:rPr>
          <w:rFonts w:hint="eastAsia"/>
          <w:b/>
          <w:bCs/>
          <w:sz w:val="22"/>
          <w:szCs w:val="28"/>
          <w:lang w:val="en-US" w:eastAsia="zh-CN"/>
        </w:rPr>
        <w:t>银行原始数据上传规则更新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4.1</w:t>
      </w:r>
      <w:r>
        <w:rPr>
          <w:rFonts w:hint="eastAsia"/>
          <w:lang w:eastAsia="zh-CN"/>
        </w:rPr>
        <w:t>新增鲢狸华夏银行和信用生活南京银行数据上传，详情见附件。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4.2</w:t>
      </w:r>
      <w:r>
        <w:rPr>
          <w:rFonts w:hint="eastAsia"/>
          <w:lang w:eastAsia="zh-CN"/>
        </w:rPr>
        <w:t>民生银行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若“核卡</w:t>
      </w:r>
      <w:r>
        <w:rPr>
          <w:rFonts w:hint="eastAsia"/>
          <w:lang w:val="en-US" w:eastAsia="zh-CN"/>
        </w:rPr>
        <w:t>30天激活客户数</w:t>
      </w:r>
      <w:r>
        <w:rPr>
          <w:rFonts w:hint="eastAsia"/>
          <w:lang w:eastAsia="zh-CN"/>
        </w:rPr>
        <w:t>”</w:t>
      </w:r>
      <w:r>
        <w:rPr>
          <w:rFonts w:hint="eastAsia"/>
          <w:lang w:val="en-US" w:eastAsia="zh-CN"/>
        </w:rPr>
        <w:t>= 0，则对应到我们的激活状态为“初始化”，如下图所示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188460" cy="1069340"/>
            <wp:effectExtent l="0" t="0" r="2540" b="165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88460" cy="1069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>4.3</w:t>
      </w:r>
      <w:r>
        <w:rPr>
          <w:rFonts w:hint="eastAsia"/>
          <w:lang w:eastAsia="zh-CN"/>
        </w:rPr>
        <w:t>九江银行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1</w:t>
      </w:r>
      <w:r>
        <w:rPr>
          <w:rFonts w:hint="eastAsia"/>
          <w:lang w:eastAsia="zh-CN"/>
        </w:rPr>
        <w:t>）若“是否激活”</w:t>
      </w:r>
      <w:r>
        <w:rPr>
          <w:rFonts w:hint="eastAsia"/>
          <w:lang w:val="en-US" w:eastAsia="zh-CN"/>
        </w:rPr>
        <w:t>= N，则对应到我们的激活状态为“初始化”，如下图所示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2</w:t>
      </w:r>
      <w:r>
        <w:rPr>
          <w:rFonts w:hint="eastAsia"/>
          <w:lang w:eastAsia="zh-CN"/>
        </w:rPr>
        <w:t>）若“审批码”</w:t>
      </w:r>
      <w:r>
        <w:rPr>
          <w:rFonts w:hint="eastAsia"/>
          <w:lang w:val="en-US" w:eastAsia="zh-CN"/>
        </w:rPr>
        <w:t>=“审批中”，则对应到我们的核卡状态为“申请中”，如下图所示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38600" cy="1076325"/>
            <wp:effectExtent l="0" t="0" r="0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38600" cy="1219200"/>
            <wp:effectExtent l="0" t="0" r="0" b="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4.4.1【审批数据上传】，行方流水“</w:t>
      </w:r>
      <w:r>
        <w:rPr>
          <w:rFonts w:hint="eastAsia"/>
          <w:b/>
          <w:bCs/>
          <w:lang w:val="en-US" w:eastAsia="zh-CN"/>
        </w:rPr>
        <w:t>核卡状态</w:t>
      </w:r>
      <w:r>
        <w:rPr>
          <w:rFonts w:hint="eastAsia"/>
          <w:lang w:val="en-US" w:eastAsia="zh-CN"/>
        </w:rPr>
        <w:t>”新增状态“</w:t>
      </w:r>
      <w:r>
        <w:rPr>
          <w:rFonts w:hint="eastAsia"/>
          <w:b/>
          <w:bCs/>
          <w:lang w:val="en-US" w:eastAsia="zh-CN"/>
        </w:rPr>
        <w:t>进件取消</w:t>
      </w:r>
      <w:r>
        <w:rPr>
          <w:rFonts w:hint="eastAsia"/>
          <w:lang w:val="en-US" w:eastAsia="zh-CN"/>
        </w:rPr>
        <w:t>”，如下图所示。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且状态为“</w:t>
      </w:r>
      <w:r>
        <w:rPr>
          <w:rFonts w:hint="eastAsia"/>
          <w:b/>
          <w:bCs/>
          <w:lang w:val="en-US" w:eastAsia="zh-CN"/>
        </w:rPr>
        <w:t>进件取消</w:t>
      </w:r>
      <w:r>
        <w:rPr>
          <w:rFonts w:hint="eastAsia"/>
          <w:lang w:val="en-US" w:eastAsia="zh-CN"/>
        </w:rPr>
        <w:t>”的行方流水不参与数据匹配。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4.4.2标准数据上传，“</w:t>
      </w:r>
      <w:r>
        <w:rPr>
          <w:rFonts w:hint="eastAsia"/>
          <w:b/>
          <w:bCs/>
          <w:lang w:val="en-US" w:eastAsia="zh-CN"/>
        </w:rPr>
        <w:t>核卡状态</w:t>
      </w:r>
      <w:r>
        <w:rPr>
          <w:rFonts w:hint="eastAsia"/>
          <w:lang w:val="en-US" w:eastAsia="zh-CN"/>
        </w:rPr>
        <w:t>”字段需新增枚举值“</w:t>
      </w:r>
      <w:r>
        <w:rPr>
          <w:rFonts w:hint="eastAsia"/>
          <w:b/>
          <w:bCs/>
          <w:lang w:val="en-US" w:eastAsia="zh-CN"/>
        </w:rPr>
        <w:t>4</w:t>
      </w:r>
      <w:r>
        <w:rPr>
          <w:rFonts w:hint="eastAsia"/>
          <w:lang w:val="en-US" w:eastAsia="zh-CN"/>
        </w:rPr>
        <w:t>”，前端展示为“</w:t>
      </w:r>
      <w:r>
        <w:rPr>
          <w:rFonts w:hint="eastAsia"/>
          <w:b/>
          <w:bCs/>
          <w:lang w:val="en-US" w:eastAsia="zh-CN"/>
        </w:rPr>
        <w:t>进件取消</w:t>
      </w:r>
      <w:r>
        <w:rPr>
          <w:rFonts w:hint="eastAsia"/>
          <w:lang w:val="en-US" w:eastAsia="zh-CN"/>
        </w:rPr>
        <w:t>”状态。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097530" cy="1577340"/>
            <wp:effectExtent l="0" t="0" r="7620" b="381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5.Api包前置页去掉短信验证码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"https://gocard.lakala.com/api/channel?c=LKLHXB&amp;u=2&amp;f=lklhxyh0026&amp;b=HXYH&amp;t=10454"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https://gocard.lakala.com/api/channel?c=LKLHXB&amp;u=2&amp;f=lklhxyh0026&amp;b=HXYH&amp;t=10454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"https://gocard.lakala.com/api/channel?c=LKLHXB&amp;u=2&amp;f=lklhxyh0026&amp;b=HXYH&amp;t=10454&amp;s=SIMPLE"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6"/>
          <w:rFonts w:hint="eastAsia"/>
          <w:lang w:val="en-US" w:eastAsia="zh-CN"/>
        </w:rPr>
        <w:t>https://gocard.lakala.com/api/channel?c=LKLHXB&amp;u=2&amp;f=lklhxyh0026&amp;b=HXYH&amp;t=10454&amp;s=SIMPLE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以上两种前置页，去掉发送短信验证码按钮，去掉验证短信验证码过程，输入三要素/手机号后，点击进入申请页，直接进入行方链接</w:t>
      </w:r>
      <w:r>
        <w:rPr>
          <w:rFonts w:hint="eastAsia"/>
          <w:lang w:val="en-US" w:eastAsia="zh-CN"/>
        </w:rPr>
        <w:br w:type="page"/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F7C6882"/>
    <w:multiLevelType w:val="singleLevel"/>
    <w:tmpl w:val="8F7C688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91A8E660"/>
    <w:multiLevelType w:val="singleLevel"/>
    <w:tmpl w:val="91A8E660"/>
    <w:lvl w:ilvl="0" w:tentative="0">
      <w:start w:val="1"/>
      <w:numFmt w:val="decimal"/>
      <w:suff w:val="nothing"/>
      <w:lvlText w:val="%1、"/>
      <w:lvlJc w:val="left"/>
      <w:pPr>
        <w:ind w:left="840"/>
      </w:pPr>
    </w:lvl>
  </w:abstractNum>
  <w:abstractNum w:abstractNumId="2">
    <w:nsid w:val="B6068AF9"/>
    <w:multiLevelType w:val="singleLevel"/>
    <w:tmpl w:val="B6068AF9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EC42D2E5"/>
    <w:multiLevelType w:val="singleLevel"/>
    <w:tmpl w:val="EC42D2E5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3CB6F56B"/>
    <w:multiLevelType w:val="singleLevel"/>
    <w:tmpl w:val="3CB6F56B"/>
    <w:lvl w:ilvl="0" w:tentative="0">
      <w:start w:val="1"/>
      <w:numFmt w:val="decimal"/>
      <w:suff w:val="space"/>
      <w:lvlText w:val="%1."/>
      <w:lvlJc w:val="left"/>
    </w:lvl>
  </w:abstractNum>
  <w:abstractNum w:abstractNumId="5">
    <w:nsid w:val="65E6225B"/>
    <w:multiLevelType w:val="singleLevel"/>
    <w:tmpl w:val="65E6225B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1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3A2458"/>
    <w:rsid w:val="063D0F6D"/>
    <w:rsid w:val="07AC071F"/>
    <w:rsid w:val="0EE24C08"/>
    <w:rsid w:val="0F381D98"/>
    <w:rsid w:val="0F771D24"/>
    <w:rsid w:val="1D7723F4"/>
    <w:rsid w:val="1FD454CD"/>
    <w:rsid w:val="464979A5"/>
    <w:rsid w:val="4C5E6F4E"/>
    <w:rsid w:val="505671C8"/>
    <w:rsid w:val="52792CB3"/>
    <w:rsid w:val="54954E62"/>
    <w:rsid w:val="54FA60FD"/>
    <w:rsid w:val="567E6DD0"/>
    <w:rsid w:val="56F943C8"/>
    <w:rsid w:val="57C37BB6"/>
    <w:rsid w:val="5E561FD6"/>
    <w:rsid w:val="6DB026C0"/>
    <w:rsid w:val="7AA33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FollowedHyperlink"/>
    <w:basedOn w:val="4"/>
    <w:qFormat/>
    <w:uiPriority w:val="0"/>
    <w:rPr>
      <w:color w:val="800080"/>
      <w:u w:val="single"/>
    </w:rPr>
  </w:style>
  <w:style w:type="character" w:styleId="6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2645</Words>
  <Characters>2682</Characters>
  <Lines>0</Lines>
  <Paragraphs>0</Paragraphs>
  <TotalTime>108</TotalTime>
  <ScaleCrop>false</ScaleCrop>
  <LinksUpToDate>false</LinksUpToDate>
  <CharactersWithSpaces>2683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2021-09-23T09:10:00Z</dcterms:created>
  <dc:creator>风过之痕</dc:creator>
  <cp:lastModifiedBy>风过之痕</cp:lastModifiedBy>
  <dcterms:modified xsi:type="dcterms:W3CDTF">2021-10-26T05:37:13Z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9FE171FF77A54A3DAA71260E12477D75</vt:lpwstr>
  </property>
</Properties>
</file>