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结算单向外部合作渠道推送需求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趣伴卡</w:t>
      </w:r>
      <w:r>
        <w:rPr>
          <w:rFonts w:hint="eastAsia"/>
          <w:lang w:val="en-US" w:eastAsia="zh-Hans"/>
        </w:rPr>
        <w:t>外部渠道</w:t>
      </w:r>
      <w:r>
        <w:rPr>
          <w:rFonts w:hint="eastAsia"/>
          <w:lang w:val="en-US" w:eastAsia="zh-CN"/>
        </w:rPr>
        <w:t>结算文件</w:t>
      </w:r>
      <w:r>
        <w:rPr>
          <w:rFonts w:hint="eastAsia"/>
          <w:lang w:val="en-US" w:eastAsia="zh-Hans"/>
        </w:rPr>
        <w:t>每日</w:t>
      </w:r>
      <w:r>
        <w:rPr>
          <w:rFonts w:hint="eastAsia"/>
          <w:lang w:val="en-US" w:eastAsia="zh-CN"/>
        </w:rPr>
        <w:t>生成，导致了结算的滞后，很多已经达到结算标准的订单无法实时入账，用户体验较差。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为改善</w:t>
      </w:r>
      <w:r>
        <w:rPr>
          <w:rFonts w:hint="eastAsia"/>
          <w:lang w:val="en-US" w:eastAsia="zh-Hans"/>
        </w:rPr>
        <w:t>外部渠道用户</w:t>
      </w:r>
      <w:r>
        <w:rPr>
          <w:rFonts w:hint="eastAsia"/>
          <w:lang w:val="en-US" w:eastAsia="zh-CN"/>
        </w:rPr>
        <w:t>体验，需将结算</w:t>
      </w:r>
      <w:r>
        <w:rPr>
          <w:rFonts w:hint="eastAsia"/>
          <w:lang w:val="en-US" w:eastAsia="zh-Hans"/>
        </w:rPr>
        <w:t>改为实时通知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需求详细说明</w:t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渠道管理增加实时结算开关、推送通知地址配置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87286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渠道管理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渠道信息管理页面将操作栏折叠为二级菜单，操作栏保留启用禁用按钮，逻辑不变，按钮右侧增加下拉箭头，点击后弹出二级菜单，菜单内容如下：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修改、公众号管理、查看密钥、展业版配置、</w:t>
      </w:r>
      <w:r>
        <w:rPr>
          <w:rFonts w:hint="eastAsia"/>
          <w:color w:val="FF0000"/>
          <w:lang w:val="en-US" w:eastAsia="zh-Hans"/>
        </w:rPr>
        <w:t>外接配置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外接配置弹窗中展示渠道名称，可定义实时结算启用、禁用，可填写通知地址。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实时结算启用时，通知地址可填写并置为必填；实时结算禁用时，通知地址置灰不可修改。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结算表复核增加重新推送按钮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2357120"/>
            <wp:effectExtent l="0" t="0" r="1206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业务员结算表复核菜单增加操作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重新推送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对所有已审核的结算单均展示该按钮，点击后对该数据发起推送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2494280"/>
            <wp:effectExtent l="0" t="0" r="9525" b="203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产品管理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结算表复核菜单增加操作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重新推送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对所有已审核的结算单均展示该按钮，点击后对该数据发起推送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74310" cy="1795780"/>
            <wp:effectExtent l="0" t="0" r="889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用卡评测结算表复核菜单增加操作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重新推送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对所有达标状态为已达标的结算单展示该按钮，点以后对该数据发起推送</w:t>
      </w:r>
      <w:bookmarkStart w:id="0" w:name="_GoBack"/>
      <w:bookmarkEnd w:id="0"/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发放状态</w:t>
      </w:r>
      <w:r>
        <w:rPr>
          <w:rFonts w:hint="eastAsia"/>
          <w:lang w:val="en-US" w:eastAsia="zh-Hans"/>
        </w:rPr>
        <w:t>处理逻辑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发放状态枚举值</w:t>
      </w:r>
      <w:r>
        <w:rPr>
          <w:rFonts w:hint="eastAsia"/>
          <w:lang w:val="en-US" w:eastAsia="zh-Hans"/>
        </w:rPr>
        <w:t>为：未发放、已发放、不发放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原定所有外接推客均为不发放，修改为根据</w:t>
      </w:r>
      <w:r>
        <w:rPr>
          <w:rFonts w:hint="default"/>
          <w:lang w:eastAsia="zh-Hans"/>
        </w:rPr>
        <w:t>1.1</w:t>
      </w:r>
      <w:r>
        <w:rPr>
          <w:rFonts w:hint="eastAsia"/>
          <w:lang w:val="en-US" w:eastAsia="zh-Hans"/>
        </w:rPr>
        <w:t>中的开关处理，若实时结算为启用，则结算单默认未发放，发放成功后改为已发放；若实时结算为禁用，则结算状态为不发放。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业务流程说明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若该条结算数据的匹配类型为“系统匹配”，则在系统生成该条结算数据后，发放状态默认为“初始化”，需立即将该条结算数据通过接口推送给</w:t>
      </w:r>
      <w:r>
        <w:rPr>
          <w:rFonts w:hint="eastAsia"/>
          <w:lang w:val="en-US" w:eastAsia="zh-Hans"/>
        </w:rPr>
        <w:t>外部渠道的推送地址</w:t>
      </w:r>
      <w:r>
        <w:rPr>
          <w:rFonts w:hint="eastAsia"/>
          <w:lang w:val="en-US" w:eastAsia="zh-CN"/>
        </w:rPr>
        <w:t>，若</w:t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推送</w:t>
      </w:r>
      <w:r>
        <w:rPr>
          <w:rFonts w:hint="eastAsia"/>
          <w:lang w:val="en-US" w:eastAsia="zh-Hans"/>
        </w:rPr>
        <w:t>收到</w:t>
      </w:r>
      <w:r>
        <w:rPr>
          <w:rFonts w:hint="eastAsia"/>
          <w:lang w:val="en-US" w:eastAsia="zh-CN"/>
        </w:rPr>
        <w:t>成功，则将发放状态置为“发放成功”；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若推送</w:t>
      </w:r>
      <w:r>
        <w:rPr>
          <w:rFonts w:hint="eastAsia"/>
          <w:lang w:val="en-US" w:eastAsia="zh-Hans"/>
        </w:rPr>
        <w:t>明确返回</w:t>
      </w:r>
      <w:r>
        <w:rPr>
          <w:rFonts w:hint="eastAsia"/>
          <w:lang w:val="en-US" w:eastAsia="zh-CN"/>
        </w:rPr>
        <w:t>失败，则将发放状态置为“发放失败”。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若该条结算数据的匹配类型为“手动匹配”，则在系统生成该条结算数据后，发放状态置为“待复核”；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人工确认无误后，点击“人工复核”按钮，弹窗提示“请确认结算复核数据”，点击“确认”，则将所有发放状态为“待复核”的结算数据状态置为“已复核”，且同时通过接口推送给</w:t>
      </w:r>
      <w:r>
        <w:rPr>
          <w:rFonts w:hint="eastAsia"/>
          <w:lang w:val="en-US" w:eastAsia="zh-Hans"/>
        </w:rPr>
        <w:t>外部渠道的推送地址</w:t>
      </w:r>
      <w:r>
        <w:rPr>
          <w:rFonts w:hint="eastAsia"/>
          <w:lang w:val="en-US" w:eastAsia="zh-CN"/>
        </w:rPr>
        <w:t>，若推送成功，则发放状态置为“发放成功”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若推送失败，则将发放状态置为“发放失败”</w:t>
      </w:r>
      <w:r>
        <w:rPr>
          <w:rFonts w:hint="eastAsia"/>
          <w:lang w:val="en-US" w:eastAsia="zh-Hans"/>
        </w:rPr>
        <w:t>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对于“发放失败”的结算数据，需要定时跑批重新推送</w:t>
      </w:r>
      <w:r>
        <w:rPr>
          <w:rFonts w:hint="eastAsia"/>
          <w:lang w:val="en-US" w:eastAsia="zh-Hans"/>
        </w:rPr>
        <w:t>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推送数据为加密信息，需使用渠道对应签名密钥进行解密获取明文后进行业务处理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结算数据推送接口字段定义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6220"/>
      </w:tblGrid>
      <w:tr>
        <w:tc>
          <w:tcPr>
            <w:tcW w:w="2302" w:type="dxa"/>
            <w:shd w:val="clear" w:color="auto" w:fill="2E75B5" w:themeFill="accent1" w:themeFillShade="BF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6220" w:type="dxa"/>
            <w:shd w:val="clear" w:color="auto" w:fill="2E75B5" w:themeFill="accent1" w:themeFillShade="BF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结算单号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唯一标识符，每一条结算数据对应唯一的序号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Channel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业务员编号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奖励的发放对象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团队</w:t>
            </w: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奖励所属的团队编号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结算金额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奖励的发放金额</w:t>
            </w:r>
            <w:r>
              <w:rPr>
                <w:rFonts w:hint="eastAsia"/>
                <w:vertAlign w:val="baseline"/>
                <w:lang w:val="en-US" w:eastAsia="zh-Hans"/>
              </w:rPr>
              <w:t>，单位元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结算日期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YYYYMMDD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CREDIT</w:t>
            </w:r>
            <w:r>
              <w:rPr>
                <w:rFonts w:hint="eastAsia"/>
                <w:vertAlign w:val="baseline"/>
                <w:lang w:val="en-US" w:eastAsia="zh-CN"/>
              </w:rPr>
              <w:t>（信用卡）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DEBIT</w:t>
            </w:r>
            <w:r>
              <w:rPr>
                <w:rFonts w:hint="eastAsia"/>
                <w:vertAlign w:val="baseline"/>
                <w:lang w:val="en-US" w:eastAsia="zh-CN"/>
              </w:rPr>
              <w:t>（借记卡）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LOAN</w:t>
            </w:r>
            <w:r>
              <w:rPr>
                <w:rFonts w:hint="eastAsia"/>
                <w:vertAlign w:val="baseline"/>
                <w:lang w:val="en-US" w:eastAsia="zh-CN"/>
              </w:rPr>
              <w:t>（贷款）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INSURANCE</w:t>
            </w:r>
            <w:r>
              <w:rPr>
                <w:rFonts w:hint="eastAsia"/>
                <w:vertAlign w:val="baseline"/>
                <w:lang w:val="en-US" w:eastAsia="zh-CN"/>
              </w:rPr>
              <w:t>（保险）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TESTING</w:t>
            </w:r>
            <w:r>
              <w:rPr>
                <w:rFonts w:hint="eastAsia"/>
                <w:vertAlign w:val="baseline"/>
                <w:lang w:val="en-US" w:eastAsia="zh-CN"/>
              </w:rPr>
              <w:t>（用卡评测）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INVITE</w:t>
            </w:r>
            <w:r>
              <w:rPr>
                <w:rFonts w:hint="eastAsia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拉新</w:t>
            </w:r>
            <w:r>
              <w:rPr>
                <w:rFonts w:hint="eastAsia"/>
                <w:vertAlign w:val="baseline"/>
                <w:lang w:eastAsia="zh-Hans"/>
              </w:rPr>
              <w:t>）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产品编码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若产品类型为信用卡/借记卡，则为银行编码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若产品类型为贷款，则为贷款产品编码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若产品类型为保险，则为保险产品编码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若产品类型为用卡评测，则为空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、若产品类型为贷款，则为贷款产品名称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、若产品类型为保险，则为保险产品名称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、若产品类型为用卡评测，则直接推送“用卡评测”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CN"/>
              </w:rPr>
              <w:t>4</w:t>
            </w:r>
            <w:r>
              <w:rPr>
                <w:rFonts w:hint="eastAsia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若产品类型为拉新，则为拉新产品名称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银行名称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产品类型为信用卡、借记卡时有值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银行编码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产品类型为信用卡、借记卡时有值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卡片编码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产品类型为信用卡、借记卡时有值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卡片</w:t>
            </w: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只有当产品类型为信用卡/借记卡时，才会传送卡片名称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</w:t>
            </w:r>
            <w:r>
              <w:rPr>
                <w:rFonts w:hint="eastAsia"/>
                <w:vertAlign w:val="baseline"/>
                <w:lang w:val="en-US" w:eastAsia="zh-Hans"/>
              </w:rPr>
              <w:t>流水号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内部订单号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对应订单数据中的唯一键，每个订单号最多对应两个结算单号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订单创建时间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订单创建时间</w:t>
            </w:r>
            <w:r>
              <w:rPr>
                <w:rFonts w:hint="default"/>
                <w:vertAlign w:val="baseline"/>
                <w:lang w:eastAsia="zh-CN"/>
              </w:rPr>
              <w:t>YYYYMMDDHHMMSS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收益类型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01,</w:t>
            </w:r>
            <w:r>
              <w:rPr>
                <w:rFonts w:hint="eastAsia"/>
                <w:vertAlign w:val="baseline"/>
                <w:lang w:val="en-US" w:eastAsia="zh-CN"/>
              </w:rPr>
              <w:t>推广收益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02,</w:t>
            </w:r>
            <w:r>
              <w:rPr>
                <w:rFonts w:hint="eastAsia"/>
                <w:vertAlign w:val="baseline"/>
                <w:lang w:val="en-US" w:eastAsia="zh-CN"/>
              </w:rPr>
              <w:t>客户经营收益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结算类型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0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  <w:r>
              <w:rPr>
                <w:rFonts w:hint="eastAsia"/>
                <w:vertAlign w:val="baseline"/>
                <w:lang w:val="en-US" w:eastAsia="zh-CN"/>
              </w:rPr>
              <w:t>一级结算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1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  <w:r>
              <w:rPr>
                <w:rFonts w:hint="eastAsia"/>
                <w:vertAlign w:val="baseline"/>
                <w:lang w:val="en-US" w:eastAsia="zh-CN"/>
              </w:rPr>
              <w:t>二级结算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申请人姓名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原订单申请人脱敏姓名信息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申请人手机号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原订单申请人脱敏手机号信息</w:t>
            </w:r>
          </w:p>
        </w:tc>
      </w:tr>
      <w:tr>
        <w:tc>
          <w:tcPr>
            <w:tcW w:w="2302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申请人身份证</w:t>
            </w:r>
          </w:p>
        </w:tc>
        <w:tc>
          <w:tcPr>
            <w:tcW w:w="62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原订单申请人脱敏身份证信息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1BC66C"/>
    <w:multiLevelType w:val="multilevel"/>
    <w:tmpl w:val="8D1BC66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991587D"/>
    <w:multiLevelType w:val="singleLevel"/>
    <w:tmpl w:val="D991587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32024F7"/>
    <w:multiLevelType w:val="singleLevel"/>
    <w:tmpl w:val="532024F7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5B030336"/>
    <w:rsid w:val="00991ADF"/>
    <w:rsid w:val="035B12CD"/>
    <w:rsid w:val="062C51A3"/>
    <w:rsid w:val="075E138C"/>
    <w:rsid w:val="09F61F99"/>
    <w:rsid w:val="0A6B3360"/>
    <w:rsid w:val="0D277796"/>
    <w:rsid w:val="0EEE56EB"/>
    <w:rsid w:val="0F2E43C3"/>
    <w:rsid w:val="100C43E6"/>
    <w:rsid w:val="177B2C5F"/>
    <w:rsid w:val="18CF5544"/>
    <w:rsid w:val="1C35741C"/>
    <w:rsid w:val="1CD6370F"/>
    <w:rsid w:val="1DEF6D8A"/>
    <w:rsid w:val="1FFF1700"/>
    <w:rsid w:val="21E62252"/>
    <w:rsid w:val="22B3482A"/>
    <w:rsid w:val="23604043"/>
    <w:rsid w:val="258411BE"/>
    <w:rsid w:val="271B5B06"/>
    <w:rsid w:val="281E051E"/>
    <w:rsid w:val="28F60FCD"/>
    <w:rsid w:val="2A111DD8"/>
    <w:rsid w:val="2CA830F5"/>
    <w:rsid w:val="327318E0"/>
    <w:rsid w:val="3911775D"/>
    <w:rsid w:val="3BBD3BCC"/>
    <w:rsid w:val="40251D89"/>
    <w:rsid w:val="415817A6"/>
    <w:rsid w:val="442D72C6"/>
    <w:rsid w:val="46357180"/>
    <w:rsid w:val="49553696"/>
    <w:rsid w:val="522D51B0"/>
    <w:rsid w:val="537D3F15"/>
    <w:rsid w:val="55767A3B"/>
    <w:rsid w:val="55E97640"/>
    <w:rsid w:val="574D4486"/>
    <w:rsid w:val="596A0EAC"/>
    <w:rsid w:val="5B030336"/>
    <w:rsid w:val="5C414E49"/>
    <w:rsid w:val="5E191FAF"/>
    <w:rsid w:val="6280757E"/>
    <w:rsid w:val="62B64561"/>
    <w:rsid w:val="65110961"/>
    <w:rsid w:val="65F938CF"/>
    <w:rsid w:val="66D165FA"/>
    <w:rsid w:val="68B00491"/>
    <w:rsid w:val="6C2C153B"/>
    <w:rsid w:val="6C570976"/>
    <w:rsid w:val="702F62F3"/>
    <w:rsid w:val="74DE3163"/>
    <w:rsid w:val="74F05E91"/>
    <w:rsid w:val="7793727A"/>
    <w:rsid w:val="77F3BB53"/>
    <w:rsid w:val="7A412AB0"/>
    <w:rsid w:val="7AF55D43"/>
    <w:rsid w:val="7B8C3398"/>
    <w:rsid w:val="7BD16F42"/>
    <w:rsid w:val="7BD561ED"/>
    <w:rsid w:val="7DF804B8"/>
    <w:rsid w:val="7FBF0A44"/>
    <w:rsid w:val="7FBFE1D4"/>
    <w:rsid w:val="DF498763"/>
    <w:rsid w:val="FF1EF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2095</Words>
  <Characters>2141</Characters>
  <Lines>0</Lines>
  <Paragraphs>0</Paragraphs>
  <TotalTime>5</TotalTime>
  <ScaleCrop>false</ScaleCrop>
  <LinksUpToDate>false</LinksUpToDate>
  <CharactersWithSpaces>2153</CharactersWithSpaces>
  <Application>WPS Office_5.1.0.7657_F1E327BC-269C-435d-A152-05C5408002CA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2022-11-02T06:39:00Z</dcterms:created>
  <dc:creator>WPS_1622707002</dc:creator>
  <cp:lastModifiedBy>风过之痕</cp:lastModifiedBy>
  <dcterms:modified xsi:type="dcterms:W3CDTF">2023-04-07T17:01:25Z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2052-5.1.0.7657</vt:lpwstr>
  </property>
  <property fmtid="{D5CDD505-2E9C-101B-9397-08002B2CF9AE}" pid="3" name="ICV">
    <vt:lpwstr>BCDF2FA8139E41189836B1C743E78B67</vt:lpwstr>
  </property>
</Properties>
</file>