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2"/>
        <w:keepNext/>
        <w:jc w:val="center"/>
        <w:outlineLvl w:val="9"/>
        <w:rPr>
          <w:rFonts w:hint="eastAsia"/>
          <w:sz w:val="36"/>
          <w:szCs w:val="36"/>
          <w:lang w:val="en-US" w:eastAsia="zh-Hans"/>
        </w:rPr>
      </w:pPr>
      <w:r>
        <w:rPr>
          <w:rFonts w:hint="eastAsia"/>
          <w:sz w:val="36"/>
          <w:szCs w:val="36"/>
          <w:lang w:val="en-US" w:eastAsia="zh-Hans"/>
        </w:rPr>
        <w:t>趣商圈公众号需求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right="0" w:firstLine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业务背景：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为商圈模式奠定基础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为大屏音箱赋能</w:t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产品逻辑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</w:pPr>
      <w:r>
        <w:drawing>
          <wp:inline distT="0" distB="0" distL="114300" distR="114300">
            <wp:extent cx="5909945" cy="3500120"/>
            <wp:effectExtent l="0" t="0" r="8255" b="508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趣伴卡商圈围绕实体商户场景，整合联合收单、银行发卡活动、银行促活诉求，形成全新的四方收益分配体系，构建场景获客-流量变现的解决方案。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通过商户广告、推广为银行提供优质的商圈客群客户，帮助银行完成拓新、促活目标；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通过对银行客户定向营销为商户引流，提高客户覆盖与吸引力；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rPr>
          <w:rFonts w:hint="default"/>
          <w:lang w:eastAsia="zh-Hans"/>
        </w:rPr>
        <w:t>通过丰富的银行产品、商户服务为客户提供切实的优惠与高价值的产品和服务，满足客户的需求</w:t>
      </w:r>
      <w:r>
        <w:rPr>
          <w:rFonts w:hint="eastAsia"/>
          <w:lang w:eastAsia="zh-Hans"/>
        </w:rPr>
        <w:t>。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/>
          <w:lang w:eastAsia="zh-Hans"/>
        </w:rPr>
      </w:pPr>
      <w:r>
        <w:drawing>
          <wp:inline distT="0" distB="0" distL="114300" distR="114300">
            <wp:extent cx="6308725" cy="4511040"/>
            <wp:effectExtent l="0" t="0" r="1587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商户通过商圈后台入驻后，可获取广告点位二维码或营业员推广码，使用推广码让客户扫码，客户可进入趣商圈公众号或活动落地页；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客户通过落地页参与活动，办理信用卡或其他产品，达标后可在趣商圈公众号收到活动券码，领取后即可到店消费使用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eastAsia="zh-Hans"/>
        </w:rPr>
        <w:t>；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Chars="0" w:right="0" w:rightChars="0"/>
        <w:jc w:val="left"/>
        <w:outlineLvl w:val="9"/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</w:pP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银行提供产品、数据给到趣伴卡，录入控台后，实现产品投放、分润发放、活动奖励发放。</w:t>
      </w: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</w:p>
    <w:p>
      <w:pP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第一期！仅向商户端提供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t>趣商圈</w:t>
      </w: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val="en-US" w:eastAsia="zh-Hans" w:bidi="ar"/>
        </w:rPr>
        <w:t>公众号推广功能，发券部分为迭代需求！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kern w:val="0"/>
          <w:sz w:val="28"/>
          <w:szCs w:val="28"/>
          <w:u w:val="none"/>
          <w:lang w:eastAsia="zh-Hans" w:bidi="ar"/>
        </w:rPr>
        <w:br w:type="page"/>
      </w:r>
    </w:p>
    <w:p>
      <w:pPr>
        <w:pStyle w:val="17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0" w:lineRule="atLeast"/>
        <w:ind w:left="0" w:leftChars="0" w:right="0" w:firstLine="0" w:firstLineChars="0"/>
        <w:jc w:val="left"/>
        <w:outlineLvl w:val="0"/>
        <w:rPr>
          <w:rFonts w:hint="eastAsia" w:cs="Arial"/>
          <w:b/>
          <w:color w:val="auto"/>
          <w:sz w:val="21"/>
          <w:szCs w:val="22"/>
          <w:lang w:val="en-US" w:eastAsia="zh-Hans" w:bidi="ar-SA"/>
        </w:rPr>
      </w:pPr>
      <w:r>
        <w:rPr>
          <w:rFonts w:hint="eastAsia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  <w:lang w:val="en-US" w:eastAsia="zh-Hans"/>
        </w:rPr>
        <w:t>需求内容</w:t>
      </w:r>
      <w:r>
        <w:rPr>
          <w:rFonts w:hint="default" w:ascii="Lucida Grande" w:hAnsi="Lucida Grande" w:eastAsia="Lucida Grande" w:cs="Lucida Grande"/>
          <w:i w:val="0"/>
          <w:iCs w:val="0"/>
          <w:caps w:val="0"/>
          <w:color w:val="333333"/>
          <w:spacing w:val="0"/>
          <w:sz w:val="28"/>
          <w:szCs w:val="28"/>
          <w:u w:val="none"/>
        </w:rPr>
        <w:t>：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公众号基础配置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菜单栏：首页、帮助中心、在线客服。除首页外不需要链接支持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欢迎语：使用统一纯文本欢迎语。</w:t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20"/>
          <w:szCs w:val="28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登录绑定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进入菜单栏首页时优先使用微信openid登录，若openid没有对应的用户，进入登录页面。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由用户选择商户登录或店员登录，均为填写手机号验证码，商户登录时，若验证码正确，则在商户查询（由拓客saas提供的新接口）中寻找手机号对应商户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，用户可选择其中的商户进行绑定；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若用户选择未绑定的商户，则将当前openid与用户绑定，后续再打开时直接完成登录；</w:t>
      </w:r>
      <w:r>
        <w:rPr>
          <w:rFonts w:hint="eastAsia" w:ascii="PingFang SC" w:hAnsi="PingFang SC" w:cs="Arial"/>
          <w:b w:val="0"/>
          <w:color w:val="auto"/>
          <w:sz w:val="20"/>
          <w:szCs w:val="28"/>
          <w:lang w:val="en-US" w:eastAsia="zh-Hans" w:bidi="ar-SA"/>
        </w:rPr>
        <w:t>如果选择已绑定的商户，则解除原绑定关系，将当前微信用户与选择的商户绑定</w:t>
      </w:r>
    </w:p>
    <w:p>
      <w:pPr>
        <w:pStyle w:val="17"/>
        <w:keepNext w:val="0"/>
        <w:keepLines w:val="0"/>
        <w:widowControl/>
        <w:numPr>
          <w:ilvl w:val="3"/>
          <w:numId w:val="2"/>
        </w:numPr>
        <w:suppressLineNumbers w:val="0"/>
        <w:spacing w:before="0" w:beforeAutospacing="0" w:after="0" w:afterAutospacing="0" w:line="30" w:lineRule="atLeast"/>
        <w:ind w:left="168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一个merNO只对应一个userID，对应一个有效的openid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手机号字段未填写完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11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个数字时，获取验证码按钮为灰色且不可点击，填写完成后变为高亮色并允许点击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任何情况验证码错误时，toast提示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“验证码错误，请核实后重试”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若填写的手机号在当前渠道对应用户处于冻结状态的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eastAsia="zh-Hans" w:bidi="ar-SA"/>
        </w:rPr>
        <w:t>业务员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登录时toast提示：</w:t>
      </w: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“您的账户已被冻结”。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/>
          <w:bCs/>
          <w:color w:val="auto"/>
          <w:sz w:val="20"/>
          <w:szCs w:val="28"/>
          <w:lang w:val="en-US" w:eastAsia="zh-Hans" w:bidi="ar-SA"/>
        </w:rPr>
        <w:t>若填写的手机号未找到商户，则提示“当前手机号无对应商户，请核实后重试”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绑定成功，若无拓客帐号则根据商户号创建一代帐号，挂在虚拟一代下，并进入首页；若已有拓客帐号，则完成绑定并进入首页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用户选择店员登录，输入手机号验证码后，若验证码正确，在趣伴卡该渠道所有非一代用户中查找是否存在，若存在则登录绑定；若不存在，提示用户“</w:t>
      </w:r>
      <w:r>
        <w:rPr>
          <w:rFonts w:hint="default" w:ascii="Times New Roman Bold" w:hAnsi="Times New Roman Bold" w:cs="Times New Roman Bold"/>
          <w:b/>
          <w:bCs/>
          <w:color w:val="auto"/>
          <w:sz w:val="21"/>
          <w:szCs w:val="32"/>
          <w:lang w:val="en-US" w:eastAsia="zh-Hans" w:bidi="ar-SA"/>
        </w:rPr>
        <w:t>当前手机号未注册，请更换后再试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商户选择页面，商户名称按第一个字的拼音首字母正序排列</w:t>
      </w: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720" w:leftChars="0" w:right="0" w:rightChars="0" w:firstLine="720" w:firstLineChars="0"/>
        <w:jc w:val="left"/>
        <w:outlineLvl w:val="9"/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right="0" w:rightChars="0"/>
        <w:jc w:val="left"/>
        <w:outlineLvl w:val="9"/>
      </w:pPr>
      <w:r>
        <w:drawing>
          <wp:inline distT="0" distB="0" distL="114300" distR="114300">
            <wp:extent cx="1800225" cy="3862705"/>
            <wp:effectExtent l="0" t="0" r="3175" b="234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0700" cy="3857625"/>
            <wp:effectExtent l="0" t="0" r="12700" b="317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                  </w:t>
      </w:r>
      <w:r>
        <w:drawing>
          <wp:inline distT="0" distB="0" distL="114300" distR="114300">
            <wp:extent cx="1786255" cy="3843655"/>
            <wp:effectExtent l="0" t="0" r="17145" b="171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店员注册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自动带出二维码的邀请码，不可修改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只允许未注册的手机号注册，已注册的手机填写完正确的验证码后，注册时toast提示：“当前手机号已注册，请更换后重新注册”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注册成功后，展示渠道对应的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公众号二维码，引导用户关注</w:t>
      </w: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趣商圈</w:t>
      </w: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公众号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用户的手机号为渠道独占（同一个手机号在不同渠道可以注册单独的用户，保护期内不允许跨渠道注册第二个用户，保护期可按渠道配置）toast提示：“当前手机号暂无法注册新用户”</w:t>
      </w:r>
    </w:p>
    <w:p>
      <w:pPr>
        <w:pStyle w:val="17"/>
        <w:keepNext w:val="0"/>
        <w:keepLines w:val="0"/>
        <w:widowControl/>
        <w:numPr>
          <w:ilvl w:val="2"/>
          <w:numId w:val="2"/>
        </w:numPr>
        <w:suppressLineNumbers w:val="0"/>
        <w:spacing w:before="0" w:beforeAutospacing="0" w:after="0" w:afterAutospacing="0" w:line="30" w:lineRule="atLeast"/>
        <w:ind w:left="1260" w:leftChars="0" w:right="0" w:hanging="420" w:firstLineChars="0"/>
        <w:jc w:val="left"/>
        <w:outlineLvl w:val="9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ascii="PingFang SC" w:hAnsi="PingFang SC" w:cs="Arial"/>
          <w:b w:val="0"/>
          <w:color w:val="auto"/>
          <w:sz w:val="18"/>
          <w:szCs w:val="24"/>
          <w:lang w:val="en-US" w:eastAsia="zh-Hans" w:bidi="ar-SA"/>
        </w:rPr>
        <w:t>注册成功后，展示关注“渠道名称”的二维码页面，用户可通过该二维码关注公众号并绑定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471420" cy="5318125"/>
            <wp:effectExtent l="0" t="0" r="177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67610" cy="5338445"/>
            <wp:effectExtent l="0" t="0" r="21590" b="209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533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br w:type="page"/>
      </w: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cs="Arial"/>
          <w:b/>
          <w:color w:val="auto"/>
          <w:sz w:val="22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2"/>
          <w:szCs w:val="24"/>
          <w:lang w:val="en-US" w:eastAsia="zh-Hans" w:bidi="ar-SA"/>
        </w:rPr>
        <w:t>首页</w:t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3.1</w:t>
      </w:r>
      <w:r>
        <w:rPr>
          <w:rFonts w:hint="eastAsia"/>
          <w:lang w:val="en-US" w:eastAsia="zh-CN"/>
        </w:rPr>
        <w:t>广告位轮播图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后台配置</w:t>
      </w:r>
      <w:r>
        <w:rPr>
          <w:rFonts w:hint="eastAsia"/>
          <w:lang w:val="en-US" w:eastAsia="zh-Hans"/>
        </w:rPr>
        <w:t>使用推客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轮播图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推客首页对应渠道配置内容</w:t>
      </w:r>
      <w:r>
        <w:rPr>
          <w:rFonts w:hint="eastAsia"/>
          <w:lang w:val="en-US" w:eastAsia="zh-CN"/>
        </w:rPr>
        <w:t>，前端</w:t>
      </w:r>
      <w:r>
        <w:rPr>
          <w:rFonts w:hint="eastAsia"/>
          <w:lang w:val="en-US" w:eastAsia="zh-Hans"/>
        </w:rPr>
        <w:t>展示轮播图同推客首页轮播图规格</w:t>
      </w:r>
      <w:r>
        <w:rPr>
          <w:rFonts w:hint="eastAsia"/>
          <w:lang w:val="en-US" w:eastAsia="zh-CN"/>
        </w:rPr>
        <w:t>，最多8张图轮播。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5498465"/>
            <wp:effectExtent l="0" t="0" r="1778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54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3.2</w:t>
      </w:r>
      <w:r>
        <w:rPr>
          <w:rFonts w:hint="eastAsia"/>
          <w:lang w:val="en-US" w:eastAsia="zh-CN"/>
        </w:rPr>
        <w:t xml:space="preserve"> 全产品推广海报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点击“全产品推广海报”入口，进入到推广二维码展示页，推广海报图后台可配置。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长按图片可保存大屏海报图。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扫描海报二维码图片后，跳转到C端全产品申请列表页。如下右图所示，列表页不展示卡片标签。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935" distR="114935">
            <wp:extent cx="2604135" cy="4729480"/>
            <wp:effectExtent l="0" t="0" r="12065" b="203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935" distR="114935">
            <wp:extent cx="2526030" cy="4740910"/>
            <wp:effectExtent l="0" t="0" r="1397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eastAsia="zh-CN"/>
        </w:rPr>
        <w:t>3.3</w:t>
      </w:r>
      <w:r>
        <w:rPr>
          <w:rFonts w:hint="eastAsia"/>
          <w:b/>
          <w:bCs/>
          <w:lang w:val="en-US" w:eastAsia="zh-CN"/>
        </w:rPr>
        <w:t>大屏海报图后台配置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【推客推广素材配置】，新增/修改素材页面，海报类型新增三种类型“产品大屏推广海报”、“全产品推广海报”、“全产品大屏推广海报”。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“产品大屏推广海报”配置页面与“产品推广海报”一致。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海报图尺寸：800 * 960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选择“全产品推广海报”，则展示以下配置项，如下图所示。全产品推广页面的海报图，不再取银行通用海报，而是取全产品推广海报的配置图。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5575300"/>
            <wp:effectExtent l="0" t="0" r="1079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选择“全产品大屏推广海报”，则展示以下配置项，如下图所示。趣商圈全产品推广页面的大屏海报图，使用该配置。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656580"/>
            <wp:effectExtent l="0" t="0" r="9525" b="762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5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br w:type="page"/>
      </w: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</w:t>
      </w:r>
      <w:r>
        <w:rPr>
          <w:rFonts w:hint="default"/>
          <w:lang w:eastAsia="zh-CN"/>
        </w:rPr>
        <w:t>4</w:t>
      </w:r>
      <w:r>
        <w:rPr>
          <w:rFonts w:hint="eastAsia"/>
          <w:lang w:val="en-US" w:eastAsia="zh-CN"/>
        </w:rPr>
        <w:t xml:space="preserve"> 活动规则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CN"/>
        </w:rPr>
        <w:t>点击“活动规则”入口，进入到活动规则静态页面，展示趣商圈的玩法和规则</w:t>
      </w:r>
      <w:r>
        <w:rPr>
          <w:rFonts w:hint="eastAsia"/>
          <w:lang w:val="en-US" w:eastAsia="zh-Hans"/>
        </w:rPr>
        <w:t>。</w:t>
      </w:r>
    </w:p>
    <w:p>
      <w:pPr>
        <w:bidi w:val="0"/>
        <w:jc w:val="left"/>
        <w:rPr>
          <w:rFonts w:hint="default"/>
          <w:lang w:eastAsia="zh-Hans"/>
        </w:rPr>
      </w:pPr>
    </w:p>
    <w:p>
      <w:pPr>
        <w:numPr>
          <w:ilvl w:val="0"/>
          <w:numId w:val="0"/>
        </w:numPr>
        <w:outlineLvl w:val="2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3</w:t>
      </w:r>
      <w:r>
        <w:rPr>
          <w:rFonts w:hint="eastAsia"/>
          <w:lang w:val="en-US" w:eastAsia="zh-CN"/>
        </w:rPr>
        <w:t>.</w:t>
      </w:r>
      <w:r>
        <w:rPr>
          <w:rFonts w:hint="default"/>
          <w:lang w:eastAsia="zh-CN"/>
        </w:rPr>
        <w:t>5</w:t>
      </w:r>
      <w:r>
        <w:rPr>
          <w:rFonts w:hint="eastAsia"/>
          <w:lang w:val="en-US" w:eastAsia="zh-CN"/>
        </w:rPr>
        <w:t xml:space="preserve"> 活动专区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商户首次进入到趣商圈首页，则弹出授权窗口，选择确认授权后定位当前城市并展示当前城市可推广的卡信息，若拒绝授权则定位为全国并展示所有上架中的卡信息。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活动专区卡信息配置可使用【业务发布】页面的【推客-好卡推荐】。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活动专区列表展示内容：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银行logo、卡片名称、卡片标签、卡片简介，内容由后台配置。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【信用卡管理】新增字段“卡片标签(业务员)”，该标签所配置内容只有业务员可见。</w:t>
      </w:r>
    </w:p>
    <w:p>
      <w:r>
        <w:drawing>
          <wp:inline distT="0" distB="0" distL="114300" distR="114300">
            <wp:extent cx="5270500" cy="2934970"/>
            <wp:effectExtent l="0" t="0" r="127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点击“一键推广”跳转到该卡片的大屏推广海报页面，扫描二维码后跳转到该卡片的C端用户申请页面。</w:t>
      </w:r>
    </w:p>
    <w:p>
      <w:pPr>
        <w:bidi w:val="0"/>
        <w:jc w:val="left"/>
        <w:rPr>
          <w:rFonts w:hint="default"/>
          <w:lang w:eastAsia="zh-Hans"/>
        </w:rPr>
        <w:sectPr>
          <w:headerReference r:id="rId4" w:type="default"/>
          <w:footerReference r:id="rId5" w:type="default"/>
          <w:pgSz w:w="12240" w:h="15840"/>
          <w:pgMar w:top="720" w:right="720" w:bottom="720" w:left="720" w:header="720" w:footer="432" w:gutter="0"/>
          <w:cols w:space="720" w:num="1"/>
          <w:titlePg/>
          <w:docGrid w:linePitch="360" w:charSpace="0"/>
        </w:sectPr>
      </w:pPr>
    </w:p>
    <w:p/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 w:ascii="PingFang SC" w:hAnsi="PingFang SC" w:cs="Arial"/>
          <w:b w:val="0"/>
          <w:color w:val="auto"/>
          <w:sz w:val="18"/>
          <w:szCs w:val="24"/>
          <w:lang w:val="en-US" w:eastAsia="zh-Hans" w:bidi="ar-SA"/>
        </w:rPr>
      </w:pPr>
      <w:r>
        <w:rPr>
          <w:rFonts w:hint="eastAsia" w:cs="Arial"/>
          <w:b/>
          <w:color w:val="auto"/>
          <w:sz w:val="21"/>
          <w:szCs w:val="22"/>
          <w:lang w:val="en-US" w:eastAsia="zh-Hans" w:bidi="ar-SA"/>
        </w:rPr>
        <w:t>我的</w:t>
      </w:r>
    </w:p>
    <w:p>
      <w:pPr>
        <w:outlineLvl w:val="2"/>
        <w:rPr>
          <w:rFonts w:hint="default" w:eastAsia="宋体"/>
          <w:b w:val="0"/>
          <w:bCs/>
          <w:sz w:val="15"/>
          <w:szCs w:val="21"/>
          <w:lang w:val="en-US" w:eastAsia="zh-CN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Hans" w:bidi="ar-SA"/>
        </w:rPr>
        <w:t>5.1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我的</w:t>
      </w:r>
      <w:r>
        <w:rPr>
          <w:rFonts w:hint="eastAsia" w:eastAsia="宋体" w:cs="Arial"/>
          <w:b w:val="0"/>
          <w:bCs/>
          <w:color w:val="auto"/>
          <w:sz w:val="18"/>
          <w:szCs w:val="20"/>
          <w:lang w:val="en-US" w:eastAsia="zh-CN" w:bidi="ar-SA"/>
        </w:rPr>
        <w:t>（商户端）</w:t>
      </w: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商户端“我的”页面，主要展示内容如下图，主要包含商户</w:t>
      </w:r>
      <w:r>
        <w:rPr>
          <w:rFonts w:hint="eastAsia"/>
          <w:color w:val="0000FF"/>
          <w:lang w:val="en-US" w:eastAsia="zh-CN"/>
        </w:rPr>
        <w:t>个人信息展示、实名认证、个人及团队的推卡业绩展示及其他功能入口</w:t>
      </w:r>
      <w:r>
        <w:rPr>
          <w:rFonts w:hint="eastAsia"/>
          <w:lang w:val="en-US" w:eastAsia="zh-CN"/>
        </w:rPr>
        <w:t>。</w:t>
      </w:r>
    </w:p>
    <w:p>
      <w:pPr>
        <w:jc w:val="center"/>
      </w:pPr>
      <w:r>
        <w:drawing>
          <wp:inline distT="0" distB="0" distL="114300" distR="114300">
            <wp:extent cx="2239645" cy="4490720"/>
            <wp:effectExtent l="0" t="0" r="20955" b="508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964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主要展示商户本人的订单数、达标订单数。</w:t>
      </w:r>
      <w:r>
        <w:rPr>
          <w:rFonts w:hint="eastAsia"/>
          <w:color w:val="0000FF"/>
          <w:lang w:val="en-US" w:eastAsia="zh-CN"/>
        </w:rPr>
        <w:t>团队业绩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包含商户本人在内</w:t>
      </w:r>
      <w:r>
        <w:rPr>
          <w:rFonts w:hint="eastAsia"/>
          <w:lang w:val="en-US" w:eastAsia="zh-CN"/>
        </w:rPr>
        <w:t>）主要展示团队人数、订单数和达标订单数。默认展示本月业绩，可进行月份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。</w:t>
      </w:r>
    </w:p>
    <w:p>
      <w:pPr>
        <w:ind w:firstLine="54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</w:t>
      </w:r>
      <w:r>
        <w:rPr>
          <w:rFonts w:hint="eastAsia"/>
          <w:color w:val="0000FF"/>
          <w:lang w:val="en-US" w:eastAsia="zh-CN"/>
        </w:rPr>
        <w:t>订单查询、店员管理、联系客服和客户管理</w:t>
      </w:r>
      <w:r>
        <w:rPr>
          <w:rFonts w:hint="eastAsia"/>
          <w:lang w:val="en-US" w:eastAsia="zh-CN"/>
        </w:rPr>
        <w:t>。其中订单查询、联系客服、客户管理均为现有功能模块。联系客服及客户管理入口可在后台【渠道信息管理】内进行</w:t>
      </w:r>
      <w:r>
        <w:rPr>
          <w:rFonts w:hint="eastAsia"/>
          <w:color w:val="0000FF"/>
          <w:lang w:val="en-US" w:eastAsia="zh-CN"/>
        </w:rPr>
        <w:t>开关控制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54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商户点击查看个人信息，展示信息如下（与展业版个人信息一致）：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16760" cy="4118610"/>
            <wp:effectExtent l="0" t="0" r="15240" b="215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540" w:firstLineChars="30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若未实名，在“我的”页面内点击</w:t>
      </w:r>
      <w:r>
        <w:rPr>
          <w:rFonts w:hint="eastAsia" w:eastAsia="宋体"/>
          <w:color w:val="0000FF"/>
          <w:lang w:val="en-US" w:eastAsia="zh-CN"/>
        </w:rPr>
        <w:t>“去实名”</w:t>
      </w:r>
      <w:r>
        <w:rPr>
          <w:rFonts w:hint="eastAsia" w:eastAsia="宋体"/>
          <w:lang w:val="en-US" w:eastAsia="zh-CN"/>
        </w:rPr>
        <w:t>按钮可进行实名认证：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38985" cy="3978910"/>
            <wp:effectExtent l="0" t="0" r="18415" b="889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实名完成后，不展示“去实名”按钮：</w:t>
      </w:r>
    </w:p>
    <w:p>
      <w:pPr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918970" cy="3882390"/>
            <wp:effectExtent l="0" t="0" r="1143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40" w:firstLineChars="300"/>
        <w:jc w:val="center"/>
        <w:rPr>
          <w:rFonts w:hint="default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default" w:cs="Arial"/>
          <w:b w:val="0"/>
          <w:bCs/>
          <w:color w:val="auto"/>
          <w:sz w:val="18"/>
          <w:szCs w:val="20"/>
          <w:lang w:val="en-US" w:eastAsia="zh-CN" w:bidi="ar-SA"/>
        </w:rPr>
      </w:pPr>
      <w:r>
        <w:rPr>
          <w:rFonts w:hint="default" w:cs="Arial"/>
          <w:b w:val="0"/>
          <w:bCs/>
          <w:color w:val="auto"/>
          <w:sz w:val="18"/>
          <w:szCs w:val="20"/>
          <w:lang w:eastAsia="zh-CN" w:bidi="ar-SA"/>
        </w:rPr>
        <w:t>5.2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CN" w:bidi="ar-SA"/>
        </w:rPr>
        <w:t>店员管理</w:t>
      </w:r>
      <w:r>
        <w:rPr>
          <w:rFonts w:hint="eastAsia" w:cs="Arial"/>
          <w:b w:val="0"/>
          <w:bCs/>
          <w:color w:val="auto"/>
          <w:sz w:val="18"/>
          <w:szCs w:val="20"/>
          <w:lang w:val="en-US" w:eastAsia="zh-Hans" w:bidi="ar-SA"/>
        </w:rPr>
        <w:t>（商户端）</w:t>
      </w:r>
    </w:p>
    <w:p>
      <w:pPr>
        <w:rPr>
          <w:rFonts w:hint="eastAsia"/>
          <w:lang w:val="en-US" w:eastAsia="zh-CN"/>
        </w:rPr>
      </w:pP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“我的”页面点击“店员管理”跳转页面如下，页面主要展示</w:t>
      </w:r>
      <w:r>
        <w:rPr>
          <w:rFonts w:hint="eastAsia"/>
          <w:color w:val="0000FF"/>
          <w:lang w:val="en-US" w:eastAsia="zh-CN"/>
        </w:rPr>
        <w:t>店员信息列表并支持姓名和手机号模糊查询</w:t>
      </w:r>
      <w:r>
        <w:rPr>
          <w:rFonts w:hint="eastAsia"/>
          <w:lang w:val="en-US" w:eastAsia="zh-CN"/>
        </w:rPr>
        <w:t>。可进行店员</w:t>
      </w:r>
      <w:r>
        <w:rPr>
          <w:rFonts w:hint="eastAsia"/>
          <w:color w:val="0000FF"/>
          <w:lang w:val="en-US" w:eastAsia="zh-CN"/>
        </w:rPr>
        <w:t>添加操作、冻结/解冻操作、店员详情查看及手机号拨打。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列表上对店员信息的展示包含合作方编号、姓名/手机号（未实名时展示手机号）及加入时间。</w:t>
      </w:r>
    </w:p>
    <w:p>
      <w:pPr>
        <w:ind w:firstLine="420"/>
        <w:jc w:val="center"/>
      </w:pPr>
      <w:r>
        <w:drawing>
          <wp:inline distT="0" distB="0" distL="114300" distR="114300">
            <wp:extent cx="1713230" cy="3359150"/>
            <wp:effectExtent l="0" t="0" r="13970" b="1905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</w:t>
      </w:r>
    </w:p>
    <w:p>
      <w:pPr>
        <w:ind w:firstLine="108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添加店员                        查看详情                       店员冻结</w:t>
      </w:r>
    </w:p>
    <w:p>
      <w:pPr>
        <w:ind w:firstLine="420"/>
        <w:jc w:val="center"/>
      </w:pPr>
      <w:r>
        <w:drawing>
          <wp:inline distT="0" distB="0" distL="114300" distR="114300">
            <wp:extent cx="1692910" cy="3356610"/>
            <wp:effectExtent l="0" t="0" r="889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70050" cy="3357880"/>
            <wp:effectExtent l="0" t="0" r="6350" b="203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696720" cy="3387090"/>
            <wp:effectExtent l="0" t="0" r="5080" b="1651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</w:pP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说明：商户在操作店员冻结/解冻操作时，</w:t>
      </w:r>
      <w:r>
        <w:rPr>
          <w:rFonts w:hint="eastAsia"/>
          <w:color w:val="0000FF"/>
          <w:lang w:val="en-US" w:eastAsia="zh-CN"/>
        </w:rPr>
        <w:t>后台【业务员管理】内对应的业务员状态需同步</w:t>
      </w:r>
      <w:r>
        <w:rPr>
          <w:rFonts w:hint="eastAsia"/>
          <w:lang w:val="en-US" w:eastAsia="zh-CN"/>
        </w:rPr>
        <w:t>。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点击查看店员详情需展示店员</w:t>
      </w:r>
      <w:r>
        <w:rPr>
          <w:rFonts w:hint="eastAsia"/>
          <w:color w:val="0000FF"/>
          <w:lang w:val="en-US" w:eastAsia="zh-CN"/>
        </w:rPr>
        <w:t>个人信息</w:t>
      </w:r>
      <w:r>
        <w:rPr>
          <w:rFonts w:hint="eastAsia"/>
          <w:lang w:val="en-US" w:eastAsia="zh-CN"/>
        </w:rPr>
        <w:t>以及店员的</w:t>
      </w:r>
      <w:r>
        <w:rPr>
          <w:rFonts w:hint="eastAsia"/>
          <w:color w:val="0000FF"/>
          <w:lang w:val="en-US" w:eastAsia="zh-CN"/>
        </w:rPr>
        <w:t>“订单数”和“达标订单”数据</w:t>
      </w:r>
      <w:r>
        <w:rPr>
          <w:rFonts w:hint="eastAsia"/>
          <w:lang w:val="en-US" w:eastAsia="zh-CN"/>
        </w:rPr>
        <w:t>，可进行月份</w:t>
      </w:r>
      <w:r>
        <w:rPr>
          <w:rFonts w:hint="eastAsia"/>
          <w:color w:val="0000FF"/>
          <w:lang w:val="en-US" w:eastAsia="zh-CN"/>
        </w:rPr>
        <w:t>筛选</w:t>
      </w:r>
      <w:r>
        <w:rPr>
          <w:rFonts w:hint="eastAsia"/>
          <w:lang w:val="en-US" w:eastAsia="zh-CN"/>
        </w:rPr>
        <w:t>，默认展示本月数据。在详情页内也可进行“联系店员”和“冻结/解冻店员”操作。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5.3</w:t>
      </w:r>
      <w:r>
        <w:rPr>
          <w:rFonts w:hint="eastAsia"/>
          <w:lang w:val="en-US" w:eastAsia="zh-Hans"/>
        </w:rPr>
        <w:t>我的（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54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店员端“我的”页面，主要展示内容如下图，主要包含店员</w:t>
      </w:r>
      <w:r>
        <w:rPr>
          <w:rFonts w:hint="eastAsia"/>
          <w:color w:val="0000FF"/>
          <w:lang w:val="en-US" w:eastAsia="zh-CN"/>
        </w:rPr>
        <w:t>个人信息展示、实名认证、个人推卡业绩展示及其他功能入口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042160" cy="4018280"/>
            <wp:effectExtent l="0" t="0" r="1524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个人业绩</w:t>
      </w:r>
      <w:r>
        <w:rPr>
          <w:rFonts w:hint="eastAsia"/>
          <w:lang w:val="en-US" w:eastAsia="zh-CN"/>
        </w:rPr>
        <w:t>主要展示订单数、达标订单数。默认展示本月业绩，可进行月份筛选。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最下方功能入口包含：订单查询、商户信息、联系客服、客户管理。联系客服和客户管理入口是否启用同样根据后台【渠道信息管理】完成配置。</w:t>
      </w:r>
    </w:p>
    <w:p>
      <w:pPr>
        <w:ind w:firstLine="3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店员点击查看个人信息，展示信息同样与展业版个人信息一致。</w:t>
      </w:r>
    </w:p>
    <w:p>
      <w:pPr>
        <w:ind w:firstLine="36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36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实名认证</w:t>
      </w:r>
      <w:r>
        <w:rPr>
          <w:rFonts w:hint="eastAsia" w:eastAsia="宋体"/>
          <w:lang w:val="en-US" w:eastAsia="zh-CN"/>
        </w:rPr>
        <w:t>流程及页面跳转与商户端“我的”一致，实名完成后，不展示“去实名”入口：</w:t>
      </w:r>
    </w:p>
    <w:p>
      <w:pPr>
        <w:numPr>
          <w:ilvl w:val="0"/>
          <w:numId w:val="0"/>
        </w:numPr>
        <w:ind w:firstLine="360"/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087245" cy="4208145"/>
            <wp:effectExtent l="0" t="0" r="20955" b="825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724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" w:lineRule="atLeast"/>
        <w:ind w:left="420" w:leftChars="0" w:right="0" w:rightChars="0"/>
        <w:jc w:val="left"/>
        <w:outlineLvl w:val="2"/>
        <w:rPr>
          <w:rFonts w:hint="default"/>
          <w:lang w:val="en-US" w:eastAsia="zh-CN"/>
        </w:rPr>
      </w:pPr>
      <w:r>
        <w:rPr>
          <w:rFonts w:hint="default"/>
          <w:lang w:eastAsia="zh-Hans"/>
        </w:rPr>
        <w:t>5.4</w:t>
      </w:r>
      <w:r>
        <w:rPr>
          <w:rFonts w:hint="eastAsia"/>
          <w:lang w:val="en-US" w:eastAsia="zh-Hans"/>
        </w:rPr>
        <w:t>商户信息（</w:t>
      </w:r>
      <w:r>
        <w:rPr>
          <w:rFonts w:hint="eastAsia"/>
          <w:lang w:val="en-US" w:eastAsia="zh-CN"/>
        </w:rPr>
        <w:t>店员</w:t>
      </w:r>
      <w:r>
        <w:rPr>
          <w:rFonts w:hint="eastAsia"/>
          <w:lang w:val="en-US" w:eastAsia="zh-Hans"/>
        </w:rPr>
        <w:t>端）</w:t>
      </w:r>
    </w:p>
    <w:p>
      <w:pPr>
        <w:numPr>
          <w:ilvl w:val="0"/>
          <w:numId w:val="0"/>
        </w:num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店员端“我的”页面点击“商户信息”跳转页面如下，页面展示该店员对应</w:t>
      </w:r>
      <w:r>
        <w:rPr>
          <w:rFonts w:hint="eastAsia"/>
          <w:color w:val="0000FF"/>
          <w:lang w:val="en-US" w:eastAsia="zh-CN"/>
        </w:rPr>
        <w:t>归属商户的姓名、商户号、合作方编号及联系方式</w:t>
      </w:r>
      <w:r>
        <w:rPr>
          <w:rFonts w:hint="eastAsia"/>
          <w:lang w:val="en-US" w:eastAsia="zh-CN"/>
        </w:rPr>
        <w:t>，可直接拨打手机号联系商户：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924685" cy="3850640"/>
            <wp:effectExtent l="0" t="0" r="571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17"/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0" w:after="0" w:afterAutospacing="0" w:line="30" w:lineRule="atLeast"/>
        <w:ind w:left="840" w:leftChars="0" w:right="0" w:hanging="420" w:firstLine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后台【渠道信息管理】优化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</w:p>
    <w:p>
      <w:pPr>
        <w:ind w:firstLine="777" w:firstLineChars="432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新增渠道类型为</w:t>
      </w:r>
      <w:r>
        <w:rPr>
          <w:rFonts w:hint="eastAsia" w:eastAsia="宋体"/>
          <w:b w:val="0"/>
          <w:bCs w:val="0"/>
          <w:color w:val="0000FF"/>
          <w:lang w:val="en-US" w:eastAsia="zh-CN"/>
        </w:rPr>
        <w:t>“趣伴卡商圈”</w:t>
      </w:r>
      <w:r>
        <w:rPr>
          <w:rFonts w:hint="eastAsia"/>
          <w:lang w:val="en-US" w:eastAsia="zh-CN"/>
        </w:rPr>
        <w:t>，展示列表内原</w:t>
      </w:r>
      <w:r>
        <w:rPr>
          <w:rFonts w:hint="eastAsia" w:eastAsia="宋体"/>
          <w:lang w:val="en-US" w:eastAsia="zh-CN"/>
        </w:rPr>
        <w:t>“展业版团队拓展”、“展业版账户明细”、“展业版待调账明细”、“展业版提现功能”字段名称更新为“团队拓展”、“账户明细”、“待调账明细”、“提现功能”，新增</w:t>
      </w:r>
      <w:r>
        <w:rPr>
          <w:rFonts w:hint="eastAsia" w:eastAsia="宋体"/>
          <w:b w:val="0"/>
          <w:bCs w:val="0"/>
          <w:color w:val="0000FF"/>
          <w:lang w:val="en-US" w:eastAsia="zh-CN"/>
        </w:rPr>
        <w:t>“冻结权限”</w:t>
      </w:r>
      <w:r>
        <w:rPr>
          <w:rFonts w:hint="eastAsia" w:eastAsia="宋体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字段</w:t>
      </w:r>
      <w:r>
        <w:rPr>
          <w:rFonts w:hint="eastAsia" w:eastAsia="宋体"/>
          <w:lang w:val="en-US" w:eastAsia="zh-CN"/>
        </w:rPr>
        <w:t>：</w:t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ind w:firstLine="777" w:firstLineChars="432"/>
        <w:jc w:val="both"/>
      </w:pPr>
      <w:r>
        <w:drawing>
          <wp:inline distT="0" distB="0" distL="114300" distR="114300">
            <wp:extent cx="6572250" cy="3492500"/>
            <wp:effectExtent l="0" t="0" r="635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ind w:firstLine="777" w:firstLineChars="432"/>
        <w:jc w:val="both"/>
        <w:rPr>
          <w:rFonts w:hint="eastAsia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点击新建渠道，原“展业版团队拓展”、“展业版账户明细”、“展业版待调账明细”、“展业版提现功能”权限</w:t>
      </w:r>
      <w:r>
        <w:rPr>
          <w:rFonts w:hint="eastAsia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开关</w:t>
      </w:r>
      <w:r>
        <w:rPr>
          <w:rFonts w:hint="eastAsia" w:eastAsia="宋体"/>
          <w:color w:val="0000FF"/>
          <w:lang w:val="en-US" w:eastAsia="zh-CN"/>
        </w:rPr>
        <w:t>名称变更</w:t>
      </w:r>
      <w:r>
        <w:rPr>
          <w:rFonts w:hint="eastAsia" w:eastAsia="宋体"/>
          <w:lang w:val="en-US" w:eastAsia="zh-CN"/>
        </w:rPr>
        <w:t>为“是否启用团队拓展”、“是否启用账户明细”、“是否启用待调账明细”、“是否启用提现功能”。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新增权限控制“是否启用冻结权限”。</w:t>
      </w:r>
      <w:bookmarkStart w:id="0" w:name="_GoBack"/>
      <w:bookmarkEnd w:id="0"/>
    </w:p>
    <w:p>
      <w:pPr>
        <w:tabs>
          <w:tab w:val="left" w:pos="2238"/>
        </w:tabs>
        <w:ind w:firstLine="420"/>
        <w:jc w:val="center"/>
      </w:pPr>
      <w:r>
        <w:drawing>
          <wp:inline distT="0" distB="0" distL="114300" distR="114300">
            <wp:extent cx="3988435" cy="4456430"/>
            <wp:effectExtent l="0" t="0" r="12065" b="12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238"/>
        </w:tabs>
        <w:ind w:firstLine="420"/>
        <w:jc w:val="center"/>
        <w:rPr>
          <w:rFonts w:hint="default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若选择渠道类型为“趣伴卡商圈”，则需对商圈版有效的开关需包含：“是否启用客户管理”、“是否启用分润设置”、“是否生成数据文件”、“是否启用首页佣金展示”、“是否启用在线客服”、“是否启用账户明细”、“是否启用待调账明细”、“是否启用提现功能”以及“是否启用冻结权限”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“是否启用分润设置”可控制商圈版店员管理页面内是否包含“店员分润设置”入口，因一期不做分润功能，所以该入口为“禁用”状态。</w:t>
      </w:r>
    </w:p>
    <w:p>
      <w:pPr>
        <w:ind w:firstLine="360" w:firstLineChars="20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“是否启用提现功能”、“是否启用待调账明细”、“是否启用账户明细”分别可控制商圈版“我的”页面内的提现入口、待调账明细和账户明细</w:t>
      </w:r>
      <w:r>
        <w:rPr>
          <w:rFonts w:hint="eastAsia" w:eastAsia="宋体"/>
          <w:lang w:val="en-US" w:eastAsia="zh-CN"/>
        </w:rPr>
        <w:t>，因一期暂不做提现功能，所以以上入口均为“禁用”状态。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“是否启用客户管理”和“是否启用在线客服”可控制商圈版“我的”页面的客户管理和在线客服入口</w:t>
      </w:r>
      <w:r>
        <w:rPr>
          <w:rFonts w:hint="eastAsia" w:eastAsia="宋体"/>
          <w:lang w:val="en-US" w:eastAsia="zh-CN"/>
        </w:rPr>
        <w:t>。</w:t>
      </w:r>
    </w:p>
    <w:p>
      <w:pPr>
        <w:tabs>
          <w:tab w:val="left" w:pos="2238"/>
        </w:tabs>
        <w:ind w:firstLine="420"/>
        <w:jc w:val="left"/>
        <w:rPr>
          <w:rFonts w:hint="eastAsia" w:eastAsia="宋体"/>
          <w:color w:val="0000FF"/>
          <w:lang w:val="en-US" w:eastAsia="zh-CN"/>
        </w:rPr>
      </w:pPr>
      <w:r>
        <w:rPr>
          <w:rFonts w:hint="eastAsia" w:eastAsia="宋体"/>
          <w:color w:val="0000FF"/>
          <w:lang w:val="en-US" w:eastAsia="zh-CN"/>
        </w:rPr>
        <w:t>“是否启用冻结权限”可控制商圈版店员管理页面是否包含“冻结/解冻”入口。</w:t>
      </w:r>
    </w:p>
    <w:p>
      <w:pPr>
        <w:tabs>
          <w:tab w:val="left" w:pos="2238"/>
        </w:tabs>
        <w:ind w:firstLine="420"/>
        <w:jc w:val="center"/>
        <w:rPr>
          <w:rFonts w:hint="default" w:eastAsia="宋体"/>
          <w:color w:val="0000FF"/>
          <w:lang w:val="en-US" w:eastAsia="zh-CN"/>
        </w:rPr>
      </w:pPr>
    </w:p>
    <w:p>
      <w:pPr>
        <w:tabs>
          <w:tab w:val="left" w:pos="2238"/>
        </w:tabs>
        <w:ind w:firstLine="420"/>
        <w:jc w:val="left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</w:p>
    <w:sectPr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Lucida Grande">
    <w:altName w:val="Courier New"/>
    <w:panose1 w:val="020B0600040502020204"/>
    <w:charset w:val="00"/>
    <w:family w:val="auto"/>
    <w:pitch w:val="default"/>
    <w:sig w:usb0="00000000" w:usb1="00000000" w:usb2="00000000" w:usb3="00000000" w:csb0="00000000" w:csb1="00000000"/>
  </w:font>
  <w:font w:name="PingFang SC">
    <w:altName w:val="宋体"/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imes New Roman Bold">
    <w:altName w:val="Times New Roman"/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80" w:hRule="atLeast"/>
      </w:trPr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restart"/>
          <w:vAlign w:val="center"/>
        </w:tcPr>
        <w:p>
          <w:pPr>
            <w:pStyle w:val="12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t>3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fldChar w:fldCharType="end"/>
          </w:r>
        </w:p>
      </w:tc>
      <w:tc>
        <w:tcPr>
          <w:tcW w:w="2214" w:type="pct"/>
        </w:tcPr>
        <w:p>
          <w:pPr>
            <w:pStyle w:val="12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214" w:type="pct"/>
        </w:tcPr>
        <w:p>
          <w:pPr>
            <w:pStyle w:val="12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2"/>
            <w:jc w:val="center"/>
          </w:pPr>
        </w:p>
      </w:tc>
      <w:tc>
        <w:tcPr>
          <w:tcW w:w="2214" w:type="pct"/>
        </w:tcPr>
        <w:p>
          <w:pPr>
            <w:pStyle w:val="12"/>
          </w:pPr>
        </w:p>
      </w:tc>
    </w:tr>
  </w:tbl>
  <w:p>
    <w:pPr>
      <w:pStyle w:val="1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404040" w:themeColor="text1" w:themeTint="BF"/>
              <w14:textFill>
                <w14:solidFill>
                  <w14:schemeClr w14:val="tx1">
                    <w14:lumMod w14:val="75000"/>
                    <w14:lumOff w14:val="25000"/>
                  </w14:schemeClr>
                </w14:solidFill>
              </w14:textFill>
            </w:rPr>
          </w:sdtEndPr>
          <w:sdtContent>
            <w:p>
              <w:pPr>
                <w:pStyle w:val="35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  <w14:textFill>
                    <w14:solidFill>
                      <w14:schemeClr w14:val="tx1">
                        <w14:lumMod w14:val="75000"/>
                        <w14:lumOff w14:val="25000"/>
                      </w14:schemeClr>
                    </w14:solidFill>
                  </w14:textFill>
                </w:rPr>
                <w:t>The Documentation</w:t>
              </w:r>
            </w:p>
          </w:sdtContent>
        </w:sdt>
      </w:tc>
    </w:tr>
  </w:tbl>
  <w:p>
    <w:pPr>
      <w:pStyle w:val="1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BEAEB3"/>
    <w:multiLevelType w:val="multilevel"/>
    <w:tmpl w:val="BEBEAEB3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786B65CA"/>
    <w:multiLevelType w:val="multilevel"/>
    <w:tmpl w:val="786B65CA"/>
    <w:lvl w:ilvl="0" w:tentative="0">
      <w:start w:val="1"/>
      <w:numFmt w:val="decimal"/>
      <w:pStyle w:val="23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4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5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6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drawingGridHorizontalSpacing w:val="9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balanceSingleByteDoubleByteWidth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M4OGQzM2U5ZjU5YTUyMTk3MmE1MzdiM2I0Zjk5YjcifQ=="/>
  </w:docVars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10635C65"/>
    <w:rsid w:val="122FF843"/>
    <w:rsid w:val="13DCFB99"/>
    <w:rsid w:val="15AF157A"/>
    <w:rsid w:val="1D911343"/>
    <w:rsid w:val="227B3DFE"/>
    <w:rsid w:val="28FE5094"/>
    <w:rsid w:val="2FF7145A"/>
    <w:rsid w:val="36DA1DB0"/>
    <w:rsid w:val="36DFC955"/>
    <w:rsid w:val="37DDACC3"/>
    <w:rsid w:val="3BED44B1"/>
    <w:rsid w:val="3BF53502"/>
    <w:rsid w:val="3D3F3B41"/>
    <w:rsid w:val="3DFD37EE"/>
    <w:rsid w:val="3EBE39D2"/>
    <w:rsid w:val="3EBF8964"/>
    <w:rsid w:val="3ECFF895"/>
    <w:rsid w:val="3EDF1828"/>
    <w:rsid w:val="3FB77B42"/>
    <w:rsid w:val="3FFBFAA3"/>
    <w:rsid w:val="3FFF45DE"/>
    <w:rsid w:val="4A82324B"/>
    <w:rsid w:val="4FAB1650"/>
    <w:rsid w:val="53FD79A1"/>
    <w:rsid w:val="55F7069D"/>
    <w:rsid w:val="577FFFA6"/>
    <w:rsid w:val="57A75A04"/>
    <w:rsid w:val="57AF7F34"/>
    <w:rsid w:val="57FFF441"/>
    <w:rsid w:val="5BE733F0"/>
    <w:rsid w:val="5DBB8C98"/>
    <w:rsid w:val="5F6311F6"/>
    <w:rsid w:val="63FB87DF"/>
    <w:rsid w:val="64040FFF"/>
    <w:rsid w:val="657F9B6D"/>
    <w:rsid w:val="6DE8ECF5"/>
    <w:rsid w:val="6E61A2CC"/>
    <w:rsid w:val="6EDCF3CC"/>
    <w:rsid w:val="6FFEACBF"/>
    <w:rsid w:val="74FB85AA"/>
    <w:rsid w:val="7568A413"/>
    <w:rsid w:val="797FDA64"/>
    <w:rsid w:val="79DBF48C"/>
    <w:rsid w:val="7BFF9F92"/>
    <w:rsid w:val="7DF5DB6F"/>
    <w:rsid w:val="7E05038E"/>
    <w:rsid w:val="7EA76626"/>
    <w:rsid w:val="7ED37CE2"/>
    <w:rsid w:val="7EEF3593"/>
    <w:rsid w:val="7EFED9F9"/>
    <w:rsid w:val="7F793FB4"/>
    <w:rsid w:val="7FA0939E"/>
    <w:rsid w:val="7FA5FBC5"/>
    <w:rsid w:val="7FAD203B"/>
    <w:rsid w:val="7FE456E3"/>
    <w:rsid w:val="7FFD0735"/>
    <w:rsid w:val="86F7B8E4"/>
    <w:rsid w:val="8EEA9FED"/>
    <w:rsid w:val="8EF7286B"/>
    <w:rsid w:val="8F31F7B1"/>
    <w:rsid w:val="8FD0429A"/>
    <w:rsid w:val="8FFABDB8"/>
    <w:rsid w:val="977EFF14"/>
    <w:rsid w:val="97FB2544"/>
    <w:rsid w:val="9F3BD2A6"/>
    <w:rsid w:val="9F9F4049"/>
    <w:rsid w:val="9FF50FCE"/>
    <w:rsid w:val="9FFF0798"/>
    <w:rsid w:val="AEBED28B"/>
    <w:rsid w:val="AF3E1943"/>
    <w:rsid w:val="AFCF22B5"/>
    <w:rsid w:val="B3FAF705"/>
    <w:rsid w:val="B6F625C8"/>
    <w:rsid w:val="BBFFD090"/>
    <w:rsid w:val="BE5D470D"/>
    <w:rsid w:val="BE9FA14C"/>
    <w:rsid w:val="CEEE23A6"/>
    <w:rsid w:val="CEEEB420"/>
    <w:rsid w:val="D7F37632"/>
    <w:rsid w:val="D9AFF43F"/>
    <w:rsid w:val="DBBF6681"/>
    <w:rsid w:val="DBBFC11A"/>
    <w:rsid w:val="DBFF08C1"/>
    <w:rsid w:val="DCEFF83E"/>
    <w:rsid w:val="DD8FA973"/>
    <w:rsid w:val="DEC724C0"/>
    <w:rsid w:val="DEFBD2BE"/>
    <w:rsid w:val="E49A7684"/>
    <w:rsid w:val="E6573DB3"/>
    <w:rsid w:val="E7F46BBB"/>
    <w:rsid w:val="E7F7E697"/>
    <w:rsid w:val="E7FF68E5"/>
    <w:rsid w:val="EBFF57E2"/>
    <w:rsid w:val="ECF5EEB2"/>
    <w:rsid w:val="EFB7BAF4"/>
    <w:rsid w:val="EFDA785B"/>
    <w:rsid w:val="F67EDA16"/>
    <w:rsid w:val="F7DFFABA"/>
    <w:rsid w:val="FB77CD13"/>
    <w:rsid w:val="FB9C9EE1"/>
    <w:rsid w:val="FBF7FC5B"/>
    <w:rsid w:val="FD7FB607"/>
    <w:rsid w:val="FDFFE825"/>
    <w:rsid w:val="FF3AF5CB"/>
    <w:rsid w:val="FF8985B8"/>
    <w:rsid w:val="FFAE0C27"/>
    <w:rsid w:val="FFEF5C74"/>
    <w:rsid w:val="FFFE3033"/>
    <w:rsid w:val="FFFEE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2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3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semiHidden/>
    <w:qFormat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9">
    <w:name w:val="toc 5"/>
    <w:basedOn w:val="1"/>
    <w:next w:val="1"/>
    <w:semiHidden/>
    <w:qFormat/>
    <w:uiPriority w:val="0"/>
    <w:pPr>
      <w:spacing w:line="360" w:lineRule="auto"/>
      <w:ind w:left="960"/>
    </w:pPr>
  </w:style>
  <w:style w:type="paragraph" w:styleId="10">
    <w:name w:val="toc 3"/>
    <w:basedOn w:val="1"/>
    <w:next w:val="1"/>
    <w:qFormat/>
    <w:uiPriority w:val="39"/>
    <w:pPr>
      <w:spacing w:line="360" w:lineRule="auto"/>
      <w:ind w:left="480"/>
    </w:pPr>
  </w:style>
  <w:style w:type="paragraph" w:styleId="11">
    <w:name w:val="Balloon Text"/>
    <w:basedOn w:val="1"/>
    <w:link w:val="30"/>
    <w:qFormat/>
    <w:uiPriority w:val="0"/>
    <w:rPr>
      <w:rFonts w:ascii="Tahoma" w:hAnsi="Tahoma" w:cs="Tahoma"/>
      <w:sz w:val="16"/>
      <w:szCs w:val="16"/>
    </w:rPr>
  </w:style>
  <w:style w:type="paragraph" w:styleId="12">
    <w:name w:val="footer"/>
    <w:basedOn w:val="1"/>
    <w:link w:val="38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header"/>
    <w:basedOn w:val="1"/>
    <w:link w:val="37"/>
    <w:qFormat/>
    <w:uiPriority w:val="99"/>
    <w:pPr>
      <w:tabs>
        <w:tab w:val="center" w:pos="4680"/>
        <w:tab w:val="right" w:pos="9360"/>
      </w:tabs>
      <w:spacing w:before="0" w:after="0"/>
    </w:pPr>
  </w:style>
  <w:style w:type="paragraph" w:styleId="14">
    <w:name w:val="toc 1"/>
    <w:basedOn w:val="1"/>
    <w:next w:val="1"/>
    <w:qFormat/>
    <w:uiPriority w:val="39"/>
    <w:pPr>
      <w:spacing w:line="360" w:lineRule="auto"/>
    </w:pPr>
    <w:rPr>
      <w:b/>
    </w:rPr>
  </w:style>
  <w:style w:type="paragraph" w:styleId="15">
    <w:name w:val="toc 4"/>
    <w:basedOn w:val="1"/>
    <w:next w:val="1"/>
    <w:qFormat/>
    <w:uiPriority w:val="39"/>
    <w:pPr>
      <w:spacing w:line="360" w:lineRule="auto"/>
      <w:ind w:left="720"/>
    </w:pPr>
  </w:style>
  <w:style w:type="paragraph" w:styleId="16">
    <w:name w:val="toc 2"/>
    <w:basedOn w:val="1"/>
    <w:next w:val="1"/>
    <w:qFormat/>
    <w:uiPriority w:val="39"/>
    <w:pPr>
      <w:spacing w:line="360" w:lineRule="auto"/>
      <w:ind w:left="240"/>
    </w:pPr>
  </w:style>
  <w:style w:type="paragraph" w:styleId="1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9">
    <w:name w:val="Table Grid"/>
    <w:basedOn w:val="1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1">
    <w:name w:val="Hyperlink"/>
    <w:basedOn w:val="20"/>
    <w:qFormat/>
    <w:uiPriority w:val="99"/>
    <w:rPr>
      <w:color w:val="0000FF"/>
      <w:u w:val="single"/>
    </w:rPr>
  </w:style>
  <w:style w:type="paragraph" w:customStyle="1" w:styleId="22">
    <w:name w:val="AxureTOCHeading"/>
    <w:basedOn w:val="1"/>
    <w:qFormat/>
    <w:uiPriority w:val="0"/>
    <w:pPr>
      <w:spacing w:before="360"/>
      <w:jc w:val="center"/>
    </w:pPr>
    <w:rPr>
      <w:b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3">
    <w:name w:val="AxureHeading1"/>
    <w:basedOn w:val="1"/>
    <w:qFormat/>
    <w:uiPriority w:val="0"/>
    <w:pPr>
      <w:numPr>
        <w:ilvl w:val="0"/>
        <w:numId w:val="1"/>
      </w:numPr>
      <w:spacing w:after="240"/>
    </w:pPr>
    <w:rPr>
      <w:b/>
      <w:color w:val="404040" w:themeColor="text1" w:themeTint="BF"/>
      <w:sz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4">
    <w:name w:val="AxureHeading2"/>
    <w:basedOn w:val="1"/>
    <w:qFormat/>
    <w:uiPriority w:val="0"/>
    <w:pPr>
      <w:numPr>
        <w:ilvl w:val="1"/>
        <w:numId w:val="1"/>
      </w:numPr>
    </w:pPr>
    <w:rPr>
      <w:b/>
      <w:color w:val="404040" w:themeColor="text1" w:themeTint="BF"/>
      <w:sz w:val="2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5">
    <w:name w:val="AxureHeading3"/>
    <w:basedOn w:val="1"/>
    <w:qFormat/>
    <w:uiPriority w:val="0"/>
    <w:pPr>
      <w:numPr>
        <w:ilvl w:val="2"/>
        <w:numId w:val="1"/>
      </w:numPr>
      <w:spacing w:before="240"/>
    </w:pPr>
    <w:rPr>
      <w:b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">
    <w:name w:val="AxureHeading4"/>
    <w:basedOn w:val="1"/>
    <w:qFormat/>
    <w:uiPriority w:val="0"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7">
    <w:name w:val="AxureTableHeaderText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28">
    <w:name w:val="AxureTableNormalText"/>
    <w:basedOn w:val="1"/>
    <w:qFormat/>
    <w:uiPriority w:val="0"/>
    <w:pPr>
      <w:spacing w:before="60" w:after="60"/>
    </w:pPr>
    <w:rPr>
      <w:sz w:val="16"/>
    </w:rPr>
  </w:style>
  <w:style w:type="paragraph" w:customStyle="1" w:styleId="29">
    <w:name w:val="AxureHeadingBasic"/>
    <w:basedOn w:val="1"/>
    <w:qFormat/>
    <w:uiPriority w:val="0"/>
    <w:pPr>
      <w:spacing w:before="240"/>
    </w:pPr>
    <w:rPr>
      <w:b/>
      <w:color w:val="404040" w:themeColor="text1" w:themeTint="BF"/>
      <w:u w:val="single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Balloon Text Char"/>
    <w:basedOn w:val="20"/>
    <w:link w:val="11"/>
    <w:qFormat/>
    <w:uiPriority w:val="0"/>
    <w:rPr>
      <w:rFonts w:ascii="Tahoma" w:hAnsi="Tahoma" w:cs="Tahoma"/>
      <w:sz w:val="16"/>
      <w:szCs w:val="16"/>
    </w:rPr>
  </w:style>
  <w:style w:type="table" w:customStyle="1" w:styleId="31">
    <w:name w:val="AxureTableStyle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2">
    <w:name w:val="Heading 4 Char"/>
    <w:basedOn w:val="20"/>
    <w:link w:val="5"/>
    <w:qFormat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  <w14:textFill>
        <w14:solidFill>
          <w14:schemeClr w14:val="accent1"/>
        </w14:solidFill>
      </w14:textFill>
    </w:rPr>
  </w:style>
  <w:style w:type="character" w:customStyle="1" w:styleId="33">
    <w:name w:val="Heading 5 Char"/>
    <w:basedOn w:val="20"/>
    <w:link w:val="6"/>
    <w:qFormat/>
    <w:uiPriority w:val="0"/>
    <w:rPr>
      <w:rFonts w:asciiTheme="majorHAnsi" w:hAnsiTheme="majorHAnsi" w:eastAsiaTheme="majorEastAsia" w:cstheme="majorBidi"/>
      <w:color w:val="254061" w:themeColor="accent1" w:themeShade="80"/>
      <w:sz w:val="18"/>
      <w:szCs w:val="24"/>
    </w:rPr>
  </w:style>
  <w:style w:type="paragraph" w:customStyle="1" w:styleId="34">
    <w:name w:val="AxureImageParagraph"/>
    <w:basedOn w:val="1"/>
    <w:qFormat/>
    <w:uiPriority w:val="0"/>
    <w:pPr>
      <w:jc w:val="center"/>
    </w:pPr>
  </w:style>
  <w:style w:type="paragraph" w:styleId="35">
    <w:name w:val="No Spacing"/>
    <w:link w:val="36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6">
    <w:name w:val="No Spacing Char"/>
    <w:basedOn w:val="20"/>
    <w:link w:val="35"/>
    <w:qFormat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7">
    <w:name w:val="Header Char"/>
    <w:basedOn w:val="20"/>
    <w:link w:val="13"/>
    <w:qFormat/>
    <w:uiPriority w:val="99"/>
    <w:rPr>
      <w:rFonts w:ascii="Arial" w:hAnsi="Arial" w:cs="Arial"/>
      <w:sz w:val="18"/>
      <w:szCs w:val="24"/>
    </w:rPr>
  </w:style>
  <w:style w:type="character" w:customStyle="1" w:styleId="38">
    <w:name w:val="Footer Char"/>
    <w:basedOn w:val="20"/>
    <w:link w:val="12"/>
    <w:qFormat/>
    <w:uiPriority w:val="99"/>
    <w:rPr>
      <w:rFonts w:ascii="Arial" w:hAnsi="Arial" w:cs="Arial"/>
      <w:sz w:val="18"/>
      <w:szCs w:val="24"/>
    </w:rPr>
  </w:style>
  <w:style w:type="character" w:styleId="39">
    <w:name w:val="Placeholder Text"/>
    <w:basedOn w:val="20"/>
    <w:semiHidden/>
    <w:qFormat/>
    <w:uiPriority w:val="99"/>
    <w:rPr>
      <w:color w:val="808080"/>
    </w:rPr>
  </w:style>
  <w:style w:type="paragraph" w:customStyle="1" w:styleId="40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41">
    <w:name w:val="Axure一级标题"/>
    <w:basedOn w:val="1"/>
    <w:qFormat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2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43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4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5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paragraph" w:customStyle="1" w:styleId="46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47">
    <w:name w:val="Axure基本标题"/>
    <w:basedOn w:val="1"/>
    <w:qFormat/>
    <w:uiPriority w:val="0"/>
    <w:pPr>
      <w:spacing w:before="240"/>
    </w:pPr>
    <w:rPr>
      <w:b/>
      <w:u w:val="single"/>
    </w:rPr>
  </w:style>
  <w:style w:type="table" w:customStyle="1" w:styleId="48">
    <w:name w:val="Axure表格样式"/>
    <w:basedOn w:val="18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bo\Library\Containers\com.kingsoft.wpsoffice.mac\Data\D:\Users\hubo\Library\Containers\com.kingsoft.wpsoffice.mac\Data\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18</Pages>
  <Words>3352</Words>
  <Characters>3427</Characters>
  <Lines>1</Lines>
  <Paragraphs>1</Paragraphs>
  <TotalTime>4</TotalTime>
  <ScaleCrop>false</ScaleCrop>
  <LinksUpToDate>false</LinksUpToDate>
  <CharactersWithSpaces>3539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2010-09-25T05:47:00Z</dcterms:created>
  <dc:creator>[Your Name]</dc:creator>
  <cp:lastModifiedBy>Monsterrrr！</cp:lastModifiedBy>
  <cp:lastPrinted>2010-09-24T08:33:00Z</cp:lastPrinted>
  <dcterms:modified xsi:type="dcterms:W3CDTF">2023-02-14T06:20:26Z</dcterms:modified>
  <dc:title>The Documentation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A38CD677E2CA40E0B36B2435B72653DA</vt:lpwstr>
  </property>
</Properties>
</file>