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4"/>
        <w:keepNext/>
        <w:jc w:val="center"/>
        <w:outlineLvl w:val="9"/>
        <w:rPr>
          <w:rFonts w:ascii="微软雅黑" w:hAnsi="微软雅黑" w:eastAsia="微软雅黑" w:cs="微软雅黑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eastAsia="zh-CN"/>
        </w:rPr>
        <w:t>银联智惠-</w:t>
      </w:r>
      <w:r>
        <w:rPr>
          <w:rFonts w:ascii="微软雅黑" w:hAnsi="微软雅黑" w:eastAsia="微软雅黑" w:cs="微软雅黑"/>
          <w:sz w:val="32"/>
          <w:szCs w:val="32"/>
          <w:lang w:eastAsia="zh-CN"/>
        </w:rPr>
        <w:t>趣伴卡</w:t>
      </w:r>
      <w:r>
        <w:rPr>
          <w:rFonts w:hint="eastAsia" w:ascii="微软雅黑" w:hAnsi="微软雅黑" w:eastAsia="微软雅黑" w:cs="微软雅黑"/>
          <w:sz w:val="32"/>
          <w:szCs w:val="32"/>
          <w:lang w:eastAsia="zh-CN"/>
        </w:rPr>
        <w:t>信用卡用卡评测产品需求文档</w:t>
      </w:r>
    </w:p>
    <w:p>
      <w:pPr>
        <w:pStyle w:val="44"/>
        <w:keepNext/>
        <w:jc w:val="center"/>
        <w:outlineLvl w:val="9"/>
        <w:rPr>
          <w:rFonts w:ascii="微软雅黑" w:hAnsi="微软雅黑" w:eastAsia="微软雅黑" w:cs="微软雅黑"/>
          <w:lang w:eastAsia="zh-CN"/>
        </w:rPr>
      </w:pPr>
    </w:p>
    <w:p>
      <w:pPr>
        <w:pStyle w:val="44"/>
        <w:keepNext/>
        <w:outlineLvl w:val="9"/>
        <w:rPr>
          <w:lang w:eastAsia="zh-Hans"/>
        </w:rPr>
      </w:pPr>
      <w:r>
        <w:rPr>
          <w:rFonts w:hint="eastAsia"/>
          <w:lang w:eastAsia="zh-Hans"/>
        </w:rPr>
        <w:t>原型地址：</w:t>
      </w:r>
      <w:r>
        <w:fldChar w:fldCharType="begin"/>
      </w:r>
      <w:r>
        <w:instrText xml:space="preserve"> HYPERLINK "https://zgvoby.axshare.com" </w:instrText>
      </w:r>
      <w:r>
        <w:fldChar w:fldCharType="separate"/>
      </w:r>
      <w:r>
        <w:rPr>
          <w:rStyle w:val="20"/>
          <w:rFonts w:hint="eastAsia"/>
          <w:lang w:eastAsia="zh-Hans"/>
        </w:rPr>
        <w:t>https://zgvoby.axshare.com</w:t>
      </w:r>
      <w:r>
        <w:rPr>
          <w:rStyle w:val="20"/>
          <w:rFonts w:hint="eastAsia"/>
          <w:lang w:eastAsia="zh-Hans"/>
        </w:rPr>
        <w:fldChar w:fldCharType="end"/>
      </w:r>
    </w:p>
    <w:p>
      <w:pPr>
        <w:rPr>
          <w:rFonts w:ascii="微软雅黑" w:hAnsi="微软雅黑" w:eastAsia="微软雅黑" w:cs="微软雅黑"/>
          <w:sz w:val="24"/>
          <w:lang w:eastAsia="zh-Hans"/>
        </w:rPr>
      </w:pPr>
      <w:r>
        <w:rPr>
          <w:rFonts w:hint="eastAsia"/>
          <w:lang w:eastAsia="zh-Hans"/>
        </w:rPr>
        <w:br w:type="page"/>
      </w:r>
    </w:p>
    <w:p>
      <w:pPr>
        <w:pStyle w:val="44"/>
        <w:keepNext/>
        <w:outlineLvl w:val="9"/>
        <w:rPr>
          <w:rFonts w:eastAsia="宋体"/>
          <w:lang w:eastAsia="zh-CN"/>
        </w:rPr>
      </w:pPr>
      <w:r>
        <w:rPr>
          <w:rFonts w:eastAsia="宋体"/>
          <w:lang w:eastAsia="zh-CN"/>
        </w:rPr>
        <w:t>趣伴卡</w:t>
      </w:r>
      <w:r>
        <w:rPr>
          <w:rFonts w:hint="eastAsia" w:eastAsia="宋体"/>
          <w:lang w:eastAsia="zh-CN"/>
        </w:rPr>
        <w:t>侧内容用黑色字体，银联智惠侧内容用</w:t>
      </w:r>
      <w:r>
        <w:rPr>
          <w:rFonts w:hint="eastAsia" w:eastAsia="宋体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橙色</w:t>
      </w:r>
      <w:r>
        <w:rPr>
          <w:rFonts w:hint="eastAsia" w:eastAsia="宋体"/>
          <w:lang w:eastAsia="zh-CN"/>
        </w:rPr>
        <w:t>字体。</w:t>
      </w:r>
    </w:p>
    <w:p>
      <w:pPr>
        <w:pStyle w:val="43"/>
        <w:rPr>
          <w:lang w:eastAsia="zh-CN"/>
        </w:rPr>
      </w:pPr>
      <w:r>
        <w:rPr>
          <w:lang w:eastAsia="zh-CN"/>
        </w:rPr>
        <w:t>趣伴卡</w:t>
      </w:r>
      <w:r>
        <w:rPr>
          <w:rFonts w:hint="eastAsia"/>
          <w:lang w:eastAsia="zh-CN"/>
        </w:rPr>
        <w:t>：</w:t>
      </w:r>
    </w:p>
    <w:p>
      <w:pPr>
        <w:pStyle w:val="44"/>
        <w:keepNext/>
        <w:outlineLvl w:val="0"/>
        <w:rPr>
          <w:lang w:eastAsia="zh-CN"/>
        </w:rPr>
      </w:pPr>
      <w:r>
        <w:rPr>
          <w:rFonts w:hint="eastAsia"/>
          <w:lang w:eastAsia="zh-Hans"/>
        </w:rPr>
        <w:t>一、</w:t>
      </w:r>
      <w:r>
        <w:rPr>
          <w:lang w:eastAsia="zh-CN"/>
        </w:rPr>
        <w:t>推广首页</w:t>
      </w:r>
    </w:p>
    <w:p>
      <w:pPr>
        <w:pStyle w:val="44"/>
        <w:keepNext/>
        <w:outlineLvl w:val="9"/>
        <w:rPr>
          <w:lang w:eastAsia="zh-Hans"/>
        </w:rPr>
      </w:pPr>
      <w:r>
        <w:rPr>
          <w:rFonts w:hint="eastAsia"/>
          <w:lang w:eastAsia="zh-Hans"/>
        </w:rPr>
        <w:t>增加用卡评测介绍入口</w:t>
      </w:r>
    </w:p>
    <w:p>
      <w:pPr>
        <w:pStyle w:val="36"/>
      </w:pPr>
      <w:r>
        <w:drawing>
          <wp:inline distT="0" distB="0" distL="114300" distR="114300">
            <wp:extent cx="2880995" cy="6395085"/>
            <wp:effectExtent l="0" t="0" r="14605" b="5715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</w:pPr>
      <w:r>
        <w:br w:type="page"/>
      </w:r>
      <w:r>
        <w:rPr>
          <w:rFonts w:hint="eastAsia"/>
          <w:lang w:eastAsia="zh-Hans"/>
        </w:rPr>
        <w:t>二、</w:t>
      </w:r>
      <w:r>
        <w:t>用卡评测介绍</w:t>
      </w:r>
    </w:p>
    <w:p>
      <w:pPr>
        <w:pStyle w:val="36"/>
      </w:pPr>
      <w:r>
        <w:drawing>
          <wp:inline distT="0" distB="0" distL="114300" distR="114300">
            <wp:extent cx="352425" cy="7315200"/>
            <wp:effectExtent l="0" t="0" r="3175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br w:type="page"/>
      </w:r>
    </w:p>
    <w:p>
      <w:pPr>
        <w:pStyle w:val="44"/>
        <w:keepNext/>
        <w:outlineLvl w:val="0"/>
        <w:rPr>
          <w:lang w:eastAsia="zh-CN"/>
        </w:rPr>
      </w:pPr>
      <w:r>
        <w:rPr>
          <w:rFonts w:hint="eastAsia"/>
          <w:lang w:eastAsia="zh-Hans"/>
        </w:rPr>
        <w:t>三、</w:t>
      </w:r>
      <w:r>
        <w:rPr>
          <w:lang w:eastAsia="zh-CN"/>
        </w:rPr>
        <w:t>订单明细</w:t>
      </w:r>
    </w:p>
    <w:p>
      <w:pPr>
        <w:pStyle w:val="36"/>
        <w:rPr>
          <w:lang w:eastAsia="zh-Hans"/>
        </w:rPr>
      </w:pPr>
      <w:r>
        <w:rPr>
          <w:rFonts w:hint="eastAsia"/>
          <w:lang w:eastAsia="zh-Hans"/>
        </w:rPr>
        <w:t>顶部增加订单切换栏，可切换至用卡评测订单</w:t>
      </w:r>
    </w:p>
    <w:p>
      <w:pPr>
        <w:pStyle w:val="36"/>
        <w:rPr>
          <w:lang w:eastAsia="zh-CN"/>
        </w:rPr>
      </w:pPr>
    </w:p>
    <w:p>
      <w:pPr>
        <w:pStyle w:val="36"/>
      </w:pPr>
      <w:r>
        <w:drawing>
          <wp:inline distT="0" distB="0" distL="114300" distR="114300">
            <wp:extent cx="2814320" cy="6085840"/>
            <wp:effectExtent l="0" t="0" r="5080" b="10160"/>
            <wp:docPr id="20" name="图片 20" descr="订单明细-信用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订单明细-信用卡"/>
                    <pic:cNvPicPr>
                      <a:picLocks noChangeAspect="1"/>
                    </pic:cNvPicPr>
                  </pic:nvPicPr>
                  <pic:blipFill>
                    <a:blip r:embed="rId10"/>
                    <a:srcRect b="28616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四、</w:t>
      </w:r>
      <w:r>
        <w:rPr>
          <w:lang w:eastAsia="zh-CN"/>
        </w:rPr>
        <w:t>订单明细-用卡评测</w:t>
      </w:r>
    </w:p>
    <w:p>
      <w:pPr>
        <w:rPr>
          <w:lang w:eastAsia="zh-CN"/>
        </w:rPr>
      </w:pPr>
      <w:r>
        <w:rPr>
          <w:rFonts w:hint="eastAsia" w:ascii="PingFang SC" w:hAnsi="PingFang SC"/>
          <w:lang w:eastAsia="zh-Hans"/>
        </w:rPr>
        <w:t>只</w:t>
      </w:r>
      <w:r>
        <w:rPr>
          <w:rFonts w:ascii="PingFang SC" w:hAnsi="PingFang SC"/>
          <w:lang w:eastAsia="zh-CN"/>
        </w:rPr>
        <w:t>显示付款成功的订单</w:t>
      </w:r>
      <w:r>
        <w:rPr>
          <w:rFonts w:hint="eastAsia" w:ascii="PingFang SC" w:hAnsi="PingFang SC"/>
          <w:lang w:eastAsia="zh-Hans"/>
        </w:rPr>
        <w:t>，订单状态分为待使用、已使用、已退款；奖励状态未达标、已达标；已使用的订单奖励状态为已达标，给对应业务员发放奖励。</w:t>
      </w:r>
    </w:p>
    <w:p>
      <w:pPr>
        <w:pStyle w:val="36"/>
      </w:pPr>
      <w:r>
        <w:drawing>
          <wp:inline distT="0" distB="0" distL="114300" distR="114300">
            <wp:extent cx="3227070" cy="703199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1832"/>
                    <a:stretch>
                      <a:fillRect/>
                    </a:stretch>
                  </pic:blipFill>
                  <pic:spPr>
                    <a:xfrm>
                      <a:off x="0" y="0"/>
                      <a:ext cx="3235964" cy="70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</w:pPr>
      <w:r>
        <w:br w:type="page"/>
      </w:r>
      <w:r>
        <w:rPr>
          <w:rFonts w:hint="eastAsia"/>
          <w:lang w:eastAsia="zh-Hans"/>
        </w:rPr>
        <w:t>五、</w:t>
      </w:r>
      <w:r>
        <w:t>订单筛选-用卡评测</w:t>
      </w:r>
    </w:p>
    <w:p>
      <w:pPr>
        <w:pStyle w:val="36"/>
      </w:pPr>
    </w:p>
    <w:p>
      <w:pPr>
        <w:pStyle w:val="36"/>
      </w:pPr>
      <w:r>
        <w:drawing>
          <wp:inline distT="0" distB="0" distL="114300" distR="114300">
            <wp:extent cx="3466465" cy="7563485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41762"/>
                    <a:stretch>
                      <a:fillRect/>
                    </a:stretch>
                  </pic:blipFill>
                  <pic:spPr>
                    <a:xfrm>
                      <a:off x="0" y="0"/>
                      <a:ext cx="3479125" cy="75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六、</w:t>
      </w:r>
      <w:r>
        <w:rPr>
          <w:lang w:eastAsia="zh-CN"/>
        </w:rPr>
        <w:t>公众号功能</w:t>
      </w:r>
    </w:p>
    <w:p>
      <w:pPr>
        <w:pStyle w:val="36"/>
        <w:rPr>
          <w:lang w:eastAsia="zh-Hans"/>
        </w:rPr>
      </w:pPr>
      <w:r>
        <w:rPr>
          <w:rFonts w:hint="eastAsia"/>
          <w:lang w:eastAsia="zh-Hans"/>
        </w:rPr>
        <w:t>个人中心增加用卡评测入口，趣伴卡公众号渠道弹窗、轮播图增加用卡评测入口</w:t>
      </w:r>
    </w:p>
    <w:p>
      <w:pPr>
        <w:pStyle w:val="36"/>
      </w:pPr>
      <w:r>
        <w:drawing>
          <wp:inline distT="0" distB="0" distL="114300" distR="114300">
            <wp:extent cx="3371850" cy="7315200"/>
            <wp:effectExtent l="0" t="0" r="635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七、</w:t>
      </w:r>
      <w:r>
        <w:rPr>
          <w:lang w:eastAsia="zh-CN"/>
        </w:rPr>
        <w:t>用卡评测-首次免费</w:t>
      </w:r>
    </w:p>
    <w:p>
      <w:pPr>
        <w:pStyle w:val="36"/>
        <w:rPr>
          <w:lang w:eastAsia="zh-Hans"/>
        </w:rPr>
      </w:pPr>
      <w:r>
        <w:rPr>
          <w:rFonts w:hint="eastAsia"/>
          <w:lang w:eastAsia="zh-Hans"/>
        </w:rPr>
        <w:t>进入用卡评测页面，判断用户是否使用过首单</w:t>
      </w:r>
      <w:r>
        <w:rPr>
          <w:lang w:eastAsia="zh-Hans"/>
        </w:rPr>
        <w:t>0</w:t>
      </w:r>
      <w:r>
        <w:rPr>
          <w:rFonts w:hint="eastAsia"/>
          <w:lang w:eastAsia="zh-Hans"/>
        </w:rPr>
        <w:t>元权益（根据用户手机号全局判断，包括已注销用户），对于未使用过的用户展示本页面，底部无订单入口。</w:t>
      </w:r>
    </w:p>
    <w:p>
      <w:pPr>
        <w:pStyle w:val="36"/>
      </w:pPr>
      <w:r>
        <w:drawing>
          <wp:inline distT="0" distB="0" distL="114300" distR="114300">
            <wp:extent cx="3055620" cy="6640195"/>
            <wp:effectExtent l="0" t="0" r="1778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664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八、</w:t>
      </w:r>
      <w:r>
        <w:rPr>
          <w:lang w:eastAsia="zh-CN"/>
        </w:rPr>
        <w:t>用卡评测-支付成功</w:t>
      </w:r>
    </w:p>
    <w:p>
      <w:pPr>
        <w:pStyle w:val="36"/>
        <w:rPr>
          <w:lang w:eastAsia="zh-Hans"/>
        </w:rPr>
      </w:pPr>
      <w:r>
        <w:rPr>
          <w:rFonts w:hint="eastAsia"/>
          <w:lang w:eastAsia="zh-Hans"/>
        </w:rPr>
        <w:t>用户完成支付页面，展示订单号、使用说明，给出去评测入口，点击后跳转至智慧方验证信息页面，接口中传递订单号、状态等信息</w:t>
      </w:r>
    </w:p>
    <w:p>
      <w:pPr>
        <w:pStyle w:val="36"/>
      </w:pPr>
      <w:r>
        <w:drawing>
          <wp:inline distT="0" distB="0" distL="114300" distR="114300">
            <wp:extent cx="2675255" cy="5903595"/>
            <wp:effectExtent l="0" t="0" r="17145" b="146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九、用卡评测-非首次</w:t>
      </w:r>
    </w:p>
    <w:p>
      <w:pPr>
        <w:pStyle w:val="36"/>
        <w:rPr>
          <w:lang w:eastAsia="zh-CN"/>
        </w:rPr>
      </w:pPr>
    </w:p>
    <w:p>
      <w:pPr>
        <w:pStyle w:val="36"/>
        <w:rPr>
          <w:lang w:eastAsia="zh-Hans"/>
        </w:rPr>
      </w:pPr>
      <w:r>
        <w:rPr>
          <w:rFonts w:hint="eastAsia"/>
          <w:lang w:eastAsia="zh-Hans"/>
        </w:rPr>
        <w:t>展示付款金额，用户确认可进入支付页面</w:t>
      </w:r>
    </w:p>
    <w:p>
      <w:pPr>
        <w:pStyle w:val="36"/>
      </w:pPr>
      <w:r>
        <w:drawing>
          <wp:inline distT="0" distB="0" distL="114300" distR="114300">
            <wp:extent cx="3018155" cy="6543040"/>
            <wp:effectExtent l="0" t="0" r="444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654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十、</w:t>
      </w:r>
      <w:r>
        <w:rPr>
          <w:lang w:eastAsia="zh-CN"/>
        </w:rPr>
        <w:t>微信支付</w:t>
      </w:r>
    </w:p>
    <w:p>
      <w:pPr>
        <w:pStyle w:val="36"/>
        <w:rPr>
          <w:lang w:eastAsia="zh-Hans"/>
        </w:rPr>
      </w:pPr>
      <w:r>
        <w:rPr>
          <w:rFonts w:hint="eastAsia"/>
          <w:lang w:eastAsia="zh-Hans"/>
        </w:rPr>
        <w:t>通过公众号支付接口，调起支付页面，支付成功后进入支付成功页面；未支付，产生的订单不在用户端显示，但须记录在后台</w:t>
      </w:r>
    </w:p>
    <w:p>
      <w:pPr>
        <w:pStyle w:val="36"/>
      </w:pPr>
      <w:r>
        <w:drawing>
          <wp:inline distT="0" distB="0" distL="114300" distR="114300">
            <wp:extent cx="3507740" cy="760984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0921" cy="76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9"/>
      </w:pPr>
      <w:r>
        <w:br w:type="page"/>
      </w:r>
    </w:p>
    <w:p>
      <w:pPr>
        <w:pStyle w:val="44"/>
        <w:keepNext/>
        <w:outlineLvl w:val="9"/>
        <w:rPr>
          <w:rFonts w:ascii="微软雅黑" w:hAnsi="微软雅黑" w:eastAsia="微软雅黑" w:cs="微软雅黑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微软雅黑" w:hAnsi="微软雅黑" w:eastAsia="微软雅黑" w:cs="微软雅黑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银联智惠侧：</w:t>
      </w:r>
    </w:p>
    <w:p>
      <w:pPr>
        <w:pStyle w:val="44"/>
        <w:keepNext/>
        <w:numPr>
          <w:ilvl w:val="0"/>
          <w:numId w:val="2"/>
        </w:numPr>
        <w:outlineLvl w:val="0"/>
        <w:rPr>
          <w:rFonts w:ascii="微软雅黑" w:hAnsi="微软雅黑" w:eastAsia="微软雅黑" w:cs="微软雅黑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微软雅黑" w:hAnsi="微软雅黑" w:eastAsia="微软雅黑" w:cs="微软雅黑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持卡人身份认证</w:t>
      </w:r>
    </w:p>
    <w:p>
      <w:pPr>
        <w:pStyle w:val="44"/>
        <w:keepNext/>
        <w:outlineLvl w:val="9"/>
        <w:rPr>
          <w:rFonts w:ascii="微软雅黑" w:hAnsi="微软雅黑" w:eastAsia="微软雅黑" w:cs="微软雅黑"/>
          <w:b w:val="0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用户支付成功后，将跳转到持卡人认证页面，或者从我的订单页面使用订单可跳转到持卡人认证页面。需要先校验是</w:t>
      </w:r>
      <w:r>
        <w:rPr>
          <w:rFonts w:ascii="微软雅黑" w:hAnsi="微软雅黑" w:eastAsia="微软雅黑" w:cs="微软雅黑"/>
          <w:b w:val="0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趣伴卡</w:t>
      </w:r>
      <w:r>
        <w:rPr>
          <w:rFonts w:hint="eastAsia" w:ascii="微软雅黑" w:hAnsi="微软雅黑" w:eastAsia="微软雅黑" w:cs="微软雅黑"/>
          <w:b w:val="0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侧相应页面跳转过来的，要带上订单号，需要将订单号进行下状态确定，只有该订单状态最新状态为待使用的订单才可成功跳转该页面。</w:t>
      </w:r>
    </w:p>
    <w:p>
      <w:pPr>
        <w:pStyle w:val="44"/>
        <w:keepNext/>
        <w:outlineLvl w:val="9"/>
        <w:rPr>
          <w:lang w:eastAsia="zh-CN"/>
        </w:rPr>
      </w:pPr>
      <w:r>
        <w:rPr>
          <w:rFonts w:hint="eastAsia" w:eastAsia="宋体"/>
          <w:lang w:eastAsia="zh-CN"/>
        </w:rPr>
        <w:t xml:space="preserve">                               </w:t>
      </w:r>
      <w:r>
        <w:rPr>
          <w:rFonts w:eastAsia="宋体"/>
          <w:lang w:eastAsia="zh-CN"/>
        </w:rPr>
        <w:drawing>
          <wp:inline distT="0" distB="0" distL="0" distR="0">
            <wp:extent cx="4617085" cy="67379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788" cy="67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9"/>
        <w:rPr>
          <w:rFonts w:eastAsia="宋体"/>
          <w:color w:val="E46C0A" w:themeColor="accent6" w:themeShade="BF"/>
          <w:lang w:eastAsia="zh-CN"/>
        </w:rPr>
      </w:pPr>
      <w:r>
        <w:rPr>
          <w:rFonts w:hint="eastAsia" w:eastAsia="宋体"/>
          <w:color w:val="E46C0A" w:themeColor="accent6" w:themeShade="BF"/>
          <w:lang w:eastAsia="zh-CN"/>
        </w:rPr>
        <w:t>持卡人认证填写内容需要进行校验，校验规则如下：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1、校验顺序，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  1）先校验姓名、银行卡号、银行卡预留手机号、身份证号是否都已经填写，格式是否都正确，未填写的提示“请填写准确信息”；已填写的须先校验格式，不符合校验要求的进行提示“格式错误，请重新输入”；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2）上述内容验证通过后，验证是否是信用卡（验证方式：流水卡性质字段），确定是信用卡再发起四要素验证；如果非信用卡直接提示“请填写信用卡，非信用卡不能查询信用卡报告”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3）上述都没问题再发起四要素验证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     3.1四要素验证一致，将成功进入下一查询环节；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     3.2四要素验证不一致/失败，提示：“验证失败，请确认四要素信息是否正确”，可发起重试。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2、用户需勾选</w:t>
      </w:r>
      <w:r>
        <w:rPr>
          <w:rFonts w:ascii="微软雅黑" w:hAnsi="微软雅黑" w:eastAsia="微软雅黑" w:cs="微软雅黑"/>
          <w:color w:val="E46C0A" w:themeColor="accent6" w:themeShade="BF"/>
        </w:rPr>
        <w:t>“</w:t>
      </w:r>
      <w:r>
        <w:rPr>
          <w:rFonts w:hint="eastAsia" w:ascii="微软雅黑" w:hAnsi="微软雅黑" w:eastAsia="微软雅黑" w:cs="微软雅黑"/>
          <w:color w:val="E46C0A" w:themeColor="accent6" w:themeShade="BF"/>
        </w:rPr>
        <w:t>已确认并同意授权“的按钮，该按钮一开始默认为未勾选状态；（点击用户协议出现弹框，</w:t>
      </w:r>
      <w:r>
        <w:rPr>
          <w:rFonts w:ascii="微软雅黑" w:hAnsi="微软雅黑" w:eastAsia="微软雅黑" w:cs="微软雅黑"/>
          <w:color w:val="E46C0A" w:themeColor="accent6" w:themeShade="BF"/>
        </w:rPr>
        <w:t>显示具体协议内容供用户查看</w:t>
      </w:r>
      <w:r>
        <w:rPr>
          <w:rFonts w:hint="eastAsia" w:ascii="微软雅黑" w:hAnsi="微软雅黑" w:eastAsia="微软雅黑" w:cs="微软雅黑"/>
          <w:color w:val="E46C0A" w:themeColor="accent6" w:themeShade="BF"/>
        </w:rPr>
        <w:t>，</w:t>
      </w:r>
      <w:r>
        <w:rPr>
          <w:rFonts w:ascii="微软雅黑" w:hAnsi="微软雅黑" w:eastAsia="微软雅黑" w:cs="微软雅黑"/>
          <w:color w:val="E46C0A" w:themeColor="accent6" w:themeShade="BF"/>
        </w:rPr>
        <w:t>用户可关闭用户协议页面回到已填些页面</w:t>
      </w:r>
      <w:r>
        <w:rPr>
          <w:rFonts w:hint="eastAsia" w:ascii="微软雅黑" w:hAnsi="微软雅黑" w:eastAsia="微软雅黑" w:cs="微软雅黑"/>
          <w:color w:val="E46C0A" w:themeColor="accent6" w:themeShade="BF"/>
        </w:rPr>
        <w:t>）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3、上述均一致，</w:t>
      </w:r>
      <w:r>
        <w:rPr>
          <w:rFonts w:ascii="微软雅黑" w:hAnsi="微软雅黑" w:eastAsia="微软雅黑" w:cs="微软雅黑"/>
          <w:color w:val="E46C0A" w:themeColor="accent6" w:themeShade="BF"/>
        </w:rPr>
        <w:t>且用户点击授权勾选</w:t>
      </w:r>
      <w:r>
        <w:rPr>
          <w:rFonts w:hint="eastAsia" w:ascii="微软雅黑" w:hAnsi="微软雅黑" w:eastAsia="微软雅黑" w:cs="微软雅黑"/>
          <w:color w:val="E46C0A" w:themeColor="accent6" w:themeShade="BF"/>
        </w:rPr>
        <w:t>，才可以发起提交验证</w:t>
      </w:r>
    </w:p>
    <w:p>
      <w:pPr>
        <w:pStyle w:val="18"/>
        <w:spacing w:beforeAutospacing="0" w:after="75" w:afterAutospacing="0"/>
        <w:rPr>
          <w:rFonts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4、同一银行卡号3</w:t>
      </w:r>
      <w:r>
        <w:rPr>
          <w:rFonts w:ascii="微软雅黑" w:hAnsi="微软雅黑" w:eastAsia="微软雅黑" w:cs="微软雅黑"/>
          <w:color w:val="E46C0A" w:themeColor="accent6" w:themeShade="BF"/>
        </w:rPr>
        <w:t>秒内重复提交将提示</w:t>
      </w:r>
      <w:r>
        <w:rPr>
          <w:rFonts w:hint="eastAsia" w:ascii="微软雅黑" w:hAnsi="微软雅黑" w:eastAsia="微软雅黑" w:cs="微软雅黑"/>
          <w:color w:val="E46C0A" w:themeColor="accent6" w:themeShade="BF"/>
        </w:rPr>
        <w:t>：提交过于频繁，请稍后再试</w:t>
      </w:r>
    </w:p>
    <w:p>
      <w:pPr>
        <w:pStyle w:val="18"/>
        <w:spacing w:beforeAutospacing="0" w:afterAutospacing="0"/>
        <w:rPr>
          <w:rFonts w:hint="eastAsia" w:ascii="微软雅黑" w:hAnsi="微软雅黑" w:eastAsia="微软雅黑" w:cs="微软雅黑"/>
          <w:color w:val="E46C0A" w:themeColor="accent6" w:themeShade="BF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</w:rPr>
        <w:t>5、同一订单号单日5次验证不一致；同一用户id单日10次不一致，弹窗报错“验证不一致次数过多，请次日再试”，完全相同的一组四要素验证不一致后不再允许重复验证，提示“请填写正确的四要素信息”</w:t>
      </w:r>
    </w:p>
    <w:p>
      <w:pPr>
        <w:pStyle w:val="44"/>
        <w:keepNext/>
        <w:outlineLvl w:val="0"/>
        <w:rPr>
          <w:rFonts w:eastAsia="宋体"/>
          <w:color w:val="E46C0A" w:themeColor="accent6" w:themeShade="BF"/>
          <w:lang w:eastAsia="zh-CN"/>
        </w:rPr>
      </w:pPr>
      <w:r>
        <w:rPr>
          <w:rFonts w:hint="eastAsia" w:eastAsia="宋体"/>
          <w:color w:val="E46C0A" w:themeColor="accent6" w:themeShade="BF"/>
          <w:lang w:eastAsia="zh-CN"/>
        </w:rPr>
        <w:t>十二、用户报告查询跳转</w:t>
      </w:r>
    </w:p>
    <w:p>
      <w:pPr>
        <w:pStyle w:val="44"/>
        <w:keepNext/>
        <w:ind w:firstLine="600" w:firstLineChars="250"/>
        <w:outlineLvl w:val="9"/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</w:pPr>
      <w:r>
        <w:rPr>
          <w:rFonts w:hint="eastAsia" w:ascii="微软雅黑" w:hAnsi="微软雅黑" w:eastAsia="微软雅黑"/>
          <w:b w:val="0"/>
          <w:color w:val="E46C0A" w:themeColor="accent6" w:themeShade="BF"/>
          <w:sz w:val="24"/>
          <w:lang w:eastAsia="zh-CN"/>
        </w:rPr>
        <w:t>持卡人认证通过后，系统需要去查询订单状态，确定订单最新状态为“待使用”状态，</w:t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t>再</w:t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softHyphen/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t>发起已上传的信用卡的用卡评测报告查询行为</w:t>
      </w:r>
      <w:r>
        <w:rPr>
          <w:rFonts w:hint="eastAsia" w:ascii="微软雅黑" w:hAnsi="微软雅黑" w:eastAsia="微软雅黑"/>
          <w:b w:val="0"/>
          <w:color w:val="E46C0A" w:themeColor="accent6" w:themeShade="BF"/>
          <w:sz w:val="24"/>
          <w:lang w:eastAsia="zh-CN"/>
        </w:rPr>
        <w:t>，中间涉及多流程且用户报告为图片图表需要一定加载时间，故在跳转的时候设计中途等待页面。</w:t>
      </w:r>
    </w:p>
    <w:p>
      <w:pPr>
        <w:pStyle w:val="44"/>
        <w:keepNext/>
        <w:numPr>
          <w:ilvl w:val="0"/>
          <w:numId w:val="3"/>
        </w:numPr>
        <w:outlineLvl w:val="9"/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</w:pPr>
      <w:r>
        <w:rPr>
          <w:rFonts w:hint="eastAsia" w:ascii="微软雅黑" w:hAnsi="微软雅黑" w:eastAsia="微软雅黑"/>
          <w:b w:val="0"/>
          <w:color w:val="E46C0A" w:themeColor="accent6" w:themeShade="BF"/>
          <w:sz w:val="24"/>
          <w:lang w:eastAsia="zh-CN"/>
        </w:rPr>
        <w:t>如果查到报告，成功跳转到报告查得页面；（时间短于5s出结果可以直接跳转，不用等满5s）</w:t>
      </w:r>
    </w:p>
    <w:p>
      <w:pPr>
        <w:pStyle w:val="44"/>
        <w:keepNext/>
        <w:numPr>
          <w:ilvl w:val="0"/>
          <w:numId w:val="3"/>
        </w:numPr>
        <w:outlineLvl w:val="9"/>
        <w:rPr>
          <w:rFonts w:hint="eastAsia" w:ascii="微软雅黑" w:hAnsi="微软雅黑" w:eastAsia="微软雅黑"/>
          <w:b w:val="0"/>
          <w:color w:val="E46C0A" w:themeColor="accent6" w:themeShade="BF"/>
          <w:sz w:val="24"/>
          <w:lang w:eastAsia="zh-CN"/>
        </w:rPr>
      </w:pPr>
      <w:r>
        <w:rPr>
          <w:rFonts w:hint="eastAsia" w:ascii="微软雅黑" w:hAnsi="微软雅黑" w:eastAsia="微软雅黑"/>
          <w:b w:val="0"/>
          <w:color w:val="E46C0A" w:themeColor="accent6" w:themeShade="BF"/>
          <w:sz w:val="24"/>
          <w:lang w:eastAsia="zh-CN"/>
        </w:rPr>
        <w:t>如果没有查到报告，加载页面显示结果：未查询到报告。用户点击“确认”按钮跳转到我的订单页面。（如果超过</w:t>
      </w: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t>5</w:t>
      </w:r>
      <w:r>
        <w:rPr>
          <w:rFonts w:hint="eastAsia" w:ascii="微软雅黑" w:hAnsi="微软雅黑" w:eastAsia="微软雅黑"/>
          <w:b w:val="0"/>
          <w:color w:val="E46C0A" w:themeColor="accent6" w:themeShade="BF"/>
          <w:sz w:val="24"/>
          <w:lang w:eastAsia="zh-CN"/>
        </w:rPr>
        <w:t>秒仍未出任何结果，显示连接超时，出现“刷新重试”按钮，可点击重新发起请求）</w:t>
      </w:r>
    </w:p>
    <w:p>
      <w:pPr>
        <w:pStyle w:val="44"/>
        <w:keepNext/>
        <w:ind w:firstLine="840" w:firstLineChars="350"/>
        <w:outlineLvl w:val="9"/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</w:pP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drawing>
          <wp:inline distT="0" distB="0" distL="0" distR="0">
            <wp:extent cx="2018665" cy="2171065"/>
            <wp:effectExtent l="0" t="0" r="13335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5975" cy="2170430"/>
            <wp:effectExtent l="0" t="0" r="22225" b="139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13560" cy="2174875"/>
            <wp:effectExtent l="0" t="0" r="15240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ind w:firstLine="840" w:firstLineChars="350"/>
        <w:outlineLvl w:val="9"/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</w:pPr>
    </w:p>
    <w:p>
      <w:pP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</w:pPr>
      <w:r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  <w:br w:type="page"/>
      </w:r>
    </w:p>
    <w:p>
      <w:pPr>
        <w:pStyle w:val="44"/>
        <w:keepNext/>
        <w:outlineLvl w:val="0"/>
        <w:rPr>
          <w:rFonts w:ascii="微软雅黑" w:hAnsi="微软雅黑" w:eastAsia="微软雅黑"/>
          <w:b w:val="0"/>
          <w:color w:val="E46C0A" w:themeColor="accent6" w:themeShade="BF"/>
          <w:sz w:val="24"/>
          <w:lang w:eastAsia="zh-CN"/>
        </w:rPr>
      </w:pPr>
      <w:r>
        <w:rPr>
          <w:rFonts w:hint="eastAsia" w:ascii="微软雅黑" w:hAnsi="微软雅黑" w:eastAsia="微软雅黑"/>
          <w:b w:val="0"/>
          <w:color w:val="E46C0A" w:themeColor="accent6" w:themeShade="BF"/>
          <w:sz w:val="24"/>
          <w:lang w:eastAsia="zh-CN"/>
        </w:rPr>
        <w:t>十三、报告查得页面：出现查得页面后，用户可选择关闭页面或者点击“订单列表”跳转到我的订单页面。</w:t>
      </w:r>
    </w:p>
    <w:p>
      <w:pPr>
        <w:pStyle w:val="44"/>
        <w:keepNext/>
        <w:jc w:val="center"/>
        <w:outlineLvl w:val="9"/>
        <w:rPr>
          <w:color w:val="E46C0A" w:themeColor="accent6" w:themeShade="BF"/>
          <w:lang w:eastAsia="zh-CN"/>
        </w:rPr>
      </w:pPr>
      <w:r>
        <w:rPr>
          <w:color w:val="E46C0A" w:themeColor="accent6" w:themeShade="BF"/>
          <w:lang w:eastAsia="zh-CN"/>
        </w:rPr>
        <w:drawing>
          <wp:inline distT="0" distB="0" distL="0" distR="0">
            <wp:extent cx="3552825" cy="7845425"/>
            <wp:effectExtent l="0" t="0" r="317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9752" cy="78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rFonts w:hint="eastAsia" w:eastAsia="宋体"/>
          <w:lang w:eastAsia="zh-CN"/>
        </w:rPr>
        <w:t>十四、</w:t>
      </w:r>
      <w:r>
        <w:rPr>
          <w:lang w:eastAsia="zh-CN"/>
        </w:rPr>
        <w:t>用卡评测-我的订单</w:t>
      </w:r>
    </w:p>
    <w:p>
      <w:pPr>
        <w:pStyle w:val="36"/>
        <w:numPr>
          <w:ilvl w:val="0"/>
          <w:numId w:val="4"/>
        </w:numPr>
        <w:jc w:val="left"/>
        <w:rPr>
          <w:lang w:eastAsia="zh-Hans"/>
        </w:rPr>
      </w:pPr>
      <w:r>
        <w:rPr>
          <w:rFonts w:hint="eastAsia"/>
          <w:lang w:eastAsia="zh-Hans"/>
        </w:rPr>
        <w:t>可通过购买日期筛选订单</w:t>
      </w:r>
    </w:p>
    <w:p>
      <w:pPr>
        <w:pStyle w:val="36"/>
        <w:numPr>
          <w:ilvl w:val="0"/>
          <w:numId w:val="4"/>
        </w:numPr>
        <w:jc w:val="left"/>
        <w:rPr>
          <w:lang w:eastAsia="zh-Hans"/>
        </w:rPr>
      </w:pPr>
      <w:r>
        <w:rPr>
          <w:rFonts w:hint="eastAsia"/>
          <w:lang w:eastAsia="zh-Hans"/>
        </w:rPr>
        <w:t>报告状态分为未获取、可查看、已撤销三种</w:t>
      </w:r>
      <w:r>
        <w:rPr>
          <w:rFonts w:hint="eastAsia" w:ascii="宋体" w:hAnsi="宋体" w:eastAsia="宋体" w:cs="宋体"/>
          <w:lang w:eastAsia="zh-Hans"/>
        </w:rPr>
        <w:t>。</w:t>
      </w:r>
    </w:p>
    <w:p>
      <w:pPr>
        <w:pStyle w:val="36"/>
        <w:jc w:val="left"/>
        <w:rPr>
          <w:color w:val="F79646" w:themeColor="accent6"/>
          <w:lang w:eastAsia="zh-Hans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eastAsia="zh-Hans"/>
        </w:rPr>
        <w:t xml:space="preserve"> </w:t>
      </w:r>
      <w:r>
        <w:rPr>
          <w:lang w:eastAsia="zh-Hans"/>
        </w:rPr>
        <w:t xml:space="preserve">    </w:t>
      </w:r>
      <w:r>
        <w:rPr>
          <w:rFonts w:hint="eastAsia" w:ascii="宋体" w:hAnsi="宋体" w:eastAsia="宋体" w:cs="宋体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点击可查看可跳转到智惠的该订单号的报告查得页面。在跳转之前智惠需要校验下来源是否是御风的该页面。</w:t>
      </w:r>
    </w:p>
    <w:p>
      <w:pPr>
        <w:pStyle w:val="36"/>
        <w:numPr>
          <w:ilvl w:val="0"/>
          <w:numId w:val="4"/>
        </w:numPr>
        <w:jc w:val="left"/>
        <w:rPr>
          <w:lang w:eastAsia="zh-Hans"/>
        </w:rPr>
      </w:pPr>
      <w:r>
        <w:rPr>
          <w:rFonts w:hint="eastAsia"/>
          <w:lang w:eastAsia="zh-Hans"/>
        </w:rPr>
        <w:t>未获取的订单可申请退款或去评测使用</w:t>
      </w:r>
    </w:p>
    <w:p>
      <w:pPr>
        <w:pStyle w:val="36"/>
        <w:jc w:val="left"/>
        <w:rPr>
          <w:rFonts w:ascii="宋体" w:hAnsi="宋体" w:eastAsia="宋体" w:cs="宋体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eastAsia="zh-Hans"/>
        </w:rPr>
        <w:t xml:space="preserve"> </w:t>
      </w:r>
      <w:r>
        <w:rPr>
          <w:lang w:eastAsia="zh-Hans"/>
        </w:rPr>
        <w:t xml:space="preserve">     </w:t>
      </w:r>
      <w:r>
        <w:rPr>
          <w:rFonts w:hint="eastAsia" w:ascii="宋体" w:hAnsi="宋体" w:eastAsia="宋体" w:cs="宋体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点击去评测将带着订单号等信息跳转到智惠侧的持卡人验证-报告查询流程。</w:t>
      </w:r>
    </w:p>
    <w:p>
      <w:pPr>
        <w:pStyle w:val="36"/>
        <w:numPr>
          <w:ilvl w:val="0"/>
          <w:numId w:val="4"/>
        </w:numPr>
        <w:jc w:val="left"/>
        <w:rPr>
          <w:lang w:eastAsia="zh-Hans"/>
        </w:rPr>
      </w:pPr>
      <w:r>
        <w:rPr>
          <w:rFonts w:hint="eastAsia"/>
          <w:lang w:eastAsia="zh-Hans"/>
        </w:rPr>
        <w:t>可查看的订单只能申请撤销授权</w:t>
      </w:r>
    </w:p>
    <w:p>
      <w:pPr>
        <w:pStyle w:val="36"/>
        <w:jc w:val="left"/>
        <w:rPr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eastAsia="zh-Hans"/>
        </w:rPr>
        <w:t xml:space="preserve"> </w:t>
      </w:r>
      <w:r>
        <w:rPr>
          <w:lang w:eastAsia="zh-Hans"/>
        </w:rPr>
        <w:t xml:space="preserve">     </w:t>
      </w:r>
      <w:r>
        <w:rPr>
          <w:rFonts w:hint="eastAsia" w:ascii="宋体" w:hAnsi="宋体" w:eastAsia="宋体" w:cs="宋体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点击撤销授权将出现弹框提示，用户确定撤销授权后，御风侧将发送智惠侧客户撤销信息，智惠侧将该订单断开御风侧也访问，（历史记录已经获得客户授权，不用删除，但是不供客户再访问和内部再调用）。同时御风侧将会将该订单的模块页面变更状态为已核销，可联系客服申请退款。</w:t>
      </w:r>
    </w:p>
    <w:p>
      <w:pPr>
        <w:pStyle w:val="36"/>
        <w:numPr>
          <w:ilvl w:val="0"/>
          <w:numId w:val="4"/>
        </w:numPr>
        <w:jc w:val="left"/>
        <w:rPr>
          <w:lang w:eastAsia="zh-Hans"/>
        </w:rPr>
      </w:pPr>
      <w:r>
        <w:rPr>
          <w:rFonts w:hint="eastAsia"/>
          <w:lang w:eastAsia="zh-Hans"/>
        </w:rPr>
        <w:t>已撤销的订单可通过联系客服申请退款</w:t>
      </w:r>
    </w:p>
    <w:p>
      <w:pPr>
        <w:pStyle w:val="36"/>
      </w:pPr>
      <w:r>
        <w:drawing>
          <wp:inline distT="0" distB="0" distL="114300" distR="114300">
            <wp:extent cx="2640965" cy="5621020"/>
            <wp:effectExtent l="0" t="0" r="635" b="1778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62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十</w:t>
      </w:r>
      <w:r>
        <w:rPr>
          <w:rFonts w:hint="eastAsia" w:ascii="宋体" w:hAnsi="宋体" w:eastAsia="宋体" w:cs="宋体"/>
          <w:lang w:eastAsia="zh-CN"/>
        </w:rPr>
        <w:t>五</w:t>
      </w:r>
      <w:r>
        <w:rPr>
          <w:rFonts w:hint="eastAsia"/>
          <w:lang w:eastAsia="zh-Hans"/>
        </w:rPr>
        <w:t>、一</w:t>
      </w:r>
      <w:r>
        <w:rPr>
          <w:lang w:eastAsia="zh-CN"/>
        </w:rPr>
        <w:t>用卡评测-我的订单-申请退款</w:t>
      </w:r>
    </w:p>
    <w:p>
      <w:pPr>
        <w:pStyle w:val="36"/>
        <w:rPr>
          <w:rFonts w:ascii="宋体" w:hAnsi="宋体" w:eastAsia="宋体" w:cs="宋体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eastAsia="zh-Hans"/>
        </w:rPr>
        <w:t>对待获取状态的订单，可申请退款，退款时须调用智慧接口验证该订单状态</w:t>
      </w:r>
      <w:r>
        <w:rPr>
          <w:rFonts w:hint="eastAsia" w:ascii="宋体" w:hAnsi="宋体" w:eastAsia="宋体" w:cs="宋体"/>
          <w:lang w:eastAsia="zh-Hans"/>
        </w:rPr>
        <w:t>。</w:t>
      </w:r>
      <w:r>
        <w:rPr>
          <w:rFonts w:hint="eastAsia" w:ascii="宋体" w:hAnsi="宋体" w:eastAsia="宋体" w:cs="宋体"/>
          <w:color w:val="F79646" w:themeColor="accent6"/>
          <w:lang w:eastAsia="zh-CN"/>
          <w14:textFill>
            <w14:solidFill>
              <w14:schemeClr w14:val="accent6"/>
            </w14:solidFill>
          </w14:textFill>
        </w:rPr>
        <w:t>退款成功也将同步智惠侧该笔订单已退款的状态更新。</w:t>
      </w:r>
    </w:p>
    <w:p>
      <w:pPr>
        <w:pStyle w:val="36"/>
      </w:pPr>
      <w:r>
        <w:drawing>
          <wp:inline distT="0" distB="0" distL="114300" distR="114300">
            <wp:extent cx="2477770" cy="5358130"/>
            <wp:effectExtent l="0" t="0" r="11430" b="12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535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十</w:t>
      </w:r>
      <w:r>
        <w:rPr>
          <w:rFonts w:hint="eastAsia" w:ascii="宋体" w:hAnsi="宋体" w:eastAsia="宋体" w:cs="宋体"/>
          <w:lang w:eastAsia="zh-CN"/>
        </w:rPr>
        <w:t>六</w:t>
      </w:r>
      <w:r>
        <w:rPr>
          <w:rFonts w:hint="eastAsia"/>
          <w:lang w:eastAsia="zh-Hans"/>
        </w:rPr>
        <w:t>、二</w:t>
      </w:r>
      <w:r>
        <w:rPr>
          <w:lang w:eastAsia="zh-CN"/>
        </w:rPr>
        <w:t>用卡评测-我的订单-撤销授权</w:t>
      </w:r>
    </w:p>
    <w:p>
      <w:pPr>
        <w:pStyle w:val="36"/>
        <w:rPr>
          <w:lang w:eastAsia="zh-Hans"/>
        </w:rPr>
      </w:pPr>
      <w:r>
        <w:rPr>
          <w:rFonts w:hint="eastAsia"/>
          <w:lang w:eastAsia="zh-Hans"/>
        </w:rPr>
        <w:t>对可查看状态的报告，可撤销授权，撤销授权调用智慧方接口，撤销后验证信息删除，报告删除</w:t>
      </w:r>
    </w:p>
    <w:p>
      <w:pPr>
        <w:pStyle w:val="36"/>
      </w:pPr>
      <w:r>
        <w:drawing>
          <wp:inline distT="0" distB="0" distL="114300" distR="114300">
            <wp:extent cx="2548890" cy="5534025"/>
            <wp:effectExtent l="0" t="0" r="16510" b="317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十</w:t>
      </w:r>
      <w:r>
        <w:rPr>
          <w:rFonts w:hint="eastAsia" w:ascii="宋体" w:hAnsi="宋体" w:eastAsia="宋体" w:cs="宋体"/>
          <w:lang w:eastAsia="zh-CN"/>
        </w:rPr>
        <w:t>七</w:t>
      </w:r>
      <w:r>
        <w:rPr>
          <w:rFonts w:hint="eastAsia"/>
          <w:lang w:eastAsia="zh-Hans"/>
        </w:rPr>
        <w:t>、三</w:t>
      </w:r>
      <w:r>
        <w:rPr>
          <w:lang w:eastAsia="zh-CN"/>
        </w:rPr>
        <w:t>用卡评测-我的订单-联系客服</w:t>
      </w:r>
    </w:p>
    <w:p>
      <w:pPr>
        <w:pStyle w:val="36"/>
        <w:rPr>
          <w:lang w:eastAsia="zh-Hans"/>
        </w:rPr>
      </w:pPr>
      <w:r>
        <w:rPr>
          <w:rFonts w:hint="eastAsia"/>
          <w:lang w:eastAsia="zh-Hans"/>
        </w:rPr>
        <w:t>对撤销授权的订单，可通过联系客服申请退款，由客服在控台操作退款</w:t>
      </w:r>
    </w:p>
    <w:p>
      <w:pPr>
        <w:pStyle w:val="36"/>
      </w:pPr>
      <w:r>
        <w:drawing>
          <wp:inline distT="0" distB="0" distL="114300" distR="114300">
            <wp:extent cx="2659380" cy="5781675"/>
            <wp:effectExtent l="0" t="0" r="7620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/>
          <w:lang w:eastAsia="zh-Hans"/>
        </w:rPr>
        <w:t>十</w:t>
      </w:r>
      <w:r>
        <w:rPr>
          <w:rFonts w:hint="eastAsia" w:ascii="宋体" w:hAnsi="宋体" w:eastAsia="宋体" w:cs="宋体"/>
          <w:lang w:eastAsia="zh-CN"/>
        </w:rPr>
        <w:t>八</w:t>
      </w:r>
      <w:r>
        <w:rPr>
          <w:rFonts w:hint="eastAsia"/>
          <w:lang w:eastAsia="zh-Hans"/>
        </w:rPr>
        <w:t>、四</w:t>
      </w:r>
      <w:r>
        <w:rPr>
          <w:lang w:eastAsia="zh-CN"/>
        </w:rPr>
        <w:t>用卡评测-我的订单-选择月份</w:t>
      </w:r>
    </w:p>
    <w:p>
      <w:pPr>
        <w:pStyle w:val="36"/>
        <w:rPr>
          <w:lang w:eastAsia="zh-CN"/>
        </w:rPr>
      </w:pPr>
    </w:p>
    <w:p>
      <w:pPr>
        <w:pStyle w:val="36"/>
      </w:pPr>
      <w:r>
        <w:drawing>
          <wp:inline distT="0" distB="0" distL="114300" distR="114300">
            <wp:extent cx="2801620" cy="6018530"/>
            <wp:effectExtent l="0" t="0" r="17780" b="12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601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0"/>
        <w:rPr>
          <w:lang w:eastAsia="zh-CN"/>
        </w:rPr>
      </w:pPr>
      <w:r>
        <w:rPr>
          <w:rFonts w:hint="eastAsia"/>
          <w:lang w:eastAsia="zh-Hans"/>
        </w:rPr>
        <w:t>十</w:t>
      </w:r>
      <w:r>
        <w:rPr>
          <w:rFonts w:hint="eastAsia" w:ascii="宋体" w:hAnsi="宋体" w:eastAsia="宋体" w:cs="宋体"/>
          <w:lang w:eastAsia="zh-CN"/>
        </w:rPr>
        <w:t>九</w:t>
      </w:r>
      <w:r>
        <w:rPr>
          <w:rFonts w:hint="eastAsia"/>
          <w:lang w:eastAsia="zh-Hans"/>
        </w:rPr>
        <w:t>、</w:t>
      </w:r>
      <w:r>
        <w:rPr>
          <w:lang w:eastAsia="zh-CN"/>
        </w:rPr>
        <w:t>控台-用卡评测订单管理</w:t>
      </w:r>
    </w:p>
    <w:p>
      <w:pPr>
        <w:pStyle w:val="36"/>
      </w:pPr>
      <w:r>
        <w:drawing>
          <wp:inline distT="0" distB="0" distL="114300" distR="114300">
            <wp:extent cx="6844030" cy="2905125"/>
            <wp:effectExtent l="0" t="0" r="13970" b="15875"/>
            <wp:docPr id="3" name="图片 3" descr="控台-用卡评测订单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控台-用卡评测订单管理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keepNext/>
        <w:outlineLvl w:val="9"/>
        <w:rPr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t>筛选项：收益渠道、订单状态、客户ID、拓卡方ID、签约方编号、内部订单号、客诉订单号、报告状态、是否可结算、下单日期、使用日期、退款日期、是否联系客服</w:t>
      </w:r>
    </w:p>
    <w:p>
      <w:pPr>
        <w:pStyle w:val="44"/>
        <w:keepNext/>
        <w:outlineLvl w:val="9"/>
        <w:rPr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t>订单状态枚举值：待使用、已使用、已退款、待支付、支付失败</w:t>
      </w:r>
    </w:p>
    <w:p>
      <w:pPr>
        <w:pStyle w:val="44"/>
        <w:keepNext/>
        <w:outlineLvl w:val="9"/>
        <w:rPr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t>报告状态枚举值：未获取、可查看、已撤销</w:t>
      </w:r>
    </w:p>
    <w:p>
      <w:pPr>
        <w:pStyle w:val="44"/>
        <w:keepNext/>
        <w:outlineLvl w:val="9"/>
        <w:rPr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t>在报告状态为已撤销的、未获取的订单尾部展示退款按钮，可操作退款</w:t>
      </w:r>
    </w:p>
    <w:p>
      <w:pPr>
        <w:pStyle w:val="44"/>
        <w:keepNext/>
        <w:outlineLvl w:val="9"/>
        <w:rPr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t>批量退款可导入文件，导入内部订单号的csv文件，无表头，须判断文件全部内部订单号均为可退款的订单，判断全可退款后对文件中的订单批量退款，文件中存在不可退款的，整个文件报错不做处理</w:t>
      </w:r>
    </w:p>
    <w:p>
      <w:pPr>
        <w:pStyle w:val="44"/>
        <w:keepNext/>
        <w:outlineLvl w:val="9"/>
        <w:rPr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t>导出文件内容同查询字段</w:t>
      </w:r>
    </w:p>
    <w:p>
      <w:pPr>
        <w:pStyle w:val="44"/>
        <w:keepNext/>
        <w:outlineLvl w:val="0"/>
        <w:rPr>
          <w:lang w:eastAsia="zh-CN"/>
        </w:rPr>
      </w:pPr>
      <w:r>
        <w:rPr>
          <w:lang w:eastAsia="zh-CN"/>
        </w:rPr>
        <w:br w:type="page"/>
      </w:r>
      <w:r>
        <w:rPr>
          <w:rFonts w:hint="eastAsia" w:ascii="宋体" w:hAnsi="宋体" w:eastAsia="宋体" w:cs="宋体"/>
          <w:lang w:eastAsia="zh-CN"/>
        </w:rPr>
        <w:t>二十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用卡评测</w:t>
      </w:r>
      <w:r>
        <w:rPr>
          <w:lang w:eastAsia="zh-CN"/>
        </w:rPr>
        <w:t>结算表复核</w:t>
      </w:r>
    </w:p>
    <w:p>
      <w:pPr>
        <w:pStyle w:val="45"/>
        <w:keepNext/>
        <w:outlineLvl w:val="9"/>
      </w:pPr>
      <w:r>
        <w:t>用户界面</w:t>
      </w:r>
    </w:p>
    <w:p>
      <w:pPr>
        <w:pStyle w:val="36"/>
      </w:pPr>
      <w:r>
        <w:drawing>
          <wp:inline distT="0" distB="0" distL="114300" distR="114300">
            <wp:extent cx="6835775" cy="2471420"/>
            <wp:effectExtent l="0" t="0" r="22225" b="17780"/>
            <wp:docPr id="12" name="图片 12" descr="用卡评测结算表复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用卡评测结算表复核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3" w:type="default"/>
          <w:footerReference r:id="rId4" w:type="default"/>
          <w:type w:val="continuous"/>
          <w:pgSz w:w="12240" w:h="15840"/>
          <w:pgMar w:top="720" w:right="720" w:bottom="720" w:left="720" w:header="720" w:footer="432" w:gutter="0"/>
          <w:cols w:space="720" w:num="1"/>
        </w:sect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筛选项目：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结算日期、收益渠道、业务员ID、签约方编号、编辑状态、发放状态、订单号、客户ID、发放日期、收益类型、客户登记日期、客诉订单号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查询项目：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序号、订单号、客诉订单号、收益渠道、业务员ID、签约方编号、收益类型、应结金额、客户登记时间、结算时间、发放状态、发放时间、编辑状态、操作员、操作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导出项目：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订单号、客诉订单号、收益渠道、业务员ID、签约方编号、收益类型、应结金额、客户登记时间、结算时间、发放状态、发放时间、编辑状态、操作员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新增：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关联订单号，选择收益类型，填写原因</w:t>
      </w:r>
    </w:p>
    <w:p>
      <w:r>
        <w:drawing>
          <wp:inline distT="0" distB="0" distL="114300" distR="114300">
            <wp:extent cx="4711065" cy="2656205"/>
            <wp:effectExtent l="0" t="0" r="1333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二十一、结算文件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object>
          <v:shape id="_x0000_i1026" o:spt="75" type="#_x0000_t75" style="height:120pt;width:120pt;" o:ole="t" filled="f" o:preferrelative="t" stroked="f" coordsize="21600,21600">
            <v:fill on="f" focussize="0,0"/>
            <v:stroke on="f"/>
            <v:imagedata r:id="rId32" o:title="oleimage"/>
            <o:lock v:ext="edit" aspectratio="t"/>
            <w10:wrap type="none"/>
            <w10:anchorlock/>
          </v:shape>
          <o:OLEObject Type="Embed" ProgID="Package" ShapeID="_x0000_i1026" DrawAspect="Icon" ObjectID="_1468075725" r:id="rId31">
            <o:LockedField>false</o:LockedField>
          </o:OLEObject>
        </w:objec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"557","HAOTK_APP","29125546","20457497","4.9","20220316","20220217215639","416879","397121743212156","01"</w:t>
      </w:r>
    </w:p>
    <w:p>
      <w:pPr>
        <w:rPr>
          <w:rFonts w:hint="eastAsia"/>
          <w:lang w:eastAsia="zh-Hans"/>
        </w:rPr>
      </w:pPr>
      <w:bookmarkStart w:id="0" w:name="_GoBack"/>
      <w:bookmarkEnd w:id="0"/>
    </w:p>
    <w:sectPr>
      <w:headerReference r:id="rId5" w:type="default"/>
      <w:footerReference r:id="rId6" w:type="default"/>
      <w:type w:val="continuous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PingFang SC">
    <w:panose1 w:val="020B0400000000000000"/>
    <w:charset w:val="86"/>
    <w:family w:val="swiss"/>
    <w:pitch w:val="default"/>
    <w:sig w:usb0="A00002FF" w:usb1="7ACFFDFB" w:usb2="00000017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3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rPr>
        <w:trHeight w:val="180" w:hRule="atLeast"/>
      </w:trPr>
      <w:tc>
        <w:tcPr>
          <w:tcW w:w="2214" w:type="pct"/>
        </w:tcPr>
        <w:p>
          <w:pPr>
            <w:pStyle w:val="13"/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c>
        <w:tcPr>
          <w:tcW w:w="2214" w:type="pct"/>
        </w:tcPr>
        <w:p>
          <w:pPr>
            <w:pStyle w:val="13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jc w:val="center"/>
          </w:pPr>
        </w:p>
      </w:tc>
      <w:tc>
        <w:tcPr>
          <w:tcW w:w="2214" w:type="pct"/>
        </w:tcPr>
        <w:p>
          <w:pPr>
            <w:pStyle w:val="13"/>
          </w:pPr>
        </w:p>
      </w:tc>
    </w:tr>
  </w:tbl>
  <w:p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3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rPr>
        <w:trHeight w:val="180" w:hRule="atLeast"/>
      </w:trPr>
      <w:tc>
        <w:tcPr>
          <w:tcW w:w="2214" w:type="pct"/>
        </w:tcPr>
        <w:p>
          <w:pPr>
            <w:pStyle w:val="13"/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c>
        <w:tcPr>
          <w:tcW w:w="2214" w:type="pct"/>
        </w:tcPr>
        <w:p>
          <w:pPr>
            <w:pStyle w:val="13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jc w:val="center"/>
          </w:pPr>
        </w:p>
      </w:tc>
      <w:tc>
        <w:tcPr>
          <w:tcW w:w="2214" w:type="pct"/>
        </w:tcPr>
        <w:p>
          <w:pPr>
            <w:pStyle w:val="13"/>
          </w:pPr>
        </w:p>
      </w:tc>
    </w:tr>
  </w:tbl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3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</w:tblPrEx>
      <w:trPr>
        <w:trHeight w:val="270" w:hRule="atLeast"/>
      </w:trPr>
      <w:tc>
        <w:tcPr>
          <w:tcW w:w="5000" w:type="pct"/>
        </w:tcPr>
        <w:p>
          <w:pPr>
            <w:pStyle w:val="37"/>
            <w:rPr>
              <w:rFonts w:asciiTheme="majorHAnsi" w:hAnsiTheme="majorHAnsi"/>
              <w:lang w:eastAsia="zh-CN"/>
            </w:rPr>
          </w:pPr>
          <w:sdt>
            <w:sdtPr>
              <w:rPr>
                <w:rFonts w:asciiTheme="majorHAnsi" w:hAnsiTheme="maj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alias w:val="Title"/>
              <w:id w:val="436407044"/>
              <w:text/>
            </w:sdtPr>
            <w:sdtEndPr>
              <w:rPr>
                <w:rFonts w:asciiTheme="majorHAnsi" w:hAnsiTheme="majorHAnsi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sdtEndPr>
            <w:sdtContent>
              <w:r>
                <w:rPr>
                  <w:rFonts w:hint="eastAsia" w:asciiTheme="majorHAnsi" w:hAnsiTheme="majorHAnsi"/>
                  <w:color w:val="404040" w:themeColor="text1" w:themeTint="BF"/>
                  <w:lang w:eastAsia="zh-CN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需求文档</w:t>
              </w:r>
            </w:sdtContent>
          </w:sdt>
          <w:r>
            <w:rPr>
              <w:rFonts w:hint="eastAsia" w:asciiTheme="majorHAnsi" w:hAnsiTheme="majorHAnsi"/>
              <w:color w:val="404040" w:themeColor="text1" w:themeTint="BF"/>
              <w:lang w:eastAsia="zh-CN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                                                                    </w:t>
          </w:r>
          <w:r>
            <w:rPr>
              <w:rFonts w:asciiTheme="majorHAnsi" w:hAnsiTheme="majorHAnsi"/>
              <w:color w:val="404040" w:themeColor="text1" w:themeTint="BF"/>
              <w:lang w:eastAsia="zh-CN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趣伴卡</w:t>
          </w:r>
          <w:r>
            <w:rPr>
              <w:rFonts w:hint="eastAsia" w:asciiTheme="majorHAnsi" w:hAnsiTheme="majorHAnsi"/>
              <w:color w:val="404040" w:themeColor="text1" w:themeTint="BF"/>
              <w:lang w:eastAsia="zh-CN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产品经理呼博,银联智惠产品经理钟芳洪</w:t>
          </w:r>
        </w:p>
      </w:tc>
    </w:tr>
  </w:tbl>
  <w:p>
    <w:pPr>
      <w:pStyle w:val="14"/>
      <w:rPr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3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941343633"/>
            <w:text/>
          </w:sdtPr>
          <w:sdtEnd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C19AF"/>
    <w:multiLevelType w:val="singleLevel"/>
    <w:tmpl w:val="392C19AF"/>
    <w:lvl w:ilvl="0" w:tentative="0">
      <w:start w:val="1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333332F"/>
    <w:multiLevelType w:val="multilevel"/>
    <w:tmpl w:val="4333332F"/>
    <w:lvl w:ilvl="0" w:tentative="0">
      <w:start w:val="1"/>
      <w:numFmt w:val="decimal"/>
      <w:lvlText w:val="%1、"/>
      <w:lvlJc w:val="left"/>
      <w:pPr>
        <w:ind w:left="13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40" w:hanging="420"/>
      </w:pPr>
    </w:lvl>
    <w:lvl w:ilvl="2" w:tentative="0">
      <w:start w:val="1"/>
      <w:numFmt w:val="lowerRoman"/>
      <w:lvlText w:val="%3."/>
      <w:lvlJc w:val="right"/>
      <w:pPr>
        <w:ind w:left="1860" w:hanging="420"/>
      </w:pPr>
    </w:lvl>
    <w:lvl w:ilvl="3" w:tentative="0">
      <w:start w:val="1"/>
      <w:numFmt w:val="decimal"/>
      <w:lvlText w:val="%4."/>
      <w:lvlJc w:val="left"/>
      <w:pPr>
        <w:ind w:left="2280" w:hanging="420"/>
      </w:pPr>
    </w:lvl>
    <w:lvl w:ilvl="4" w:tentative="0">
      <w:start w:val="1"/>
      <w:numFmt w:val="lowerLetter"/>
      <w:lvlText w:val="%5)"/>
      <w:lvlJc w:val="left"/>
      <w:pPr>
        <w:ind w:left="2700" w:hanging="420"/>
      </w:pPr>
    </w:lvl>
    <w:lvl w:ilvl="5" w:tentative="0">
      <w:start w:val="1"/>
      <w:numFmt w:val="lowerRoman"/>
      <w:lvlText w:val="%6."/>
      <w:lvlJc w:val="right"/>
      <w:pPr>
        <w:ind w:left="3120" w:hanging="420"/>
      </w:pPr>
    </w:lvl>
    <w:lvl w:ilvl="6" w:tentative="0">
      <w:start w:val="1"/>
      <w:numFmt w:val="decimal"/>
      <w:lvlText w:val="%7."/>
      <w:lvlJc w:val="left"/>
      <w:pPr>
        <w:ind w:left="3540" w:hanging="420"/>
      </w:pPr>
    </w:lvl>
    <w:lvl w:ilvl="7" w:tentative="0">
      <w:start w:val="1"/>
      <w:numFmt w:val="lowerLetter"/>
      <w:lvlText w:val="%8)"/>
      <w:lvlJc w:val="left"/>
      <w:pPr>
        <w:ind w:left="3960" w:hanging="420"/>
      </w:pPr>
    </w:lvl>
    <w:lvl w:ilvl="8" w:tentative="0">
      <w:start w:val="1"/>
      <w:numFmt w:val="lowerRoman"/>
      <w:lvlText w:val="%9."/>
      <w:lvlJc w:val="right"/>
      <w:pPr>
        <w:ind w:left="4380" w:hanging="420"/>
      </w:pPr>
    </w:lvl>
  </w:abstractNum>
  <w:abstractNum w:abstractNumId="2">
    <w:nsid w:val="6226FA1F"/>
    <w:multiLevelType w:val="singleLevel"/>
    <w:tmpl w:val="6226FA1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86B65CA"/>
    <w:multiLevelType w:val="multilevel"/>
    <w:tmpl w:val="786B65CA"/>
    <w:lvl w:ilvl="0" w:tentative="0">
      <w:start w:val="1"/>
      <w:numFmt w:val="decimal"/>
      <w:pStyle w:val="25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6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7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8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bordersDoNotSurroundHeader w:val="1"/>
  <w:bordersDoNotSurroundFooter w:val="1"/>
  <w:attachedTemplate r:id="rId1"/>
  <w:documentProtection w:enforcement="0"/>
  <w:defaultTabStop w:val="720"/>
  <w:drawingGridHorizontalSpacing w:val="90"/>
  <w:noPunctuationKerning w:val="1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7A"/>
    <w:rsid w:val="000232E6"/>
    <w:rsid w:val="00050CE1"/>
    <w:rsid w:val="0005473D"/>
    <w:rsid w:val="00057B70"/>
    <w:rsid w:val="00075991"/>
    <w:rsid w:val="00076AC3"/>
    <w:rsid w:val="00093BE1"/>
    <w:rsid w:val="000A0635"/>
    <w:rsid w:val="000A4636"/>
    <w:rsid w:val="000C07F5"/>
    <w:rsid w:val="000C1D1F"/>
    <w:rsid w:val="000C5777"/>
    <w:rsid w:val="000D3584"/>
    <w:rsid w:val="000E0CCE"/>
    <w:rsid w:val="000E72B0"/>
    <w:rsid w:val="00105E2B"/>
    <w:rsid w:val="00117A19"/>
    <w:rsid w:val="001204D0"/>
    <w:rsid w:val="0013113E"/>
    <w:rsid w:val="0014359B"/>
    <w:rsid w:val="001672E3"/>
    <w:rsid w:val="001B3AFE"/>
    <w:rsid w:val="001C5100"/>
    <w:rsid w:val="001D3B75"/>
    <w:rsid w:val="001F050D"/>
    <w:rsid w:val="00212884"/>
    <w:rsid w:val="0021530D"/>
    <w:rsid w:val="0021768A"/>
    <w:rsid w:val="00221722"/>
    <w:rsid w:val="00224CF1"/>
    <w:rsid w:val="0023791B"/>
    <w:rsid w:val="002577B5"/>
    <w:rsid w:val="00257AD2"/>
    <w:rsid w:val="0028301E"/>
    <w:rsid w:val="00297DB6"/>
    <w:rsid w:val="002C29B9"/>
    <w:rsid w:val="002C512F"/>
    <w:rsid w:val="002E0106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A3603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8551D"/>
    <w:rsid w:val="00594F2C"/>
    <w:rsid w:val="0059757A"/>
    <w:rsid w:val="005B166B"/>
    <w:rsid w:val="005B5CFD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C63"/>
    <w:rsid w:val="006B4EC6"/>
    <w:rsid w:val="006B6EA2"/>
    <w:rsid w:val="006C1134"/>
    <w:rsid w:val="006C4158"/>
    <w:rsid w:val="006D201C"/>
    <w:rsid w:val="006F023D"/>
    <w:rsid w:val="006F663D"/>
    <w:rsid w:val="0070012F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7E1BFA"/>
    <w:rsid w:val="007E5CCB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04E0D"/>
    <w:rsid w:val="009276DC"/>
    <w:rsid w:val="0095118F"/>
    <w:rsid w:val="00953C09"/>
    <w:rsid w:val="009C1C8E"/>
    <w:rsid w:val="009F6624"/>
    <w:rsid w:val="00A0438D"/>
    <w:rsid w:val="00A16EA0"/>
    <w:rsid w:val="00A67C9A"/>
    <w:rsid w:val="00AA7145"/>
    <w:rsid w:val="00AC49FE"/>
    <w:rsid w:val="00AE2B2E"/>
    <w:rsid w:val="00B007A7"/>
    <w:rsid w:val="00B14927"/>
    <w:rsid w:val="00B17998"/>
    <w:rsid w:val="00B40E72"/>
    <w:rsid w:val="00B44158"/>
    <w:rsid w:val="00B77DA9"/>
    <w:rsid w:val="00B93BE5"/>
    <w:rsid w:val="00BA05D9"/>
    <w:rsid w:val="00BB4EDF"/>
    <w:rsid w:val="00BE24BC"/>
    <w:rsid w:val="00BF5069"/>
    <w:rsid w:val="00BF5B9B"/>
    <w:rsid w:val="00C32664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D18FD"/>
    <w:rsid w:val="00DF707E"/>
    <w:rsid w:val="00E11AC0"/>
    <w:rsid w:val="00E34BE2"/>
    <w:rsid w:val="00E835B7"/>
    <w:rsid w:val="00EF24E3"/>
    <w:rsid w:val="00F47C4F"/>
    <w:rsid w:val="00F53559"/>
    <w:rsid w:val="00F86413"/>
    <w:rsid w:val="00F876E6"/>
    <w:rsid w:val="00F91127"/>
    <w:rsid w:val="00FA3BE0"/>
    <w:rsid w:val="00FA4609"/>
    <w:rsid w:val="00FB48F5"/>
    <w:rsid w:val="00FE62E5"/>
    <w:rsid w:val="18E00F75"/>
    <w:rsid w:val="2266155E"/>
    <w:rsid w:val="23A11630"/>
    <w:rsid w:val="3905525C"/>
    <w:rsid w:val="3F033FEC"/>
    <w:rsid w:val="40D06FF1"/>
    <w:rsid w:val="4E7A7A03"/>
    <w:rsid w:val="4FE6141C"/>
    <w:rsid w:val="53177C0E"/>
    <w:rsid w:val="648F3AA8"/>
    <w:rsid w:val="67D147CA"/>
    <w:rsid w:val="6B8F0831"/>
    <w:rsid w:val="774F45BF"/>
    <w:rsid w:val="7BDF3F79"/>
    <w:rsid w:val="7C374010"/>
    <w:rsid w:val="7CAD5210"/>
    <w:rsid w:val="AF5BB495"/>
    <w:rsid w:val="B8CFF2F1"/>
    <w:rsid w:val="D7D7AB72"/>
    <w:rsid w:val="F7FB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4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5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character" w:default="1" w:styleId="19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52"/>
    <w:qFormat/>
    <w:uiPriority w:val="0"/>
    <w:rPr>
      <w:b/>
      <w:bCs/>
    </w:rPr>
  </w:style>
  <w:style w:type="paragraph" w:styleId="8">
    <w:name w:val="annotation text"/>
    <w:basedOn w:val="1"/>
    <w:link w:val="51"/>
    <w:qFormat/>
    <w:uiPriority w:val="0"/>
  </w:style>
  <w:style w:type="paragraph" w:styleId="9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1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2">
    <w:name w:val="Balloon Text"/>
    <w:basedOn w:val="1"/>
    <w:link w:val="32"/>
    <w:qFormat/>
    <w:uiPriority w:val="0"/>
    <w:rPr>
      <w:rFonts w:ascii="Tahoma" w:hAnsi="Tahoma" w:cs="Tahoma"/>
      <w:sz w:val="16"/>
      <w:szCs w:val="16"/>
    </w:rPr>
  </w:style>
  <w:style w:type="paragraph" w:styleId="13">
    <w:name w:val="footer"/>
    <w:basedOn w:val="1"/>
    <w:link w:val="40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header"/>
    <w:basedOn w:val="1"/>
    <w:link w:val="39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5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6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7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</w:pPr>
    <w:rPr>
      <w:rFonts w:cs="Times New Roman"/>
      <w:sz w:val="24"/>
      <w:lang w:eastAsia="zh-CN"/>
    </w:rPr>
  </w:style>
  <w:style w:type="character" w:styleId="20">
    <w:name w:val="Hyperlink"/>
    <w:basedOn w:val="19"/>
    <w:qFormat/>
    <w:uiPriority w:val="99"/>
    <w:rPr>
      <w:color w:val="0000FF"/>
      <w:u w:val="single"/>
    </w:rPr>
  </w:style>
  <w:style w:type="character" w:styleId="21">
    <w:name w:val="annotation reference"/>
    <w:basedOn w:val="19"/>
    <w:qFormat/>
    <w:uiPriority w:val="0"/>
    <w:rPr>
      <w:sz w:val="21"/>
      <w:szCs w:val="21"/>
    </w:rPr>
  </w:style>
  <w:style w:type="table" w:styleId="23">
    <w:name w:val="Table Grid"/>
    <w:basedOn w:val="2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4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9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30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31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批注框文本 字符"/>
    <w:basedOn w:val="19"/>
    <w:link w:val="12"/>
    <w:qFormat/>
    <w:uiPriority w:val="0"/>
    <w:rPr>
      <w:rFonts w:ascii="Tahoma" w:hAnsi="Tahoma" w:cs="Tahoma"/>
      <w:sz w:val="16"/>
      <w:szCs w:val="16"/>
    </w:rPr>
  </w:style>
  <w:style w:type="table" w:customStyle="1" w:styleId="33">
    <w:name w:val="AxureTableStyle"/>
    <w:basedOn w:val="22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4">
    <w:name w:val="标题 4 字符"/>
    <w:basedOn w:val="19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5">
    <w:name w:val="标题 5 字符"/>
    <w:basedOn w:val="19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6">
    <w:name w:val="AxureImageParagraph"/>
    <w:basedOn w:val="1"/>
    <w:qFormat/>
    <w:uiPriority w:val="0"/>
    <w:pPr>
      <w:jc w:val="center"/>
    </w:pPr>
  </w:style>
  <w:style w:type="paragraph" w:customStyle="1" w:styleId="37">
    <w:name w:val="无间隔1"/>
    <w:link w:val="38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8">
    <w:name w:val="No Spacing Char"/>
    <w:basedOn w:val="19"/>
    <w:link w:val="37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9">
    <w:name w:val="页眉 字符"/>
    <w:basedOn w:val="19"/>
    <w:link w:val="14"/>
    <w:qFormat/>
    <w:uiPriority w:val="99"/>
    <w:rPr>
      <w:rFonts w:ascii="Arial" w:hAnsi="Arial" w:cs="Arial"/>
      <w:sz w:val="18"/>
      <w:szCs w:val="24"/>
    </w:rPr>
  </w:style>
  <w:style w:type="character" w:customStyle="1" w:styleId="40">
    <w:name w:val="页脚 字符"/>
    <w:basedOn w:val="19"/>
    <w:link w:val="13"/>
    <w:qFormat/>
    <w:uiPriority w:val="99"/>
    <w:rPr>
      <w:rFonts w:ascii="Arial" w:hAnsi="Arial" w:cs="Arial"/>
      <w:sz w:val="18"/>
      <w:szCs w:val="24"/>
    </w:rPr>
  </w:style>
  <w:style w:type="character" w:customStyle="1" w:styleId="41">
    <w:name w:val="占位符文本1"/>
    <w:basedOn w:val="19"/>
    <w:semiHidden/>
    <w:qFormat/>
    <w:uiPriority w:val="99"/>
    <w:rPr>
      <w:color w:val="808080"/>
    </w:rPr>
  </w:style>
  <w:style w:type="paragraph" w:customStyle="1" w:styleId="42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3">
    <w:name w:val="一级标题"/>
    <w:basedOn w:val="1"/>
    <w:qFormat/>
    <w:uiPriority w:val="0"/>
    <w:pPr>
      <w:spacing w:after="240"/>
      <w:outlineLvl w:val="0"/>
    </w:pPr>
    <w:rPr>
      <w:b/>
      <w:sz w:val="28"/>
    </w:rPr>
  </w:style>
  <w:style w:type="paragraph" w:customStyle="1" w:styleId="44">
    <w:name w:val="AxureHeading21"/>
    <w:basedOn w:val="1"/>
    <w:qFormat/>
    <w:uiPriority w:val="0"/>
    <w:pPr>
      <w:outlineLvl w:val="1"/>
    </w:pPr>
    <w:rPr>
      <w:b/>
      <w:sz w:val="26"/>
    </w:rPr>
  </w:style>
  <w:style w:type="paragraph" w:customStyle="1" w:styleId="45">
    <w:name w:val="AxureHeading31"/>
    <w:basedOn w:val="1"/>
    <w:qFormat/>
    <w:uiPriority w:val="0"/>
    <w:pPr>
      <w:spacing w:before="240"/>
      <w:outlineLvl w:val="2"/>
    </w:pPr>
    <w:rPr>
      <w:b/>
      <w:szCs w:val="20"/>
    </w:rPr>
  </w:style>
  <w:style w:type="paragraph" w:customStyle="1" w:styleId="46">
    <w:name w:val="AxureHeading41"/>
    <w:basedOn w:val="1"/>
    <w:qFormat/>
    <w:uiPriority w:val="0"/>
    <w:pPr>
      <w:spacing w:before="240"/>
      <w:outlineLvl w:val="3"/>
    </w:pPr>
    <w:rPr>
      <w:b/>
      <w:i/>
      <w:sz w:val="20"/>
    </w:rPr>
  </w:style>
  <w:style w:type="paragraph" w:customStyle="1" w:styleId="47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8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9">
    <w:name w:val="五级标题"/>
    <w:basedOn w:val="1"/>
    <w:qFormat/>
    <w:uiPriority w:val="0"/>
    <w:pPr>
      <w:spacing w:before="240"/>
    </w:pPr>
    <w:rPr>
      <w:b/>
      <w:u w:val="single"/>
    </w:rPr>
  </w:style>
  <w:style w:type="table" w:customStyle="1" w:styleId="50">
    <w:name w:val="Axure表格样式"/>
    <w:basedOn w:val="22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51">
    <w:name w:val="批注文字 字符"/>
    <w:basedOn w:val="19"/>
    <w:link w:val="8"/>
    <w:qFormat/>
    <w:uiPriority w:val="0"/>
    <w:rPr>
      <w:rFonts w:ascii="Arial" w:hAnsi="Arial" w:eastAsia="Times New Roman" w:cs="Arial"/>
      <w:sz w:val="18"/>
      <w:szCs w:val="24"/>
      <w:lang w:eastAsia="en-US"/>
    </w:rPr>
  </w:style>
  <w:style w:type="character" w:customStyle="1" w:styleId="52">
    <w:name w:val="批注主题 字符"/>
    <w:basedOn w:val="51"/>
    <w:link w:val="7"/>
    <w:qFormat/>
    <w:uiPriority w:val="0"/>
    <w:rPr>
      <w:rFonts w:ascii="Arial" w:hAnsi="Arial" w:eastAsia="Times New Roman" w:cs="Arial"/>
      <w:b/>
      <w:bCs/>
      <w:sz w:val="18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4.png"/><Relationship Id="rId31" Type="http://schemas.openxmlformats.org/officeDocument/2006/relationships/oleObject" Target="embeddings/oleObject1.bin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E:\Users\hubo\Library\Containers\com.kingsoft.wpsoffice.mac\Data\C:\Users\nick.hunt\AppData\Local\Temp\315c31ec-09d6-49e5-9158-2e9e98120a01.dot</Template>
  <Company>Axure</Company>
  <Pages>22</Pages>
  <Words>375</Words>
  <Characters>2140</Characters>
  <Lines>17</Lines>
  <Paragraphs>5</Paragraphs>
  <ScaleCrop>false</ScaleCrop>
  <LinksUpToDate>false</LinksUpToDate>
  <CharactersWithSpaces>2510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2022-03-16T17:13:00Z</dcterms:created>
  <dc:creator>[Your Name]</dc:creator>
  <cp:lastModifiedBy>hubo</cp:lastModifiedBy>
  <cp:lastPrinted>2010-09-05T00:33:00Z</cp:lastPrinted>
  <dcterms:modified xsi:type="dcterms:W3CDTF">2022-03-21T17:44:10Z</dcterms:modified>
  <dc:title>The Documentation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  <property fmtid="{D5CDD505-2E9C-101B-9397-08002B2CF9AE}" pid="3" name="ICV">
    <vt:lpwstr>428BC24F5A0E473A882E3018EA4397A7</vt:lpwstr>
  </property>
</Properties>
</file>