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1"/>
        <w:keepNext/>
        <w:jc w:val="center"/>
        <w:rPr>
          <w:sz w:val="32"/>
          <w:szCs w:val="32"/>
        </w:rPr>
      </w:pPr>
      <w:r>
        <w:rPr>
          <w:rFonts w:hint="eastAsia"/>
          <w:sz w:val="32"/>
          <w:szCs w:val="32"/>
          <w:lang w:val="en-US" w:eastAsia="zh-Hans"/>
        </w:rPr>
        <w:t>增加贷款产品、用卡评测</w:t>
      </w:r>
    </w:p>
    <w:p>
      <w:pPr>
        <w:pStyle w:val="32"/>
      </w:pPr>
    </w:p>
    <w:p>
      <w:pPr>
        <w:pStyle w:val="40"/>
        <w:keepNext/>
        <w:numPr>
          <w:ilvl w:val="0"/>
          <w:numId w:val="2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需求背景</w:t>
      </w:r>
    </w:p>
    <w:p>
      <w:pPr>
        <w:pStyle w:val="40"/>
        <w:keepNext/>
        <w:numPr>
          <w:ilvl w:val="0"/>
          <w:numId w:val="3"/>
        </w:numPr>
        <w:ind w:left="0" w:leftChars="0" w:firstLine="840" w:firstLineChars="0"/>
        <w:outlineLvl w:val="9"/>
      </w:pPr>
      <w:r>
        <w:rPr>
          <w:rFonts w:hint="eastAsia"/>
          <w:lang w:val="en-US" w:eastAsia="zh-Hans"/>
        </w:rPr>
        <w:t>增加贷款类产品，用更多、更好的产品吸引推客</w:t>
      </w:r>
      <w:r>
        <w:rPr>
          <w:rFonts w:hint="default"/>
          <w:lang w:eastAsia="zh-Hans"/>
        </w:rPr>
        <w:t>+</w:t>
      </w:r>
      <w:r>
        <w:rPr>
          <w:rFonts w:hint="eastAsia"/>
          <w:lang w:val="en-US" w:eastAsia="zh-Hans"/>
        </w:rPr>
        <w:t>客户，提高产能</w:t>
      </w:r>
    </w:p>
    <w:p>
      <w:pPr>
        <w:pStyle w:val="40"/>
        <w:keepNext/>
        <w:numPr>
          <w:ilvl w:val="0"/>
          <w:numId w:val="3"/>
        </w:numPr>
        <w:ind w:left="0" w:leftChars="0" w:firstLine="840" w:firstLineChars="0"/>
        <w:outlineLvl w:val="9"/>
      </w:pPr>
      <w:r>
        <w:rPr>
          <w:rFonts w:hint="eastAsia"/>
          <w:lang w:val="en-US" w:eastAsia="zh-Hans"/>
        </w:rPr>
        <w:t>增加用卡评测，帮助推客破冰，回访老客户；增加趣伴卡公众号用户粘性</w:t>
      </w:r>
    </w:p>
    <w:p>
      <w:pPr>
        <w:pStyle w:val="40"/>
        <w:keepNext/>
        <w:numPr>
          <w:ilvl w:val="0"/>
          <w:numId w:val="4"/>
        </w:num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需求范围</w:t>
      </w:r>
    </w:p>
    <w:p>
      <w:pPr>
        <w:pStyle w:val="40"/>
        <w:keepNext/>
        <w:numPr>
          <w:ilvl w:val="0"/>
          <w:numId w:val="5"/>
        </w:numPr>
        <w:ind w:left="0" w:leftChars="0" w:firstLine="845" w:firstLineChars="0"/>
        <w:outlineLvl w:val="9"/>
      </w:pPr>
      <w:r>
        <w:rPr>
          <w:rFonts w:hint="eastAsia"/>
          <w:lang w:val="en-US" w:eastAsia="zh-Hans"/>
        </w:rPr>
        <w:t>趣伴卡推客页面，包括汇拓客推客、好拓客推客、直拓客推客、招财考虑、外部对</w:t>
      </w:r>
      <w:r>
        <w:rPr>
          <w:rFonts w:hint="default"/>
          <w:lang w:eastAsia="zh-Hans"/>
        </w:rPr>
        <w:tab/>
        <w:t/>
      </w:r>
      <w:r>
        <w:rPr>
          <w:rFonts w:hint="default"/>
          <w:lang w:eastAsia="zh-Hans"/>
        </w:rPr>
        <w:tab/>
      </w:r>
      <w:r>
        <w:rPr>
          <w:rFonts w:hint="eastAsia"/>
          <w:lang w:val="en-US" w:eastAsia="zh-Hans"/>
        </w:rPr>
        <w:t>接推客平台</w:t>
      </w:r>
    </w:p>
    <w:p>
      <w:pPr>
        <w:pStyle w:val="40"/>
        <w:keepNext/>
        <w:numPr>
          <w:ilvl w:val="0"/>
          <w:numId w:val="5"/>
        </w:numPr>
        <w:ind w:left="0" w:leftChars="0" w:firstLine="845" w:firstLineChars="0"/>
        <w:outlineLvl w:val="9"/>
      </w:pPr>
      <w:r>
        <w:rPr>
          <w:rFonts w:hint="eastAsia"/>
          <w:lang w:val="en-US" w:eastAsia="zh-Hans"/>
        </w:rPr>
        <w:t>趣伴卡公众号内增加用卡评测入口，支付功能</w:t>
      </w:r>
    </w:p>
    <w:p>
      <w:pPr>
        <w:pStyle w:val="40"/>
        <w:keepNext/>
        <w:numPr>
          <w:ilvl w:val="0"/>
          <w:numId w:val="5"/>
        </w:numPr>
        <w:ind w:left="0" w:leftChars="0" w:firstLine="845" w:firstLineChars="0"/>
        <w:outlineLvl w:val="9"/>
      </w:pPr>
      <w:r>
        <w:rPr>
          <w:rFonts w:hint="eastAsia"/>
          <w:lang w:val="en-US" w:eastAsia="zh-Hans"/>
        </w:rPr>
        <w:t>汇拓客趣伴卡分润设置增加贷款产品设置</w:t>
      </w:r>
    </w:p>
    <w:p>
      <w:pPr>
        <w:pStyle w:val="40"/>
        <w:keepNext/>
        <w:numPr>
          <w:ilvl w:val="0"/>
          <w:numId w:val="5"/>
        </w:numPr>
        <w:ind w:left="0" w:leftChars="0" w:firstLine="845" w:firstLineChars="0"/>
        <w:outlineLvl w:val="9"/>
      </w:pPr>
      <w:r>
        <w:rPr>
          <w:rFonts w:hint="eastAsia"/>
          <w:lang w:val="en-US" w:eastAsia="zh-Hans"/>
        </w:rPr>
        <w:t>汇拓客、好拓客、直拓客收益明细、收益汇总、业绩管理增加贷款类产品。</w:t>
      </w:r>
      <w:r>
        <w:br w:type="page"/>
      </w:r>
      <w:r>
        <w:rPr>
          <w:rFonts w:hint="eastAsia"/>
          <w:lang w:val="en-US" w:eastAsia="zh-Hans"/>
        </w:rPr>
        <w:t>三、需求内容</w:t>
      </w:r>
    </w:p>
    <w:p>
      <w:pPr>
        <w:numPr>
          <w:ilvl w:val="0"/>
          <w:numId w:val="6"/>
        </w:numPr>
        <w:outlineLvl w:val="1"/>
        <w:rPr>
          <w:rFonts w:hint="default" w:ascii="Times New Roman Bold" w:hAnsi="Times New Roman Bold" w:cs="Times New Roman Bold"/>
          <w:b/>
          <w:bCs/>
          <w:sz w:val="24"/>
          <w:szCs w:val="40"/>
          <w:lang w:val="en-US" w:eastAsia="zh-Hans"/>
        </w:rPr>
      </w:pPr>
      <w:r>
        <w:rPr>
          <w:rFonts w:hint="default" w:ascii="Times New Roman Bold" w:hAnsi="Times New Roman Bold" w:cs="Times New Roman Bold"/>
          <w:b/>
          <w:bCs/>
          <w:sz w:val="24"/>
          <w:szCs w:val="40"/>
          <w:lang w:val="en-US" w:eastAsia="zh-Hans"/>
        </w:rPr>
        <w:t>首页</w:t>
      </w:r>
    </w:p>
    <w:p>
      <w:pPr>
        <w:numPr>
          <w:numId w:val="0"/>
        </w:numPr>
        <w:outlineLvl w:val="9"/>
        <w:rPr>
          <w:rFonts w:hint="eastAsia" w:ascii="PingFang SC" w:hAnsi="PingFang SC"/>
          <w:lang w:val="en-US" w:eastAsia="zh-Hans"/>
        </w:rPr>
      </w:pPr>
      <w:r>
        <w:rPr>
          <w:rFonts w:ascii="PingFang SC" w:hAnsi="PingFang SC"/>
        </w:rPr>
        <w:t>功能键入口区域下方增加公告、产品类别切换</w:t>
      </w:r>
      <w:r>
        <w:rPr>
          <w:rFonts w:hint="eastAsia" w:ascii="PingFang SC" w:hAnsi="PingFang SC"/>
          <w:lang w:val="en-US" w:eastAsia="zh-Hans"/>
        </w:rPr>
        <w:t>栏</w:t>
      </w:r>
    </w:p>
    <w:p>
      <w:pPr>
        <w:numPr>
          <w:numId w:val="0"/>
        </w:numPr>
        <w:outlineLvl w:val="9"/>
        <w:rPr>
          <w:rFonts w:hint="eastAsia" w:ascii="PingFang SC" w:hAnsi="PingFang SC"/>
          <w:lang w:val="en-US" w:eastAsia="zh-Hans"/>
        </w:rPr>
      </w:pPr>
    </w:p>
    <w:p>
      <w:pPr>
        <w:pStyle w:val="32"/>
      </w:pPr>
      <w:r>
        <w:drawing>
          <wp:inline distT="0" distB="0" distL="114300" distR="114300">
            <wp:extent cx="2656205" cy="5774690"/>
            <wp:effectExtent l="0" t="0" r="10795" b="16510"/>
            <wp:docPr id="1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56205" cy="577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68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上下滚动展示最近10条公告的标题，单条展示时间10s</w:t>
            </w:r>
            <w:r>
              <w:rPr>
                <w:rFonts w:hint="eastAsia" w:ascii="PingFang SC" w:hAnsi="PingFang SC"/>
                <w:lang w:eastAsia="zh-Hans"/>
              </w:rPr>
              <w:t>，</w:t>
            </w:r>
            <w:r>
              <w:rPr>
                <w:rFonts w:hint="eastAsia" w:ascii="PingFang SC" w:hAnsi="PingFang SC"/>
                <w:lang w:val="en-US" w:eastAsia="zh-Hans"/>
              </w:rPr>
              <w:t>全局统一切换，即使页面未停留在首页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产品切换栏</w:t>
            </w:r>
            <w:r>
              <w:t>-</w:t>
            </w:r>
            <w:r>
              <w:rPr>
                <w:rFonts w:ascii="PingFang SC" w:hAnsi="PingFang SC"/>
              </w:rPr>
              <w:t>点击不同产品后，下方展示内容跟随变化</w:t>
            </w:r>
          </w:p>
        </w:tc>
      </w:tr>
    </w:tbl>
    <w:p>
      <w:r>
        <w:br w:type="page"/>
      </w:r>
    </w:p>
    <w:p>
      <w:pPr>
        <w:pStyle w:val="40"/>
        <w:keepNext/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  <w:lang w:eastAsia="zh-Hans"/>
        </w:rPr>
        <w:t>、</w:t>
      </w:r>
      <w:r>
        <w:rPr>
          <w:sz w:val="24"/>
          <w:szCs w:val="24"/>
        </w:rPr>
        <w:t>产品政策</w:t>
      </w:r>
    </w:p>
    <w:p>
      <w:pPr>
        <w:pStyle w:val="32"/>
        <w:jc w:val="both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顶部增加产品类别切换栏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3175635" cy="6819265"/>
            <wp:effectExtent l="0" t="0" r="24765" b="13335"/>
            <wp:docPr id="1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6819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2"/>
      </w:pPr>
      <w:r>
        <w:drawing>
          <wp:inline distT="0" distB="0" distL="114300" distR="114300">
            <wp:extent cx="4762500" cy="2724150"/>
            <wp:effectExtent l="0" t="0" r="0" b="0"/>
            <wp:docPr id="14" name="AXU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XU13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69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表格奖励金额字段，须判断当前用户是否有收益参数且至少有一个不为0；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奖励金额数值取当前用户自己推广</w:t>
            </w:r>
            <w:r>
              <w:rPr>
                <w:rFonts w:hint="eastAsia"/>
                <w:lang w:val="en-US" w:eastAsia="zh-Hans"/>
              </w:rPr>
              <w:t>贷款</w:t>
            </w:r>
            <w:r>
              <w:t>所得奖励金额，分段奖励的分段展示各阶段奖励金额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生效日期字段取当前金额最近一次生效的日期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5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使用控台奖励细则中的文字，最多100个汉字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6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展示银行为当前日期，存在启用的奖励规则的所有</w:t>
            </w:r>
            <w:r>
              <w:rPr>
                <w:rFonts w:hint="eastAsia"/>
                <w:lang w:val="en-US" w:eastAsia="zh-Hans"/>
              </w:rPr>
              <w:t>产品</w:t>
            </w:r>
            <w:r>
              <w:t>对应数据，与发布-推客</w:t>
            </w:r>
            <w:r>
              <w:rPr>
                <w:rFonts w:hint="eastAsia"/>
                <w:lang w:val="en-US" w:eastAsia="zh-Hans"/>
              </w:rPr>
              <w:t>产品</w:t>
            </w:r>
            <w:r>
              <w:t>中的条目无关</w:t>
            </w:r>
          </w:p>
        </w:tc>
      </w:tr>
    </w:tbl>
    <w:p>
      <w:pPr>
        <w:pStyle w:val="40"/>
        <w:keepNext/>
        <w:outlineLvl w:val="9"/>
      </w:pPr>
      <w:r>
        <w:br w:type="page"/>
      </w:r>
      <w:r>
        <w:t>贷款政策-无分润</w:t>
      </w:r>
    </w:p>
    <w:p>
      <w:pPr>
        <w:pStyle w:val="41"/>
        <w:keepNext/>
        <w:outlineLvl w:val="9"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18" name="AXU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XU1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0"/>
        <w:keepNext/>
      </w:pPr>
      <w:r>
        <w:t>3</w:t>
      </w:r>
      <w:r>
        <w:rPr>
          <w:rFonts w:hint="eastAsia"/>
          <w:lang w:eastAsia="zh-Hans"/>
        </w:rPr>
        <w:t>、</w:t>
      </w:r>
      <w:r>
        <w:t>朋友圈素材 -筛选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705100" cy="5844540"/>
            <wp:effectExtent l="0" t="0" r="12700" b="22860"/>
            <wp:docPr id="27" name="AXU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XU2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2010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7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使用文案中的关键字进行精确搜索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同一个类目选中多个条目取并集；不同类目之间所选条目取交集；单一类目不选和全选中筛选结果一致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筛选最长间隔为90天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Arial" w:hAnsi="Arial"/>
                <w:color w:val="333333"/>
              </w:rPr>
              <w:t>展示所有启用中朋友圈素材中存在的机构银行</w:t>
            </w:r>
            <w:r>
              <w:rPr>
                <w:rFonts w:hint="eastAsia"/>
                <w:color w:val="333333"/>
                <w:lang w:val="en-US" w:eastAsia="zh-Hans"/>
              </w:rPr>
              <w:t>或贷款产品</w:t>
            </w:r>
            <w:r>
              <w:rPr>
                <w:rFonts w:ascii="Arial" w:hAnsi="Arial"/>
                <w:color w:val="333333"/>
              </w:rPr>
              <w:t>名称</w:t>
            </w:r>
          </w:p>
        </w:tc>
      </w:tr>
    </w:tbl>
    <w:p>
      <w:r>
        <w:br w:type="page"/>
      </w:r>
    </w:p>
    <w:p>
      <w:pPr>
        <w:pStyle w:val="40"/>
        <w:keepNext/>
      </w:pPr>
      <w:r>
        <w:t>4</w:t>
      </w:r>
      <w:r>
        <w:rPr>
          <w:rFonts w:hint="eastAsia"/>
          <w:lang w:eastAsia="zh-Hans"/>
        </w:rPr>
        <w:t>、</w:t>
      </w:r>
      <w:r>
        <w:t>贷款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825750" cy="6110605"/>
            <wp:effectExtent l="0" t="0" r="19050" b="10795"/>
            <wp:docPr id="12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611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41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产品列表中展示控台上架中的，所选区域可推广的产品，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点击进入对应产品的面对面推广二维码，</w:t>
            </w:r>
          </w:p>
        </w:tc>
      </w:tr>
    </w:tbl>
    <w:p>
      <w:r>
        <w:br w:type="page"/>
      </w:r>
    </w:p>
    <w:p>
      <w:pPr>
        <w:pStyle w:val="40"/>
        <w:keepNext/>
        <w:outlineLvl w:val="2"/>
      </w:pPr>
      <w:r>
        <w:t>4.1</w:t>
      </w:r>
      <w:r>
        <w:t>贷款详情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000250" cy="6201410"/>
            <wp:effectExtent l="0" t="0" r="6350" b="21590"/>
            <wp:docPr id="34" name="AXU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XU3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522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20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5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根据当前业务员该产品分润是否为</w:t>
            </w:r>
            <w:r>
              <w:t>0</w:t>
            </w:r>
            <w:r>
              <w:rPr>
                <w:rFonts w:ascii="PingFang SC" w:hAnsi="PingFang SC"/>
              </w:rPr>
              <w:t>，不为</w:t>
            </w:r>
            <w:r>
              <w:t>0</w:t>
            </w:r>
            <w:r>
              <w:rPr>
                <w:rFonts w:ascii="PingFang SC" w:hAnsi="PingFang SC"/>
              </w:rPr>
              <w:t>展示该项目，为</w:t>
            </w:r>
            <w:r>
              <w:t>0</w:t>
            </w:r>
            <w:r>
              <w:rPr>
                <w:rFonts w:ascii="PingFang SC" w:hAnsi="PingFang SC"/>
              </w:rPr>
              <w:t>则不展示奖励方式</w:t>
            </w:r>
          </w:p>
        </w:tc>
      </w:tr>
    </w:tbl>
    <w:p>
      <w:pPr>
        <w:pStyle w:val="40"/>
        <w:keepNext/>
        <w:outlineLvl w:val="2"/>
      </w:pPr>
      <w:r>
        <w:br w:type="page"/>
      </w:r>
      <w:r>
        <w:t>4.2</w:t>
      </w:r>
      <w:r>
        <w:t>贷款推广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37" name="AXU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XU36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outlineLvl w:val="9"/>
      </w:pPr>
      <w:r>
        <w:br w:type="page"/>
      </w:r>
      <w:r>
        <w:t>推广海报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40" name="AXU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XU39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0"/>
        <w:keepNext/>
        <w:outlineLvl w:val="2"/>
      </w:pPr>
      <w:r>
        <w:br w:type="page"/>
      </w:r>
      <w:r>
        <w:t>4.3</w:t>
      </w:r>
      <w:r>
        <w:t>产品详情-申请人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047875" cy="4396105"/>
            <wp:effectExtent l="0" t="0" r="9525" b="23495"/>
            <wp:docPr id="46" name="AXU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XU45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b="39905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0"/>
        <w:keepNext/>
        <w:outlineLvl w:val="9"/>
      </w:pPr>
      <w:r>
        <w:br w:type="page"/>
      </w:r>
      <w:r>
        <w:t>产品详情-申请信息确认</w:t>
      </w:r>
      <w:r>
        <w:t xml:space="preserve">                                                    </w:t>
      </w:r>
      <w:r>
        <w:t>产品详情-亲友申请</w:t>
      </w:r>
    </w:p>
    <w:p>
      <w:pPr>
        <w:pStyle w:val="32"/>
      </w:pPr>
    </w:p>
    <w:p>
      <w:pPr>
        <w:pStyle w:val="32"/>
        <w:jc w:val="both"/>
      </w:pPr>
      <w:r>
        <w:drawing>
          <wp:inline distT="0" distB="0" distL="114300" distR="114300">
            <wp:extent cx="2152650" cy="4664075"/>
            <wp:effectExtent l="0" t="0" r="6350" b="9525"/>
            <wp:docPr id="49" name="AXU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AXU48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b="36241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6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      </w:t>
      </w:r>
      <w:r>
        <w:drawing>
          <wp:inline distT="0" distB="0" distL="114300" distR="114300">
            <wp:extent cx="2152650" cy="4674870"/>
            <wp:effectExtent l="0" t="0" r="6350" b="24130"/>
            <wp:docPr id="52" name="AXU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XU5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b="3609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6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32"/>
      </w:pPr>
    </w:p>
    <w:p>
      <w:pPr>
        <w:pStyle w:val="32"/>
      </w:pPr>
    </w:p>
    <w:p>
      <w:pPr>
        <w:pStyle w:val="40"/>
        <w:keepNext/>
      </w:pPr>
      <w:r>
        <w:br w:type="page"/>
      </w:r>
      <w:r>
        <w:t>5</w:t>
      </w:r>
      <w:r>
        <w:rPr>
          <w:rFonts w:hint="eastAsia"/>
          <w:lang w:eastAsia="zh-Hans"/>
        </w:rPr>
        <w:t>、</w:t>
      </w:r>
      <w:r>
        <w:t>个人中心</w:t>
      </w:r>
    </w:p>
    <w:p>
      <w:pPr>
        <w:pStyle w:val="32"/>
      </w:pPr>
      <w:r>
        <w:drawing>
          <wp:inline distT="0" distB="0" distL="114300" distR="114300">
            <wp:extent cx="3265805" cy="7071360"/>
            <wp:effectExtent l="0" t="0" r="10795" b="15240"/>
            <wp:docPr id="1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7071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2"/>
        <w:keepNext/>
      </w:pPr>
      <w:r>
        <w:t>5.1</w:t>
      </w:r>
      <w:r>
        <w:t>个人</w:t>
      </w:r>
    </w:p>
    <w:p>
      <w:pPr>
        <w:pStyle w:val="32"/>
      </w:pPr>
      <w:r>
        <w:drawing>
          <wp:inline distT="0" distB="0" distL="114300" distR="114300">
            <wp:extent cx="2960370" cy="5511800"/>
            <wp:effectExtent l="0" t="0" r="11430" b="0"/>
            <wp:docPr id="59" name="AXU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AXU5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551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当日新增达到结算标准的订单数量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当日新增达到结算标准的订单数量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当日新增核卡通过的订单数量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更新时间为当月上游反馈的提交申请的订单数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更新时间为当月上游反馈的审批通过的订单数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6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更新时间为当月的结算次数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7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更新时间为当月放款金额汇总</w:t>
            </w:r>
          </w:p>
        </w:tc>
      </w:tr>
    </w:tbl>
    <w:p>
      <w:pPr>
        <w:pStyle w:val="42"/>
        <w:keepNext/>
      </w:pPr>
      <w:r>
        <w:t>5.2</w:t>
      </w:r>
      <w:r>
        <w:t>团队</w:t>
      </w:r>
    </w:p>
    <w:p>
      <w:pPr>
        <w:pStyle w:val="32"/>
      </w:pPr>
      <w:r>
        <w:drawing>
          <wp:inline distT="0" distB="0" distL="114300" distR="114300">
            <wp:extent cx="3238500" cy="6096000"/>
            <wp:effectExtent l="0" t="0" r="0" b="0"/>
            <wp:docPr id="60" name="AXU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AXU5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2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286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8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当月有产生贷款产品订单的业务员人数</w:t>
            </w:r>
          </w:p>
        </w:tc>
      </w:tr>
    </w:tbl>
    <w:p>
      <w:pPr>
        <w:pStyle w:val="40"/>
        <w:keepNext/>
      </w:pPr>
      <w:r>
        <w:br w:type="page"/>
      </w:r>
      <w:r>
        <w:t>6</w:t>
      </w:r>
      <w:r>
        <w:rPr>
          <w:rFonts w:hint="eastAsia"/>
          <w:lang w:eastAsia="zh-Hans"/>
        </w:rPr>
        <w:t>、</w:t>
      </w:r>
      <w:r>
        <w:t>业绩详情-贷款（个人）</w:t>
      </w:r>
    </w:p>
    <w:p>
      <w:pPr>
        <w:pStyle w:val="41"/>
        <w:keepNext/>
        <w:outlineLvl w:val="9"/>
      </w:pPr>
      <w:r>
        <w:t>用户界面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3371850" cy="4819650"/>
            <wp:effectExtent l="0" t="0" r="6350" b="6350"/>
            <wp:docPr id="63" name="AXU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AXU6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b="341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3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当月新增订单数为所有点击进入申请页的数量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rPr>
                <w:rFonts w:hint="eastAsia" w:eastAsia="Times New Roman"/>
                <w:lang w:eastAsia="zh-Hans"/>
              </w:rPr>
            </w:pPr>
            <w:r>
              <w:rPr>
                <w:rFonts w:hint="eastAsia" w:ascii="PingFang SC" w:hAnsi="PingFang SC"/>
                <w:lang w:val="en-US" w:eastAsia="zh-Hans"/>
              </w:rPr>
              <w:t>上游反馈完成申请的订单数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审核通过的订单数量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达标次数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当月新增</w:t>
            </w:r>
            <w:r>
              <w:rPr>
                <w:rFonts w:hint="eastAsia" w:ascii="PingFang SC" w:hAnsi="PingFang SC"/>
                <w:lang w:val="en-US" w:eastAsia="zh-Hans"/>
              </w:rPr>
              <w:t>放款金额汇总</w:t>
            </w:r>
          </w:p>
        </w:tc>
      </w:tr>
    </w:tbl>
    <w:p>
      <w:pPr>
        <w:pStyle w:val="32"/>
      </w:pPr>
    </w:p>
    <w:p>
      <w:pPr>
        <w:pStyle w:val="40"/>
        <w:keepNext/>
      </w:pPr>
      <w:r>
        <w:br w:type="page"/>
      </w:r>
      <w:r>
        <w:t>7</w:t>
      </w:r>
      <w:r>
        <w:rPr>
          <w:rFonts w:hint="eastAsia"/>
          <w:lang w:eastAsia="zh-Hans"/>
        </w:rPr>
        <w:t>、</w:t>
      </w:r>
      <w:r>
        <w:t>业绩详情-贷款 (团队)</w:t>
      </w:r>
    </w:p>
    <w:p>
      <w:pPr>
        <w:pStyle w:val="41"/>
        <w:keepNext/>
        <w:outlineLvl w:val="9"/>
      </w:pPr>
      <w:r>
        <w:t>用户界面</w:t>
      </w:r>
    </w:p>
    <w:p>
      <w:pPr>
        <w:pStyle w:val="32"/>
      </w:pPr>
      <w:r>
        <w:drawing>
          <wp:inline distT="0" distB="0" distL="114300" distR="114300">
            <wp:extent cx="2132965" cy="6769735"/>
            <wp:effectExtent l="0" t="0" r="635" b="12065"/>
            <wp:docPr id="66" name="AXU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XU65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32965" cy="676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2"/>
      </w:pP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27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作业人员数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当月有产生贷款产品订单的业务员数</w:t>
            </w:r>
          </w:p>
        </w:tc>
      </w:tr>
    </w:tbl>
    <w:p>
      <w:pPr>
        <w:pStyle w:val="32"/>
        <w:jc w:val="both"/>
        <w:outlineLvl w:val="1"/>
      </w:pPr>
      <w:r>
        <w:br w:type="page"/>
      </w:r>
      <w:r>
        <w:rPr>
          <w:b/>
          <w:bCs/>
          <w:sz w:val="24"/>
          <w:szCs w:val="24"/>
        </w:rPr>
        <w:t>8</w:t>
      </w:r>
      <w:r>
        <w:rPr>
          <w:rFonts w:hint="eastAsia"/>
          <w:b/>
          <w:bCs/>
          <w:sz w:val="24"/>
          <w:szCs w:val="24"/>
          <w:lang w:eastAsia="zh-Hans"/>
        </w:rPr>
        <w:t>、</w:t>
      </w:r>
      <w:r>
        <w:rPr>
          <w:b/>
          <w:bCs/>
          <w:sz w:val="24"/>
          <w:szCs w:val="24"/>
        </w:rPr>
        <w:t>订单明细-贷款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631440" cy="5684520"/>
            <wp:effectExtent l="0" t="0" r="10160" b="5080"/>
            <wp:docPr id="72" name="AXU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XU7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b="42335"/>
                    <a:stretch>
                      <a:fillRect/>
                    </a:stretch>
                  </pic:blipFill>
                  <pic:spPr>
                    <a:xfrm>
                      <a:off x="0" y="0"/>
                      <a:ext cx="263144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398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枚举值：</w:t>
            </w:r>
            <w:r>
              <w:rPr>
                <w:rFonts w:hint="eastAsia"/>
                <w:lang w:val="en-US" w:eastAsia="zh-Hans"/>
              </w:rPr>
              <w:t>意向用户</w:t>
            </w:r>
            <w:r>
              <w:t>、已进件、已授信、已放款、已拒绝</w:t>
            </w:r>
          </w:p>
        </w:tc>
      </w:tr>
    </w:tbl>
    <w:p>
      <w:pPr>
        <w:pStyle w:val="41"/>
        <w:keepNext/>
        <w:outlineLvl w:val="9"/>
      </w:pPr>
    </w:p>
    <w:p>
      <w:r>
        <w:br w:type="page"/>
      </w:r>
    </w:p>
    <w:p>
      <w:pPr>
        <w:pStyle w:val="40"/>
        <w:keepNext/>
        <w:outlineLvl w:val="2"/>
      </w:pPr>
      <w:r>
        <w:t>8.1</w:t>
      </w:r>
      <w:r>
        <w:t>订单筛选-贷款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965450" cy="6473825"/>
            <wp:effectExtent l="0" t="0" r="6350" b="3175"/>
            <wp:docPr id="75" name="AXU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AXU7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b="41727"/>
                    <a:stretch>
                      <a:fillRect/>
                    </a:stretch>
                  </pic:blipFill>
                  <pic:spPr>
                    <a:xfrm>
                      <a:off x="0" y="0"/>
                      <a:ext cx="296545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73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枚举值：</w:t>
            </w:r>
            <w:r>
              <w:rPr>
                <w:rFonts w:hint="eastAsia"/>
                <w:lang w:val="en-US" w:eastAsia="zh-Hans"/>
              </w:rPr>
              <w:t>意向用户</w:t>
            </w:r>
            <w:r>
              <w:t>、已进件、已授信、已放款、已拒绝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同一个类目选中多个条目取并集；不同类目之间所选条目取交集；单一类目不选和全选中筛选结果一致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Arial" w:hAnsi="Arial"/>
                <w:color w:val="333333"/>
              </w:rPr>
              <w:t>奖励类型枚举值：普通、管道</w:t>
            </w:r>
          </w:p>
        </w:tc>
      </w:tr>
    </w:tbl>
    <w:p>
      <w:pPr>
        <w:pStyle w:val="40"/>
        <w:keepNext/>
        <w:outlineLvl w:val="2"/>
      </w:pPr>
      <w:r>
        <w:t>8.2</w:t>
      </w:r>
      <w:r>
        <w:t>订单详情-贷款</w:t>
      </w:r>
    </w:p>
    <w:p>
      <w:r>
        <w:t>本页面中间部分状态变化逻辑：</w:t>
      </w:r>
    </w:p>
    <w:p>
      <w:pPr>
        <w:numPr>
          <w:ilvl w:val="0"/>
          <w:numId w:val="0"/>
        </w:numPr>
        <w:ind w:left="840" w:leftChars="0"/>
        <w:rPr>
          <w:rFonts w:hint="default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订单详情页分为有效订单、失效订单，失效订单展示状态为意向用户；有效订单状态根据实际情况展示——最后一个展示节点为订单最后一个奖励标准对应节点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贷款产品</w:t>
            </w:r>
            <w:r>
              <w:rPr>
                <w:rFonts w:hint="eastAsia"/>
                <w:vertAlign w:val="baseline"/>
                <w:lang w:val="en-US" w:eastAsia="zh-CN"/>
              </w:rPr>
              <w:t>名称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结算节点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控台-</w:t>
            </w:r>
            <w:r>
              <w:rPr>
                <w:rFonts w:hint="eastAsia"/>
                <w:vertAlign w:val="baseline"/>
                <w:lang w:val="en-US" w:eastAsia="zh-Hans"/>
              </w:rPr>
              <w:t>贷款产品</w:t>
            </w:r>
            <w:r>
              <w:rPr>
                <w:rFonts w:hint="eastAsia"/>
                <w:vertAlign w:val="baseline"/>
                <w:lang w:val="en-US" w:eastAsia="zh-CN"/>
              </w:rPr>
              <w:t>结算规则配置中的结算标准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转换为</w:t>
            </w:r>
            <w:r>
              <w:rPr>
                <w:rFonts w:hint="eastAsia"/>
                <w:color w:val="FF0000"/>
                <w:vertAlign w:val="baseline"/>
                <w:lang w:val="en-US" w:eastAsia="zh-Hans"/>
              </w:rPr>
              <w:t>审核通过、放款成功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状态更新时间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使用订单更新时间</w:t>
            </w:r>
          </w:p>
        </w:tc>
      </w:tr>
      <w:tr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奖励达标时间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使用订单首次达到第一个奖励标准的时间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订单状态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当前订单所处的状态，之前的状态全部为对号+蓝色高亮显示，未达到的节点为浅灰色显示，文字为黑色，状态节点依次为意向用户-审核中-</w:t>
            </w:r>
            <w:r>
              <w:rPr>
                <w:rFonts w:hint="eastAsia"/>
                <w:vertAlign w:val="baseline"/>
                <w:lang w:val="en-US" w:eastAsia="zh-Hans"/>
              </w:rPr>
              <w:t>已授信</w:t>
            </w:r>
            <w:r>
              <w:rPr>
                <w:rFonts w:hint="eastAsia"/>
                <w:vertAlign w:val="baseline"/>
                <w:lang w:val="en-US" w:eastAsia="zh-CN"/>
              </w:rPr>
              <w:t>-</w:t>
            </w:r>
            <w:r>
              <w:rPr>
                <w:rFonts w:hint="eastAsia"/>
                <w:vertAlign w:val="baseline"/>
                <w:lang w:val="en-US" w:eastAsia="zh-Hans"/>
              </w:rPr>
              <w:t>已放款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达标标志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在订单结算节点对应的状态节点后展示奖励达标或奖励未达标，奖励达标条件同发放条件：达到状态节点，奖励达标红底白字，奖励未达标灰底白字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？？？</w:t>
            </w:r>
            <w:r>
              <w:rPr>
                <w:rFonts w:hint="eastAsia"/>
                <w:vertAlign w:val="baseline"/>
                <w:lang w:val="en-US" w:eastAsia="zh-CN"/>
              </w:rPr>
              <w:t>新户标志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在右上角展示新户、老户标志，仅明确新户或老户的展示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申请人信息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申请人基本信息，姓名如刘*，张*晨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手机号如131****1234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失效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对已失效订单，状态节点停留在意向用户，节点图标为停止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应结金额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 w:eastAsia="Times New Roman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当前用户推广成功可得奖励金额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数据更新至时间</w:t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Hans"/>
              </w:rPr>
            </w:pPr>
            <w:r>
              <w:rPr>
                <w:rFonts w:hint="eastAsia"/>
                <w:vertAlign w:val="baseline"/>
                <w:lang w:val="en-US" w:eastAsia="zh-Hans"/>
              </w:rPr>
              <w:t>该产品最后一次匹配成功的时间</w:t>
            </w:r>
          </w:p>
        </w:tc>
      </w:tr>
    </w:tbl>
    <w:p/>
    <w:p>
      <w:pPr>
        <w:pStyle w:val="32"/>
        <w:jc w:val="both"/>
      </w:pPr>
      <w:r>
        <w:drawing>
          <wp:inline distT="0" distB="0" distL="114300" distR="114300">
            <wp:extent cx="2120265" cy="4642485"/>
            <wp:effectExtent l="0" t="0" r="13335" b="5715"/>
            <wp:docPr id="78" name="AXU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AXU77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b="27873"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64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894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显示贷款产品名称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2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进度框中展示从待签约、审核中、审核通过（审核拒绝）、已放款，只有审核拒绝有失败结果，其他均为无法到达下一个节点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3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t>取当前订单对应的产品的最近一次匹配完成日期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t>4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  <w:r>
              <w:rPr>
                <w:rFonts w:ascii="PingFang SC" w:hAnsi="PingFang SC"/>
              </w:rPr>
              <w:t>展示当前业务员实际可获得的奖励，须考虑层层分润比例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5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已授信对应已拒绝</w:t>
            </w:r>
          </w:p>
        </w:tc>
      </w:tr>
    </w:tbl>
    <w:p>
      <w:r>
        <w:br w:type="page"/>
      </w:r>
    </w:p>
    <w:p>
      <w:pPr>
        <w:pStyle w:val="40"/>
        <w:keepNext/>
      </w:pPr>
      <w:r>
        <w:t>9</w:t>
      </w:r>
      <w:r>
        <w:rPr>
          <w:rFonts w:hint="eastAsia"/>
          <w:lang w:eastAsia="zh-Hans"/>
        </w:rPr>
        <w:t>、</w:t>
      </w:r>
      <w:r>
        <w:t>订单明细-用卡评测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1952625" cy="4284980"/>
            <wp:effectExtent l="0" t="0" r="3175" b="7620"/>
            <wp:docPr id="81" name="AXU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XU8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b="414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464"/>
        <w:gridCol w:w="2224"/>
      </w:tblGrid>
      <w:tr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名称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订单状态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待使用、已使用、已退款</w:t>
            </w:r>
          </w:p>
        </w:tc>
      </w:tr>
      <w:tr>
        <w:trPr>
          <w:cantSplit/>
        </w:trPr>
        <w:tc>
          <w:tcPr>
            <w:shd w:val="clear" w:color="auto" w:fill="F1F1F1" w:themeFill="background1" w:themeFillShade="F2"/>
          </w:tcPr>
          <w:p>
            <w:pPr>
              <w:pStyle w:val="44"/>
              <w:rPr>
                <w:rFonts w:hint="eastAsia" w:eastAsia="Times New Roman"/>
                <w:lang w:eastAsia="zh-Hans"/>
              </w:rPr>
            </w:pPr>
            <w:r>
              <w:rPr>
                <w:rFonts w:hint="eastAsia"/>
                <w:lang w:val="en-US" w:eastAsia="zh-Hans"/>
              </w:rPr>
              <w:t>达标状态</w:t>
            </w: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</w:pPr>
          </w:p>
        </w:tc>
        <w:tc>
          <w:tcPr>
            <w:shd w:val="clear" w:color="auto" w:fill="F1F1F1" w:themeFill="background1" w:themeFillShade="F2"/>
          </w:tcPr>
          <w:p>
            <w:pPr>
              <w:pStyle w:val="44"/>
              <w:rPr>
                <w:rFonts w:hint="eastAsia" w:eastAsia="Times New Roman"/>
                <w:lang w:val="en-US" w:eastAsia="zh-Hans"/>
              </w:rPr>
            </w:pPr>
            <w:r>
              <w:rPr>
                <w:rFonts w:hint="eastAsia"/>
                <w:lang w:val="en-US" w:eastAsia="zh-Hans"/>
              </w:rPr>
              <w:t>订单状态已使用的订单为达标</w:t>
            </w:r>
          </w:p>
        </w:tc>
      </w:tr>
    </w:tbl>
    <w:p>
      <w:pPr>
        <w:pStyle w:val="41"/>
        <w:keepNext/>
        <w:outlineLvl w:val="9"/>
      </w:pPr>
    </w:p>
    <w:p>
      <w:pPr>
        <w:pStyle w:val="41"/>
        <w:keepNext/>
        <w:outlineLvl w:val="9"/>
      </w:pPr>
    </w:p>
    <w:p>
      <w:pPr>
        <w:pStyle w:val="41"/>
        <w:keepNext/>
        <w:outlineLvl w:val="9"/>
      </w:pPr>
    </w:p>
    <w:p>
      <w:pPr>
        <w:pStyle w:val="41"/>
        <w:keepNext/>
        <w:outlineLvl w:val="9"/>
      </w:pPr>
    </w:p>
    <w:p>
      <w:r>
        <w:br w:type="page"/>
      </w:r>
    </w:p>
    <w:p>
      <w:pPr>
        <w:pStyle w:val="40"/>
        <w:keepNext/>
        <w:outlineLvl w:val="2"/>
      </w:pPr>
      <w:r>
        <w:t>9.1</w:t>
      </w:r>
      <w:r>
        <w:t>订单筛选-用卡评测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2910840" cy="6387465"/>
            <wp:effectExtent l="0" t="0" r="10160" b="13335"/>
            <wp:docPr id="84" name="AXU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XU8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b="41424"/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t>10</w:t>
      </w:r>
      <w:r>
        <w:rPr>
          <w:rFonts w:hint="eastAsia"/>
          <w:lang w:eastAsia="zh-Hans"/>
        </w:rPr>
        <w:t>、</w:t>
      </w:r>
      <w:r>
        <w:t>联系客服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87" name="AXU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XU8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0"/>
        <w:keepNext/>
      </w:pPr>
      <w:r>
        <w:t>11</w:t>
      </w:r>
      <w:r>
        <w:rPr>
          <w:rFonts w:hint="eastAsia"/>
          <w:lang w:eastAsia="zh-Hans"/>
        </w:rPr>
        <w:t>、</w:t>
      </w:r>
      <w:r>
        <w:t>通知中心（系统消息）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1952625" cy="4262755"/>
            <wp:effectExtent l="0" t="0" r="3175" b="4445"/>
            <wp:docPr id="93" name="AXU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AXU92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b="4172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outlineLvl w:val="2"/>
      </w:pPr>
      <w:r>
        <w:br w:type="page"/>
      </w:r>
      <w:r>
        <w:t>11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1</w:t>
      </w:r>
      <w:r>
        <w:t>通知中心 (公告)</w:t>
      </w:r>
    </w:p>
    <w:p>
      <w:pPr>
        <w:pStyle w:val="32"/>
      </w:pPr>
      <w:r>
        <w:drawing>
          <wp:inline distT="0" distB="0" distL="114300" distR="114300">
            <wp:extent cx="1952625" cy="4273550"/>
            <wp:effectExtent l="0" t="0" r="3175" b="19050"/>
            <wp:docPr id="96" name="AXU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AXU95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b="4158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  <w:outlineLvl w:val="2"/>
      </w:pPr>
      <w:r>
        <w:br w:type="page"/>
      </w:r>
      <w:r>
        <w:t>11</w:t>
      </w:r>
      <w:r>
        <w:rPr>
          <w:rFonts w:hint="eastAsia"/>
          <w:lang w:eastAsia="zh-Hans"/>
        </w:rPr>
        <w:t>、</w:t>
      </w:r>
      <w:r>
        <w:rPr>
          <w:rFonts w:hint="default"/>
          <w:lang w:eastAsia="zh-Hans"/>
        </w:rPr>
        <w:t>2</w:t>
      </w:r>
      <w:r>
        <w:t>通知中心 (私信)</w:t>
      </w:r>
    </w:p>
    <w:p>
      <w:pPr>
        <w:pStyle w:val="32"/>
      </w:pPr>
    </w:p>
    <w:p>
      <w:pPr>
        <w:pStyle w:val="32"/>
      </w:pPr>
      <w:r>
        <w:drawing>
          <wp:inline distT="0" distB="0" distL="114300" distR="114300">
            <wp:extent cx="1952625" cy="4284980"/>
            <wp:effectExtent l="0" t="0" r="3175" b="7620"/>
            <wp:docPr id="99" name="AXU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AXU98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b="4142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40"/>
        <w:keepNext/>
      </w:pPr>
      <w:r>
        <w:t>12</w:t>
      </w:r>
      <w:r>
        <w:rPr>
          <w:rFonts w:hint="eastAsia"/>
          <w:lang w:eastAsia="zh-Hans"/>
        </w:rPr>
        <w:t>、</w:t>
      </w:r>
      <w:r>
        <w:t>申请人首页</w:t>
      </w:r>
    </w:p>
    <w:p>
      <w:r>
        <w:rPr>
          <w:rFonts w:ascii="PingFang SC" w:hAnsi="PingFang SC"/>
        </w:rPr>
        <w:t>页面功能键入口区域下方增加公告、产品类别切换</w:t>
      </w:r>
    </w:p>
    <w:p>
      <w:pPr>
        <w:pStyle w:val="32"/>
      </w:pPr>
      <w:r>
        <w:drawing>
          <wp:inline distT="0" distB="0" distL="114300" distR="114300">
            <wp:extent cx="3160395" cy="6236335"/>
            <wp:effectExtent l="0" t="0" r="14605" b="12065"/>
            <wp:docPr id="102" name="AXU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AXU10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60395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3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产品切换栏</w:t>
            </w:r>
            <w:r>
              <w:t>-</w:t>
            </w:r>
            <w:r>
              <w:rPr>
                <w:rFonts w:ascii="PingFang SC" w:hAnsi="PingFang SC"/>
              </w:rPr>
              <w:t>点击不同产品后，下方展示内容跟随变化</w:t>
            </w:r>
          </w:p>
        </w:tc>
      </w:tr>
    </w:tbl>
    <w:p>
      <w:r>
        <w:br w:type="page"/>
      </w:r>
    </w:p>
    <w:p>
      <w:pPr>
        <w:pStyle w:val="40"/>
        <w:keepNext/>
        <w:outlineLvl w:val="2"/>
      </w:pPr>
      <w:r>
        <w:t>12</w:t>
      </w:r>
      <w:r>
        <w:rPr>
          <w:rFonts w:hint="default"/>
          <w:lang w:eastAsia="zh-Hans"/>
        </w:rPr>
        <w:t>.1</w:t>
      </w:r>
      <w:r>
        <w:rPr>
          <w:rFonts w:hint="eastAsia"/>
          <w:lang w:eastAsia="zh-Hans"/>
        </w:rPr>
        <w:t>、</w:t>
      </w:r>
      <w:r>
        <w:t>申请人贷款页</w:t>
      </w:r>
    </w:p>
    <w:p>
      <w:r>
        <w:rPr>
          <w:rFonts w:ascii="PingFang SC" w:hAnsi="PingFang SC"/>
        </w:rPr>
        <w:t>页面功能键入口区域下方增加公告、产品类别切换</w:t>
      </w:r>
    </w:p>
    <w:p>
      <w:pPr>
        <w:pStyle w:val="32"/>
      </w:pPr>
      <w:r>
        <w:drawing>
          <wp:inline distT="0" distB="0" distL="114300" distR="114300">
            <wp:extent cx="2997835" cy="5996305"/>
            <wp:effectExtent l="0" t="0" r="24765" b="23495"/>
            <wp:docPr id="104" name="AXU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AXU103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599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1"/>
        <w:keepNext/>
        <w:outlineLvl w:val="9"/>
      </w:pPr>
      <w:r>
        <w:t>元件表</w:t>
      </w:r>
    </w:p>
    <w:tbl>
      <w:tblPr>
        <w:tblStyle w:val="4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72" w:type="dxa"/>
          <w:bottom w:w="0" w:type="dxa"/>
          <w:right w:w="72" w:type="dxa"/>
        </w:tblCellMar>
      </w:tblPr>
      <w:tblGrid>
        <w:gridCol w:w="1069"/>
        <w:gridCol w:w="464"/>
        <w:gridCol w:w="387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blHeader/>
        </w:trPr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Note number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交互</w:t>
            </w:r>
          </w:p>
        </w:tc>
        <w:tc>
          <w:tcPr>
            <w:shd w:val="clear" w:color="auto" w:fill="D8D8D8" w:themeFill="background1" w:themeFillShade="D9"/>
          </w:tcPr>
          <w:p>
            <w:pPr>
              <w:pStyle w:val="43"/>
              <w:rPr>
                <w:b w:val="0"/>
              </w:rPr>
            </w:pPr>
            <w:r>
              <w:rPr>
                <w:b w:val="0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</w:trPr>
        <w:tc>
          <w:tcPr>
            <w:shd w:val="clear" w:color="auto" w:fill="FFFFFF" w:themeFill="background1"/>
          </w:tcPr>
          <w:p>
            <w:pPr>
              <w:pStyle w:val="44"/>
            </w:pPr>
            <w:r>
              <w:t>1</w:t>
            </w: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</w:p>
        </w:tc>
        <w:tc>
          <w:tcPr>
            <w:shd w:val="clear" w:color="auto" w:fill="FFFFFF" w:themeFill="background1"/>
          </w:tcPr>
          <w:p>
            <w:pPr>
              <w:pStyle w:val="44"/>
            </w:pPr>
            <w:r>
              <w:rPr>
                <w:rFonts w:ascii="PingFang SC" w:hAnsi="PingFang SC"/>
              </w:rPr>
              <w:t>产品切换栏</w:t>
            </w:r>
            <w:r>
              <w:t>-</w:t>
            </w:r>
            <w:r>
              <w:rPr>
                <w:rFonts w:ascii="PingFang SC" w:hAnsi="PingFang SC"/>
              </w:rPr>
              <w:t>点击不同产品后，下方展示内容跟随变化</w:t>
            </w:r>
          </w:p>
        </w:tc>
      </w:tr>
    </w:tbl>
    <w:p>
      <w:pPr>
        <w:pStyle w:val="40"/>
        <w:keepNext/>
      </w:pPr>
      <w:r>
        <w:t>13</w:t>
      </w:r>
      <w:r>
        <w:rPr>
          <w:rFonts w:hint="eastAsia"/>
          <w:lang w:eastAsia="zh-Hans"/>
        </w:rPr>
        <w:t>、</w:t>
      </w:r>
      <w:r>
        <w:t>公众号功能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106" name="AXU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AXU105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t>14</w:t>
      </w:r>
      <w:r>
        <w:rPr>
          <w:rFonts w:hint="eastAsia"/>
          <w:lang w:eastAsia="zh-Hans"/>
        </w:rPr>
        <w:t>、</w:t>
      </w:r>
      <w:r>
        <w:t>用卡评测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108" name="AXU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AXU107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14.1</w:t>
      </w:r>
      <w:r>
        <w:rPr>
          <w:rFonts w:hint="eastAsia"/>
          <w:lang w:eastAsia="zh-Hans"/>
        </w:rPr>
        <w:t>、</w:t>
      </w:r>
      <w:r>
        <w:t>用卡评测-支付成功</w:t>
      </w:r>
    </w:p>
    <w:p>
      <w:pPr>
        <w:pStyle w:val="32"/>
      </w:pPr>
      <w:r>
        <w:drawing>
          <wp:inline distT="0" distB="0" distL="114300" distR="114300">
            <wp:extent cx="3371850" cy="7315200"/>
            <wp:effectExtent l="0" t="0" r="0" b="0"/>
            <wp:docPr id="113" name="AXU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AXU1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0"/>
        <w:keepNext/>
      </w:pPr>
      <w:r>
        <w:br w:type="page"/>
      </w:r>
      <w:r>
        <w:t>14.2</w:t>
      </w:r>
      <w:r>
        <w:t>用卡评测-我的券码</w:t>
      </w:r>
    </w:p>
    <w:p>
      <w:pPr>
        <w:pStyle w:val="32"/>
      </w:pPr>
      <w:bookmarkStart w:id="0" w:name="_GoBack"/>
      <w:bookmarkEnd w:id="0"/>
      <w:r>
        <w:drawing>
          <wp:inline distT="0" distB="0" distL="114300" distR="114300">
            <wp:extent cx="3371850" cy="7315200"/>
            <wp:effectExtent l="0" t="0" r="0" b="0"/>
            <wp:docPr id="116" name="AXU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AXU115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type w:val="continuous"/>
      <w:pgSz w:w="12240" w:h="15840"/>
      <w:pgMar w:top="720" w:right="720" w:bottom="720" w:left="720" w:header="720" w:footer="432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AEF" w:usb1="C0007841" w:usb2="00000009" w:usb3="00000000" w:csb0="400001FF" w:csb1="FFFF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Arial Unicode MS">
    <w:panose1 w:val="020B0604020202020204"/>
    <w:charset w:val="80"/>
    <w:family w:val="swiss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Bold">
    <w:panose1 w:val="02020603050405020304"/>
    <w:charset w:val="00"/>
    <w:family w:val="auto"/>
    <w:pitch w:val="default"/>
    <w:sig w:usb0="E0002AEF" w:usb1="C0007841" w:usb2="00000009" w:usb3="00000000" w:csb0="400001FF" w:csb1="FFFF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insideH w:val="single" w:color="3F3F3F" w:themeColor="text1" w:themeTint="BF" w:sz="4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4878"/>
      <w:gridCol w:w="1260"/>
      <w:gridCol w:w="4878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rPr>
        <w:trHeight w:val="180" w:hRule="atLeast"/>
      </w:trPr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restart"/>
          <w:vAlign w:val="center"/>
        </w:tcPr>
        <w:p>
          <w:pPr>
            <w:pStyle w:val="11"/>
            <w:jc w:val="center"/>
            <w:rPr>
              <w:rFonts w:asciiTheme="majorHAnsi" w:hAnsiTheme="majorHAnsi"/>
              <w:color w:val="3F3F3F" w:themeColor="text1" w:themeTint="BF"/>
              <w:sz w:val="22"/>
              <w:szCs w:val="22"/>
            </w:rPr>
          </w:pP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 xml:space="preserve">Page 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begin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instrText xml:space="preserve"> PAGE  \* MERGEFORMAT </w:instrTex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separate"/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t>3</w:t>
          </w:r>
          <w:r>
            <w:rPr>
              <w:rFonts w:asciiTheme="majorHAnsi" w:hAnsiTheme="majorHAnsi"/>
              <w:color w:val="3F3F3F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>
          <w:pPr>
            <w:pStyle w:val="11"/>
          </w:pPr>
        </w:p>
      </w:tc>
    </w:tr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single" w:color="3F3F3F" w:themeColor="text1" w:themeTint="BF" w:sz="4" w:space="0"/>
          <w:insideV w:val="none" w:color="auto" w:sz="0" w:space="0"/>
        </w:tblBorders>
      </w:tblPrEx>
      <w:tc>
        <w:tcPr>
          <w:tcW w:w="2214" w:type="pct"/>
        </w:tcPr>
        <w:p>
          <w:pPr>
            <w:pStyle w:val="11"/>
          </w:pPr>
        </w:p>
      </w:tc>
      <w:tc>
        <w:tcPr>
          <w:tcW w:w="572" w:type="pct"/>
          <w:vMerge w:val="continue"/>
          <w:vAlign w:val="center"/>
        </w:tcPr>
        <w:p>
          <w:pPr>
            <w:pStyle w:val="11"/>
            <w:jc w:val="center"/>
          </w:pPr>
        </w:p>
      </w:tc>
      <w:tc>
        <w:tcPr>
          <w:tcW w:w="2214" w:type="pct"/>
        </w:tcPr>
        <w:p>
          <w:pPr>
            <w:pStyle w:val="11"/>
          </w:pPr>
        </w:p>
      </w:tc>
    </w:tr>
  </w:tbl>
  <w:p>
    <w:pPr>
      <w:pStyle w:val="11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9"/>
      <w:tblW w:w="5000" w:type="pct"/>
      <w:tblInd w:w="0" w:type="dxa"/>
      <w:tblBorders>
        <w:top w:val="none" w:color="auto" w:sz="0" w:space="0"/>
        <w:left w:val="none" w:color="auto" w:sz="0" w:space="0"/>
        <w:bottom w:val="single" w:color="3F3F3F" w:themeColor="text1" w:themeTint="BF" w:sz="4" w:space="0"/>
        <w:right w:val="none" w:color="auto" w:sz="0" w:space="0"/>
        <w:insideH w:val="single" w:color="auto" w:sz="4" w:space="0"/>
        <w:insideV w:val="single" w:color="auto" w:sz="4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11016"/>
    </w:tblGrid>
    <w:tr>
      <w:tblPrEx>
        <w:tblBorders>
          <w:top w:val="none" w:color="auto" w:sz="0" w:space="0"/>
          <w:left w:val="none" w:color="auto" w:sz="0" w:space="0"/>
          <w:bottom w:val="single" w:color="3F3F3F" w:themeColor="text1" w:themeTint="BF" w:sz="4" w:space="0"/>
          <w:right w:val="none" w:color="auto" w:sz="0" w:space="0"/>
          <w:insideH w:val="single" w:color="auto" w:sz="4" w:space="0"/>
          <w:insideV w:val="single" w:color="auto" w:sz="4" w:space="0"/>
        </w:tblBorders>
      </w:tblPrEx>
      <w:trPr>
        <w:trHeight w:val="270" w:hRule="atLeast"/>
      </w:trPr>
      <w:tc>
        <w:tcPr>
          <w:tcW w:w="5000" w:type="pct"/>
        </w:tcPr>
        <w:sdt>
          <w:sdtPr>
            <w:rPr>
              <w:rFonts w:asciiTheme="majorHAnsi" w:hAnsiTheme="majorHAnsi"/>
              <w:color w:val="3F3F3F" w:themeColor="text1" w:themeTint="BF"/>
            </w:rPr>
            <w:alias w:val="Title"/>
            <w:id w:val="436407044"/>
            <w:text/>
          </w:sdtPr>
          <w:sdtEndPr>
            <w:rPr>
              <w:rFonts w:asciiTheme="majorHAnsi" w:hAnsiTheme="majorHAnsi"/>
              <w:color w:val="3F3F3F" w:themeColor="text1" w:themeTint="BF"/>
            </w:rPr>
          </w:sdtEndPr>
          <w:sdtContent>
            <w:p>
              <w:pPr>
                <w:pStyle w:val="33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/>
                  <w:color w:val="3F3F3F" w:themeColor="text1" w:themeTint="BF"/>
                </w:rPr>
                <w:t>The Documentation</w:t>
              </w:r>
            </w:p>
          </w:sdtContent>
        </w:sdt>
      </w:tc>
    </w:tr>
  </w:tbl>
  <w:p>
    <w:pPr>
      <w:pStyle w:val="12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F5ED8C"/>
    <w:multiLevelType w:val="multilevel"/>
    <w:tmpl w:val="61F5ED8C"/>
    <w:lvl w:ilvl="0" w:tentative="0">
      <w:start w:val="1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61F5EDB5"/>
    <w:multiLevelType w:val="singleLevel"/>
    <w:tmpl w:val="61F5EDB5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61F5EE11"/>
    <w:multiLevelType w:val="multilevel"/>
    <w:tmpl w:val="61F5EE11"/>
    <w:lvl w:ilvl="0" w:tentative="0">
      <w:start w:val="2"/>
      <w:numFmt w:val="chineseCounting"/>
      <w:suff w:val="nothing"/>
      <w:lvlText w:val="%1、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61F5EE48"/>
    <w:multiLevelType w:val="singleLevel"/>
    <w:tmpl w:val="61F5EE48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4">
    <w:nsid w:val="61F60257"/>
    <w:multiLevelType w:val="singleLevel"/>
    <w:tmpl w:val="61F60257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786B65CA"/>
    <w:multiLevelType w:val="multilevel"/>
    <w:tmpl w:val="786B65CA"/>
    <w:lvl w:ilvl="0" w:tentative="0">
      <w:start w:val="1"/>
      <w:numFmt w:val="decimal"/>
      <w:pStyle w:val="21"/>
      <w:suff w:val="space"/>
      <w:lvlText w:val="%1."/>
      <w:lvlJc w:val="left"/>
      <w:pPr>
        <w:tabs>
          <w:tab w:val="left" w:pos="360"/>
        </w:tabs>
        <w:ind w:left="0" w:firstLine="0"/>
      </w:pPr>
    </w:lvl>
    <w:lvl w:ilvl="1" w:tentative="0">
      <w:start w:val="1"/>
      <w:numFmt w:val="decimal"/>
      <w:pStyle w:val="22"/>
      <w:suff w:val="space"/>
      <w:lvlText w:val="%1.%2."/>
      <w:lvlJc w:val="left"/>
      <w:pPr>
        <w:tabs>
          <w:tab w:val="left" w:pos="792"/>
        </w:tabs>
        <w:ind w:left="0" w:firstLine="0"/>
      </w:pPr>
    </w:lvl>
    <w:lvl w:ilvl="2" w:tentative="0">
      <w:start w:val="1"/>
      <w:numFmt w:val="decimal"/>
      <w:pStyle w:val="23"/>
      <w:suff w:val="space"/>
      <w:lvlText w:val="%1.%2.%3."/>
      <w:lvlJc w:val="left"/>
      <w:pPr>
        <w:tabs>
          <w:tab w:val="left" w:pos="1440"/>
        </w:tabs>
        <w:ind w:left="0" w:firstLine="0"/>
      </w:pPr>
    </w:lvl>
    <w:lvl w:ilvl="3" w:tentative="0">
      <w:start w:val="1"/>
      <w:numFmt w:val="decimal"/>
      <w:pStyle w:val="24"/>
      <w:suff w:val="space"/>
      <w:lvlText w:val="%1.%2.%3.%4."/>
      <w:lvlJc w:val="left"/>
      <w:pPr>
        <w:tabs>
          <w:tab w:val="left" w:pos="1800"/>
        </w:tabs>
        <w:ind w:left="0" w:firstLine="0"/>
      </w:pPr>
    </w:lvl>
    <w:lvl w:ilvl="4" w:tentative="0">
      <w:start w:val="1"/>
      <w:numFmt w:val="decimal"/>
      <w:suff w:val="space"/>
      <w:lvlText w:val="%1.%2.%3.%4.%5."/>
      <w:lvlJc w:val="left"/>
      <w:pPr>
        <w:tabs>
          <w:tab w:val="left" w:pos="2520"/>
        </w:tabs>
        <w:ind w:left="0" w:firstLine="0"/>
      </w:pPr>
    </w:lvl>
    <w:lvl w:ilvl="5" w:tentative="0">
      <w:start w:val="1"/>
      <w:numFmt w:val="decimal"/>
      <w:lvlText w:val="%1.%2.%3.%4.%5.%6."/>
      <w:lvlJc w:val="left"/>
      <w:pPr>
        <w:tabs>
          <w:tab w:val="left" w:pos="2880"/>
        </w:tabs>
        <w:ind w:left="2736" w:hanging="936"/>
      </w:pPr>
    </w:lvl>
    <w:lvl w:ilvl="6" w:tentative="0">
      <w:start w:val="1"/>
      <w:numFmt w:val="decimal"/>
      <w:lvlText w:val="%1.%2.%3.%4.%5.%6.%7."/>
      <w:lvlJc w:val="left"/>
      <w:pPr>
        <w:tabs>
          <w:tab w:val="left" w:pos="3600"/>
        </w:tabs>
        <w:ind w:left="3240" w:hanging="1080"/>
      </w:pPr>
    </w:lvl>
    <w:lvl w:ilvl="7" w:tentative="0">
      <w:start w:val="1"/>
      <w:numFmt w:val="decimal"/>
      <w:lvlText w:val="%1.%2.%3.%4.%5.%6.%7.%8."/>
      <w:lvlJc w:val="left"/>
      <w:pPr>
        <w:tabs>
          <w:tab w:val="left" w:pos="3960"/>
        </w:tabs>
        <w:ind w:left="3744" w:hanging="1224"/>
      </w:pPr>
    </w:lvl>
    <w:lvl w:ilvl="8" w:tentative="0">
      <w:start w:val="1"/>
      <w:numFmt w:val="decimal"/>
      <w:lvlText w:val="%1.%2.%3.%4.%5.%6.%7.%8.%9."/>
      <w:lvlJc w:val="left"/>
      <w:pPr>
        <w:tabs>
          <w:tab w:val="left" w:pos="4680"/>
        </w:tabs>
        <w:ind w:left="4320" w:hanging="144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4"/>
  <w:attachedTemplate r:id="rId1"/>
  <w:documentProtection w:enforcement="0"/>
  <w:defaultTabStop w:val="720"/>
  <w:drawingGridHorizontalSpacing w:val="90"/>
  <w:displayHorizontalDrawingGridEvery w:val="2"/>
  <w:characterSpacingControl w:val="doNotCompress"/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B3AFE"/>
    <w:rsid w:val="001C5100"/>
    <w:rsid w:val="001F050D"/>
    <w:rsid w:val="00212884"/>
    <w:rsid w:val="0021530D"/>
    <w:rsid w:val="0021768A"/>
    <w:rsid w:val="00221722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  <w:rsid w:val="4FDFD44E"/>
    <w:rsid w:val="6FF0EC59"/>
    <w:rsid w:val="E7FC0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Times New Roma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 w:after="120"/>
    </w:pPr>
    <w:rPr>
      <w:rFonts w:ascii="Arial" w:hAnsi="Arial" w:eastAsia="Times New Roman" w:cs="Arial"/>
      <w:sz w:val="18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4">
    <w:name w:val="heading 3"/>
    <w:basedOn w:val="1"/>
    <w:next w:val="1"/>
    <w:qFormat/>
    <w:uiPriority w:val="0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5">
    <w:name w:val="heading 4"/>
    <w:basedOn w:val="1"/>
    <w:next w:val="1"/>
    <w:link w:val="30"/>
    <w:unhideWhenUsed/>
    <w:qFormat/>
    <w:uiPriority w:val="0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6">
    <w:name w:val="heading 5"/>
    <w:basedOn w:val="1"/>
    <w:next w:val="1"/>
    <w:link w:val="31"/>
    <w:unhideWhenUsed/>
    <w:qFormat/>
    <w:uiPriority w:val="0"/>
    <w:pPr>
      <w:keepNext/>
      <w:keepLines/>
      <w:spacing w:before="200"/>
      <w:outlineLvl w:val="4"/>
    </w:pPr>
    <w:rPr>
      <w:rFonts w:asciiTheme="majorHAnsi" w:hAnsiTheme="majorHAnsi" w:eastAsiaTheme="majorEastAsia" w:cstheme="majorBidi"/>
      <w:color w:val="243F61" w:themeColor="accent1" w:themeShade="7F"/>
    </w:rPr>
  </w:style>
  <w:style w:type="character" w:default="1" w:styleId="16">
    <w:name w:val="Default Paragraph Font"/>
    <w:unhideWhenUsed/>
    <w:uiPriority w:val="1"/>
  </w:style>
  <w:style w:type="table" w:default="1" w:styleId="18">
    <w:name w:val="Normal Table"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Document Map"/>
    <w:basedOn w:val="1"/>
    <w:semiHidden/>
    <w:uiPriority w:val="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8">
    <w:name w:val="toc 5"/>
    <w:basedOn w:val="1"/>
    <w:next w:val="1"/>
    <w:semiHidden/>
    <w:uiPriority w:val="0"/>
    <w:pPr>
      <w:spacing w:line="360" w:lineRule="auto"/>
      <w:ind w:left="960"/>
    </w:pPr>
  </w:style>
  <w:style w:type="paragraph" w:styleId="9">
    <w:name w:val="toc 3"/>
    <w:basedOn w:val="1"/>
    <w:next w:val="1"/>
    <w:uiPriority w:val="39"/>
    <w:pPr>
      <w:spacing w:line="360" w:lineRule="auto"/>
      <w:ind w:left="480"/>
    </w:pPr>
  </w:style>
  <w:style w:type="paragraph" w:styleId="10">
    <w:name w:val="Balloon Text"/>
    <w:basedOn w:val="1"/>
    <w:link w:val="28"/>
    <w:uiPriority w:val="0"/>
    <w:rPr>
      <w:rFonts w:ascii="Tahoma" w:hAnsi="Tahoma" w:cs="Tahoma"/>
      <w:sz w:val="16"/>
      <w:szCs w:val="16"/>
    </w:rPr>
  </w:style>
  <w:style w:type="paragraph" w:styleId="11">
    <w:name w:val="footer"/>
    <w:basedOn w:val="1"/>
    <w:link w:val="36"/>
    <w:uiPriority w:val="99"/>
    <w:pPr>
      <w:tabs>
        <w:tab w:val="center" w:pos="4680"/>
        <w:tab w:val="right" w:pos="9360"/>
      </w:tabs>
      <w:spacing w:before="0" w:after="0"/>
    </w:pPr>
  </w:style>
  <w:style w:type="paragraph" w:styleId="12">
    <w:name w:val="header"/>
    <w:basedOn w:val="1"/>
    <w:link w:val="35"/>
    <w:uiPriority w:val="99"/>
    <w:pPr>
      <w:tabs>
        <w:tab w:val="center" w:pos="4680"/>
        <w:tab w:val="right" w:pos="9360"/>
      </w:tabs>
      <w:spacing w:before="0" w:after="0"/>
    </w:pPr>
  </w:style>
  <w:style w:type="paragraph" w:styleId="13">
    <w:name w:val="toc 1"/>
    <w:basedOn w:val="1"/>
    <w:next w:val="1"/>
    <w:uiPriority w:val="39"/>
    <w:pPr>
      <w:spacing w:line="360" w:lineRule="auto"/>
    </w:pPr>
    <w:rPr>
      <w:b/>
    </w:rPr>
  </w:style>
  <w:style w:type="paragraph" w:styleId="14">
    <w:name w:val="toc 4"/>
    <w:basedOn w:val="1"/>
    <w:next w:val="1"/>
    <w:uiPriority w:val="39"/>
    <w:pPr>
      <w:spacing w:line="360" w:lineRule="auto"/>
      <w:ind w:left="720"/>
    </w:pPr>
  </w:style>
  <w:style w:type="paragraph" w:styleId="15">
    <w:name w:val="toc 2"/>
    <w:basedOn w:val="1"/>
    <w:next w:val="1"/>
    <w:uiPriority w:val="39"/>
    <w:pPr>
      <w:spacing w:line="360" w:lineRule="auto"/>
      <w:ind w:left="240"/>
    </w:pPr>
  </w:style>
  <w:style w:type="character" w:styleId="17">
    <w:name w:val="Hyperlink"/>
    <w:basedOn w:val="16"/>
    <w:uiPriority w:val="99"/>
    <w:rPr>
      <w:color w:val="0000FF"/>
      <w:u w:val="single"/>
    </w:rPr>
  </w:style>
  <w:style w:type="table" w:styleId="19">
    <w:name w:val="Table Grid"/>
    <w:basedOn w:val="18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0">
    <w:name w:val="AxureTOCHeading"/>
    <w:basedOn w:val="1"/>
    <w:uiPriority w:val="0"/>
    <w:pPr>
      <w:spacing w:before="360"/>
      <w:jc w:val="center"/>
    </w:pPr>
    <w:rPr>
      <w:b/>
      <w:color w:val="3F3F3F" w:themeColor="text1" w:themeTint="BF"/>
      <w:sz w:val="24"/>
    </w:rPr>
  </w:style>
  <w:style w:type="paragraph" w:customStyle="1" w:styleId="21">
    <w:name w:val="AxureHeading1"/>
    <w:basedOn w:val="1"/>
    <w:uiPriority w:val="0"/>
    <w:pPr>
      <w:numPr>
        <w:ilvl w:val="0"/>
        <w:numId w:val="1"/>
      </w:numPr>
      <w:spacing w:after="240"/>
    </w:pPr>
    <w:rPr>
      <w:b/>
      <w:color w:val="3F3F3F" w:themeColor="text1" w:themeTint="BF"/>
      <w:sz w:val="28"/>
    </w:rPr>
  </w:style>
  <w:style w:type="paragraph" w:customStyle="1" w:styleId="22">
    <w:name w:val="AxureHeading2"/>
    <w:basedOn w:val="1"/>
    <w:uiPriority w:val="0"/>
    <w:pPr>
      <w:numPr>
        <w:ilvl w:val="1"/>
        <w:numId w:val="1"/>
      </w:numPr>
    </w:pPr>
    <w:rPr>
      <w:b/>
      <w:color w:val="3F3F3F" w:themeColor="text1" w:themeTint="BF"/>
      <w:sz w:val="26"/>
    </w:rPr>
  </w:style>
  <w:style w:type="paragraph" w:customStyle="1" w:styleId="23">
    <w:name w:val="AxureHeading3"/>
    <w:basedOn w:val="1"/>
    <w:uiPriority w:val="0"/>
    <w:pPr>
      <w:numPr>
        <w:ilvl w:val="2"/>
        <w:numId w:val="1"/>
      </w:numPr>
      <w:spacing w:before="240"/>
    </w:pPr>
    <w:rPr>
      <w:b/>
      <w:color w:val="3F3F3F" w:themeColor="text1" w:themeTint="BF"/>
      <w:sz w:val="20"/>
    </w:rPr>
  </w:style>
  <w:style w:type="paragraph" w:customStyle="1" w:styleId="24">
    <w:name w:val="AxureHeading4"/>
    <w:basedOn w:val="1"/>
    <w:uiPriority w:val="0"/>
    <w:pPr>
      <w:numPr>
        <w:ilvl w:val="3"/>
        <w:numId w:val="1"/>
      </w:numPr>
      <w:spacing w:before="240"/>
    </w:pPr>
    <w:rPr>
      <w:b/>
      <w:i/>
      <w:color w:val="3F3F3F" w:themeColor="text1" w:themeTint="BF"/>
      <w:sz w:val="20"/>
    </w:rPr>
  </w:style>
  <w:style w:type="paragraph" w:customStyle="1" w:styleId="25">
    <w:name w:val="AxureTableHeaderText"/>
    <w:basedOn w:val="1"/>
    <w:uiPriority w:val="0"/>
    <w:pPr>
      <w:spacing w:before="60" w:after="60"/>
    </w:pPr>
    <w:rPr>
      <w:b/>
      <w:sz w:val="16"/>
    </w:rPr>
  </w:style>
  <w:style w:type="paragraph" w:customStyle="1" w:styleId="26">
    <w:name w:val="AxureTableNormalText"/>
    <w:basedOn w:val="1"/>
    <w:uiPriority w:val="0"/>
    <w:pPr>
      <w:spacing w:before="60" w:after="60"/>
    </w:pPr>
    <w:rPr>
      <w:sz w:val="16"/>
    </w:rPr>
  </w:style>
  <w:style w:type="paragraph" w:customStyle="1" w:styleId="27">
    <w:name w:val="AxureHeadingBasic"/>
    <w:basedOn w:val="1"/>
    <w:uiPriority w:val="0"/>
    <w:pPr>
      <w:spacing w:before="240"/>
    </w:pPr>
    <w:rPr>
      <w:b/>
      <w:color w:val="3F3F3F" w:themeColor="text1" w:themeTint="BF"/>
      <w:u w:val="single"/>
    </w:rPr>
  </w:style>
  <w:style w:type="character" w:customStyle="1" w:styleId="28">
    <w:name w:val="Balloon Text Char"/>
    <w:basedOn w:val="16"/>
    <w:link w:val="10"/>
    <w:uiPriority w:val="0"/>
    <w:rPr>
      <w:rFonts w:ascii="Tahoma" w:hAnsi="Tahoma" w:cs="Tahoma"/>
      <w:sz w:val="16"/>
      <w:szCs w:val="16"/>
    </w:rPr>
  </w:style>
  <w:style w:type="table" w:customStyle="1" w:styleId="29">
    <w:name w:val="AxureTableStyle"/>
    <w:basedOn w:val="18"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  <w:style w:type="character" w:customStyle="1" w:styleId="30">
    <w:name w:val="Heading 4 Char"/>
    <w:basedOn w:val="16"/>
    <w:link w:val="5"/>
    <w:uiPriority w:val="0"/>
    <w:rPr>
      <w:rFonts w:asciiTheme="majorHAnsi" w:hAnsiTheme="majorHAnsi" w:eastAsiaTheme="majorEastAsia" w:cstheme="majorBidi"/>
      <w:b/>
      <w:bCs/>
      <w:i/>
      <w:iCs/>
      <w:color w:val="4F81BD" w:themeColor="accent1"/>
      <w:sz w:val="18"/>
      <w:szCs w:val="24"/>
    </w:rPr>
  </w:style>
  <w:style w:type="character" w:customStyle="1" w:styleId="31">
    <w:name w:val="Heading 5 Char"/>
    <w:basedOn w:val="16"/>
    <w:link w:val="6"/>
    <w:uiPriority w:val="0"/>
    <w:rPr>
      <w:rFonts w:asciiTheme="majorHAnsi" w:hAnsiTheme="majorHAnsi" w:eastAsiaTheme="majorEastAsia" w:cstheme="majorBidi"/>
      <w:color w:val="243F61" w:themeColor="accent1" w:themeShade="7F"/>
      <w:sz w:val="18"/>
      <w:szCs w:val="24"/>
    </w:rPr>
  </w:style>
  <w:style w:type="paragraph" w:customStyle="1" w:styleId="32">
    <w:name w:val="AxureImageParagraph"/>
    <w:basedOn w:val="1"/>
    <w:qFormat/>
    <w:uiPriority w:val="0"/>
    <w:pPr>
      <w:jc w:val="center"/>
    </w:pPr>
  </w:style>
  <w:style w:type="paragraph" w:customStyle="1" w:styleId="33">
    <w:name w:val="No Spacing"/>
    <w:link w:val="34"/>
    <w:qFormat/>
    <w:uiPriority w:val="1"/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34">
    <w:name w:val="No Spacing Char"/>
    <w:basedOn w:val="16"/>
    <w:link w:val="33"/>
    <w:uiPriority w:val="1"/>
    <w:rPr>
      <w:rFonts w:asciiTheme="minorHAnsi" w:hAnsiTheme="minorHAnsi" w:eastAsiaTheme="minorEastAsia" w:cstheme="minorBidi"/>
      <w:sz w:val="22"/>
      <w:szCs w:val="22"/>
    </w:rPr>
  </w:style>
  <w:style w:type="character" w:customStyle="1" w:styleId="35">
    <w:name w:val="Header Char"/>
    <w:basedOn w:val="16"/>
    <w:link w:val="12"/>
    <w:uiPriority w:val="99"/>
    <w:rPr>
      <w:rFonts w:ascii="Arial" w:hAnsi="Arial" w:cs="Arial"/>
      <w:sz w:val="18"/>
      <w:szCs w:val="24"/>
    </w:rPr>
  </w:style>
  <w:style w:type="character" w:customStyle="1" w:styleId="36">
    <w:name w:val="Footer Char"/>
    <w:basedOn w:val="16"/>
    <w:link w:val="11"/>
    <w:uiPriority w:val="99"/>
    <w:rPr>
      <w:rFonts w:ascii="Arial" w:hAnsi="Arial" w:cs="Arial"/>
      <w:sz w:val="18"/>
      <w:szCs w:val="24"/>
    </w:rPr>
  </w:style>
  <w:style w:type="character" w:customStyle="1" w:styleId="37">
    <w:name w:val="Placeholder Text"/>
    <w:basedOn w:val="16"/>
    <w:semiHidden/>
    <w:uiPriority w:val="99"/>
    <w:rPr>
      <w:color w:val="808080"/>
    </w:rPr>
  </w:style>
  <w:style w:type="paragraph" w:customStyle="1" w:styleId="38">
    <w:name w:val="AxureHiddenParagraph"/>
    <w:basedOn w:val="1"/>
    <w:qFormat/>
    <w:uiPriority w:val="0"/>
    <w:pPr>
      <w:spacing w:before="0" w:after="0"/>
    </w:pPr>
    <w:rPr>
      <w:sz w:val="2"/>
    </w:rPr>
  </w:style>
  <w:style w:type="paragraph" w:customStyle="1" w:styleId="39">
    <w:name w:val="一级标题"/>
    <w:basedOn w:val="1"/>
    <w:uiPriority w:val="0"/>
    <w:pPr>
      <w:spacing w:after="240"/>
      <w:outlineLvl w:val="0"/>
    </w:pPr>
    <w:rPr>
      <w:b/>
      <w:color w:val="auto"/>
      <w:sz w:val="28"/>
    </w:rPr>
  </w:style>
  <w:style w:type="paragraph" w:customStyle="1" w:styleId="40">
    <w:name w:val="AxureHeading21"/>
    <w:basedOn w:val="1"/>
    <w:uiPriority w:val="0"/>
    <w:pPr>
      <w:outlineLvl w:val="1"/>
    </w:pPr>
    <w:rPr>
      <w:b/>
      <w:color w:val="auto"/>
      <w:sz w:val="26"/>
    </w:rPr>
  </w:style>
  <w:style w:type="paragraph" w:customStyle="1" w:styleId="41">
    <w:name w:val="AxureHeading31"/>
    <w:basedOn w:val="1"/>
    <w:uiPriority w:val="0"/>
    <w:pPr>
      <w:spacing w:before="240"/>
      <w:outlineLvl w:val="2"/>
    </w:pPr>
    <w:rPr>
      <w:b/>
      <w:color w:val="auto"/>
      <w:szCs w:val="20"/>
    </w:rPr>
  </w:style>
  <w:style w:type="paragraph" w:customStyle="1" w:styleId="42">
    <w:name w:val="AxureHeading41"/>
    <w:basedOn w:val="1"/>
    <w:uiPriority w:val="0"/>
    <w:pPr>
      <w:spacing w:before="240"/>
      <w:outlineLvl w:val="3"/>
    </w:pPr>
    <w:rPr>
      <w:b/>
      <w:i/>
      <w:color w:val="auto"/>
      <w:sz w:val="20"/>
    </w:rPr>
  </w:style>
  <w:style w:type="paragraph" w:customStyle="1" w:styleId="43">
    <w:name w:val="Axure表格标题文字"/>
    <w:basedOn w:val="1"/>
    <w:uiPriority w:val="0"/>
    <w:pPr>
      <w:spacing w:before="60" w:after="60"/>
    </w:pPr>
    <w:rPr>
      <w:b/>
      <w:sz w:val="16"/>
    </w:rPr>
  </w:style>
  <w:style w:type="paragraph" w:customStyle="1" w:styleId="44">
    <w:name w:val="Axure表格常规文字"/>
    <w:basedOn w:val="1"/>
    <w:uiPriority w:val="0"/>
    <w:pPr>
      <w:spacing w:before="60" w:after="60"/>
    </w:pPr>
    <w:rPr>
      <w:sz w:val="16"/>
    </w:rPr>
  </w:style>
  <w:style w:type="paragraph" w:customStyle="1" w:styleId="45">
    <w:name w:val="五级标题"/>
    <w:basedOn w:val="1"/>
    <w:uiPriority w:val="0"/>
    <w:pPr>
      <w:spacing w:before="240"/>
    </w:pPr>
    <w:rPr>
      <w:b/>
      <w:u w:val="single"/>
    </w:rPr>
  </w:style>
  <w:style w:type="table" w:customStyle="1" w:styleId="46">
    <w:name w:val="Axure表格样式"/>
    <w:basedOn w:val="18"/>
    <w:uiPriority w:val="99"/>
    <w:rPr>
      <w:rFonts w:ascii="Arial" w:hAnsi="Arial"/>
      <w:sz w:val="16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72" w:type="dxa"/>
        <w:bottom w:w="0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cPr>
        <w:shd w:val="clear" w:color="auto" w:fill="D8D8D8" w:themeFill="background1" w:themeFillShade="D9"/>
      </w:tcPr>
    </w:tblStylePr>
    <w:tblStylePr w:type="band2Horz">
      <w:tcPr>
        <w:shd w:val="clear" w:color="auto" w:fill="F1F1F1" w:themeFill="background1" w:themeFillShade="F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0" Type="http://schemas.openxmlformats.org/officeDocument/2006/relationships/fontTable" Target="fontTable.xml"/><Relationship Id="rId4" Type="http://schemas.openxmlformats.org/officeDocument/2006/relationships/footer" Target="footer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hubo/Library/Containers/com.kingsoft.wpsoffice.mac/Data/C:\Users\nick.hunt\AppData\Local\Temp\315c31ec-09d6-49e5-9158-2e9e98120a0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Company>Axure</Company>
  <Pages>3</Pages>
  <Words>91</Words>
  <Characters>525</Characters>
  <Lines>4</Lines>
  <Paragraphs>1</Paragraphs>
  <TotalTime>0</TotalTime>
  <ScaleCrop>false</ScaleCrop>
  <LinksUpToDate>false</LinksUpToDate>
  <CharactersWithSpaces>615</CharactersWithSpaces>
  <Application>WPS Office_3.9.6.6441_F1E327BC-269C-435d-A152-05C5408002CA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2010-09-04T05:47:00Z</dcterms:created>
  <dc:creator>[Your Name]</dc:creator>
  <cp:lastModifiedBy>hubo</cp:lastModifiedBy>
  <cp:lastPrinted>2010-09-03T08:33:00Z</cp:lastPrinted>
  <dcterms:modified xsi:type="dcterms:W3CDTF">2022-01-30T14:02:47Z</dcterms:modified>
  <dc:title>The Documentation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2052-3.9.6.6441</vt:lpwstr>
  </property>
</Properties>
</file>