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hint="eastAsia" w:eastAsia="Times New Roman"/>
          <w:sz w:val="32"/>
          <w:szCs w:val="32"/>
          <w:lang w:val="en-US" w:eastAsia="zh-Hans"/>
        </w:rPr>
      </w:pPr>
      <w:r>
        <w:rPr>
          <w:rFonts w:hint="eastAsia"/>
          <w:sz w:val="32"/>
          <w:szCs w:val="32"/>
          <w:lang w:val="en-US" w:eastAsia="zh-Hans"/>
        </w:rPr>
        <w:t>使用客户登记日期政策发放奖励需求</w:t>
      </w:r>
    </w:p>
    <w:p>
      <w:pPr>
        <w:outlineLvl w:val="0"/>
        <w:rPr>
          <w:sz w:val="21"/>
          <w:szCs w:val="32"/>
        </w:rPr>
      </w:pPr>
      <w:r>
        <w:rPr>
          <w:rFonts w:hint="eastAsia" w:ascii="PingFang SC" w:hAnsi="PingFang SC"/>
          <w:b/>
          <w:color w:val="333333"/>
          <w:sz w:val="21"/>
          <w:szCs w:val="32"/>
          <w:lang w:val="en-US" w:eastAsia="zh-Hans"/>
        </w:rPr>
        <w:t>一、</w:t>
      </w:r>
      <w:r>
        <w:rPr>
          <w:rFonts w:ascii="PingFang SC" w:hAnsi="PingFang SC"/>
          <w:b/>
          <w:color w:val="333333"/>
          <w:sz w:val="21"/>
          <w:szCs w:val="32"/>
        </w:rPr>
        <w:t>需求背景</w:t>
      </w:r>
    </w:p>
    <w:p>
      <w:pPr>
        <w:outlineLvl w:val="0"/>
        <w:rPr>
          <w:rFonts w:hint="eastAsia" w:ascii="PingFang SC" w:hAnsi="PingFang SC"/>
          <w:b/>
          <w:color w:val="333333"/>
          <w:sz w:val="21"/>
          <w:szCs w:val="32"/>
          <w:lang w:val="en-US" w:eastAsia="zh-Hans"/>
        </w:rPr>
      </w:pPr>
      <w:r>
        <w:rPr>
          <w:rFonts w:hint="eastAsia" w:ascii="PingFang SC" w:hAnsi="PingFang SC"/>
          <w:b/>
          <w:color w:val="333333"/>
          <w:sz w:val="21"/>
          <w:szCs w:val="32"/>
          <w:lang w:val="en-US" w:eastAsia="zh-Hans"/>
        </w:rPr>
        <w:t>趣伴卡现在结算是没有规定结算周期，在可结算范围内都会进行结算。代理商反馈，其余平台价格相对较高。整理外部平台价格后，发现外部平台：是不同周期对应不同价格，凸显高价。如中信首刷280，为0-15天内280，16-30天内110元。经过沟通，代理商对于结算周期拉长后他们的整体收益较高这一客观事实认可度较低，故需要对平台的结算部分进行优化，凸显价格优势</w:t>
      </w:r>
    </w:p>
    <w:p>
      <w:pPr>
        <w:outlineLvl w:val="0"/>
        <w:rPr>
          <w:sz w:val="21"/>
          <w:szCs w:val="32"/>
        </w:rPr>
      </w:pPr>
      <w:r>
        <w:rPr>
          <w:rFonts w:hint="eastAsia" w:ascii="PingFang SC" w:hAnsi="PingFang SC"/>
          <w:b/>
          <w:color w:val="333333"/>
          <w:sz w:val="21"/>
          <w:szCs w:val="32"/>
          <w:lang w:val="en-US" w:eastAsia="zh-Hans"/>
        </w:rPr>
        <w:t>二、</w:t>
      </w:r>
      <w:r>
        <w:rPr>
          <w:rFonts w:ascii="PingFang SC" w:hAnsi="PingFang SC"/>
          <w:b/>
          <w:color w:val="333333"/>
          <w:sz w:val="21"/>
          <w:szCs w:val="32"/>
        </w:rPr>
        <w:t>需求范围</w:t>
      </w:r>
    </w:p>
    <w:p>
      <w:pPr>
        <w:rPr>
          <w:rFonts w:hint="default" w:eastAsia="Times New Roman"/>
          <w:sz w:val="21"/>
          <w:szCs w:val="32"/>
          <w:lang w:val="en-US" w:eastAsia="zh-Hans"/>
        </w:rPr>
      </w:pPr>
      <w:r>
        <w:rPr>
          <w:rFonts w:ascii="PingFang SC" w:hAnsi="PingFang SC"/>
          <w:b/>
          <w:color w:val="333333"/>
          <w:sz w:val="21"/>
          <w:szCs w:val="32"/>
        </w:rPr>
        <w:t>1</w:t>
      </w:r>
      <w:r>
        <w:rPr>
          <w:rFonts w:hint="eastAsia" w:ascii="PingFang SC" w:hAnsi="PingFang SC"/>
          <w:b/>
          <w:color w:val="333333"/>
          <w:sz w:val="21"/>
          <w:szCs w:val="32"/>
          <w:lang w:eastAsia="zh-Hans"/>
        </w:rPr>
        <w:t>、</w:t>
      </w:r>
      <w:r>
        <w:rPr>
          <w:rFonts w:hint="eastAsia" w:ascii="PingFang SC" w:hAnsi="PingFang SC"/>
          <w:b/>
          <w:color w:val="333333"/>
          <w:sz w:val="21"/>
          <w:szCs w:val="32"/>
          <w:lang w:val="en-US" w:eastAsia="zh-Hans"/>
        </w:rPr>
        <w:t>趣伴卡控台</w:t>
      </w:r>
    </w:p>
    <w:p>
      <w:pPr>
        <w:outlineLvl w:val="0"/>
        <w:rPr>
          <w:sz w:val="21"/>
          <w:szCs w:val="32"/>
        </w:rPr>
      </w:pPr>
      <w:r>
        <w:rPr>
          <w:rFonts w:hint="eastAsia" w:ascii="PingFang SC" w:hAnsi="PingFang SC"/>
          <w:b/>
          <w:color w:val="333333"/>
          <w:sz w:val="21"/>
          <w:szCs w:val="32"/>
          <w:lang w:val="en-US" w:eastAsia="zh-Hans"/>
        </w:rPr>
        <w:t>三、</w:t>
      </w:r>
      <w:r>
        <w:rPr>
          <w:rFonts w:ascii="PingFang SC" w:hAnsi="PingFang SC"/>
          <w:b/>
          <w:color w:val="333333"/>
          <w:sz w:val="21"/>
          <w:szCs w:val="32"/>
        </w:rPr>
        <w:t>需求描述</w:t>
      </w:r>
    </w:p>
    <w:p>
      <w:pPr>
        <w:rPr>
          <w:rFonts w:hint="eastAsia" w:ascii="PingFang SC" w:hAnsi="PingFang SC"/>
          <w:b/>
          <w:color w:val="333333"/>
          <w:sz w:val="21"/>
          <w:szCs w:val="32"/>
          <w:lang w:val="en-US" w:eastAsia="zh-Hans"/>
        </w:rPr>
      </w:pPr>
      <w:r>
        <w:rPr>
          <w:rFonts w:ascii="PingFang SC" w:hAnsi="PingFang SC"/>
          <w:b/>
          <w:color w:val="333333"/>
          <w:sz w:val="21"/>
          <w:szCs w:val="32"/>
        </w:rPr>
        <w:t>1、</w:t>
      </w:r>
      <w:r>
        <w:rPr>
          <w:rFonts w:hint="eastAsia" w:ascii="PingFang SC" w:hAnsi="PingFang SC"/>
          <w:b/>
          <w:color w:val="333333"/>
          <w:sz w:val="21"/>
          <w:szCs w:val="32"/>
          <w:lang w:val="en-US" w:eastAsia="zh-Hans"/>
        </w:rPr>
        <w:t>银行结算规则配置页面：</w:t>
      </w:r>
    </w:p>
    <w:p>
      <w:bookmarkStart w:id="0" w:name="_GoBack"/>
      <w:r>
        <w:drawing>
          <wp:inline distT="0" distB="0" distL="114300" distR="114300">
            <wp:extent cx="4629150" cy="4077335"/>
            <wp:effectExtent l="0" t="0" r="190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629150" cy="4077335"/>
                    </a:xfrm>
                    <a:prstGeom prst="rect">
                      <a:avLst/>
                    </a:prstGeom>
                    <a:noFill/>
                    <a:ln>
                      <a:noFill/>
                    </a:ln>
                  </pic:spPr>
                </pic:pic>
              </a:graphicData>
            </a:graphic>
          </wp:inline>
        </w:drawing>
      </w:r>
      <w:bookmarkEnd w:id="0"/>
    </w:p>
    <w:p>
      <w:pPr>
        <w:rPr>
          <w:rFonts w:hint="eastAsia"/>
          <w:lang w:val="en-US" w:eastAsia="zh-Hans"/>
        </w:rPr>
      </w:pPr>
      <w:r>
        <w:rPr>
          <w:rFonts w:hint="default"/>
        </w:rPr>
        <w:t>1</w:t>
      </w:r>
      <w:r>
        <w:rPr>
          <w:rFonts w:hint="eastAsia"/>
          <w:lang w:eastAsia="zh-Hans"/>
        </w:rPr>
        <w:t>、</w:t>
      </w:r>
      <w:r>
        <w:rPr>
          <w:rFonts w:hint="eastAsia"/>
          <w:lang w:val="en-US" w:eastAsia="zh-Hans"/>
        </w:rPr>
        <w:t>结算金额与补贴金额，可输入相对核卡日期的间隔和对应的结算金额</w:t>
      </w:r>
    </w:p>
    <w:p>
      <w:pPr>
        <w:rPr>
          <w:rFonts w:hint="eastAsia"/>
          <w:lang w:val="en-US" w:eastAsia="zh-Hans"/>
        </w:rPr>
      </w:pPr>
      <w:r>
        <w:rPr>
          <w:rFonts w:hint="default"/>
          <w:lang w:eastAsia="zh-Hans"/>
        </w:rPr>
        <w:t>2</w:t>
      </w:r>
      <w:r>
        <w:rPr>
          <w:rFonts w:hint="eastAsia"/>
          <w:lang w:eastAsia="zh-Hans"/>
        </w:rPr>
        <w:t>、</w:t>
      </w:r>
      <w:r>
        <w:rPr>
          <w:rFonts w:hint="eastAsia"/>
          <w:lang w:val="en-US" w:eastAsia="zh-Hans"/>
        </w:rPr>
        <w:t>结算标准选择激活、首刷、核卡</w:t>
      </w:r>
      <w:r>
        <w:rPr>
          <w:rFonts w:hint="default"/>
          <w:lang w:eastAsia="zh-Hans"/>
        </w:rPr>
        <w:t>+</w:t>
      </w:r>
      <w:r>
        <w:rPr>
          <w:rFonts w:hint="eastAsia"/>
          <w:lang w:val="en-US" w:eastAsia="zh-Hans"/>
        </w:rPr>
        <w:t>激活、核卡</w:t>
      </w:r>
      <w:r>
        <w:rPr>
          <w:rFonts w:hint="default"/>
          <w:lang w:eastAsia="zh-Hans"/>
        </w:rPr>
        <w:t>+</w:t>
      </w:r>
      <w:r>
        <w:rPr>
          <w:rFonts w:hint="eastAsia"/>
          <w:lang w:val="en-US" w:eastAsia="zh-Hans"/>
        </w:rPr>
        <w:t>首刷、激活</w:t>
      </w:r>
      <w:r>
        <w:rPr>
          <w:rFonts w:hint="default"/>
          <w:lang w:eastAsia="zh-Hans"/>
        </w:rPr>
        <w:t>+</w:t>
      </w:r>
      <w:r>
        <w:rPr>
          <w:rFonts w:hint="eastAsia"/>
          <w:lang w:val="en-US" w:eastAsia="zh-Hans"/>
        </w:rPr>
        <w:t>首刷时，第二档、第三档允许输入；选择核卡、新邦卡、有效绑卡、新邦卡</w:t>
      </w:r>
      <w:r>
        <w:rPr>
          <w:rFonts w:hint="default"/>
          <w:lang w:eastAsia="zh-Hans"/>
        </w:rPr>
        <w:t>+</w:t>
      </w:r>
      <w:r>
        <w:rPr>
          <w:rFonts w:hint="eastAsia"/>
          <w:lang w:val="en-US" w:eastAsia="zh-Hans"/>
        </w:rPr>
        <w:t>有效绑卡时，只允许输入第一档。</w:t>
      </w:r>
    </w:p>
    <w:p>
      <w:pPr>
        <w:rPr>
          <w:rFonts w:hint="default"/>
          <w:lang w:eastAsia="zh-Hans"/>
        </w:rPr>
      </w:pPr>
      <w:r>
        <w:rPr>
          <w:rFonts w:hint="default"/>
          <w:lang w:eastAsia="zh-Hans"/>
        </w:rPr>
        <w:t>3</w:t>
      </w:r>
      <w:r>
        <w:rPr>
          <w:rFonts w:hint="eastAsia"/>
          <w:lang w:eastAsia="zh-Hans"/>
        </w:rPr>
        <w:t>、</w:t>
      </w:r>
      <w:r>
        <w:rPr>
          <w:rFonts w:hint="eastAsia"/>
          <w:lang w:val="en-US" w:eastAsia="zh-Hans"/>
        </w:rPr>
        <w:t>相对核卡日期只允许输入正整数，且只要允许输入时均为必填，对于核卡结算或不需要判断天数的，可输入</w:t>
      </w:r>
      <w:r>
        <w:rPr>
          <w:rFonts w:hint="default"/>
          <w:lang w:eastAsia="zh-Hans"/>
        </w:rPr>
        <w:t>9999</w:t>
      </w:r>
    </w:p>
    <w:p>
      <w:pPr>
        <w:rPr>
          <w:rFonts w:hint="eastAsia"/>
          <w:lang w:eastAsia="zh-Hans"/>
        </w:rPr>
      </w:pPr>
      <w:r>
        <w:rPr>
          <w:rFonts w:hint="default"/>
          <w:lang w:eastAsia="zh-Hans"/>
        </w:rPr>
        <w:t>4</w:t>
      </w:r>
      <w:r>
        <w:rPr>
          <w:rFonts w:hint="eastAsia"/>
          <w:lang w:eastAsia="zh-Hans"/>
        </w:rPr>
        <w:t>、</w:t>
      </w:r>
      <w:r>
        <w:rPr>
          <w:rFonts w:hint="eastAsia"/>
          <w:lang w:val="en-US" w:eastAsia="zh-Hans"/>
        </w:rPr>
        <w:t>金额判断逻辑：示例，第一档间隔</w:t>
      </w:r>
      <w:r>
        <w:rPr>
          <w:rFonts w:hint="default"/>
          <w:lang w:eastAsia="zh-Hans"/>
        </w:rPr>
        <w:t>15</w:t>
      </w:r>
      <w:r>
        <w:rPr>
          <w:rFonts w:hint="eastAsia"/>
          <w:lang w:eastAsia="zh-Hans"/>
        </w:rPr>
        <w:t>，</w:t>
      </w:r>
      <w:r>
        <w:rPr>
          <w:rFonts w:hint="eastAsia"/>
          <w:lang w:val="en-US" w:eastAsia="zh-Hans"/>
        </w:rPr>
        <w:t>金额</w:t>
      </w:r>
      <w:r>
        <w:rPr>
          <w:rFonts w:hint="default"/>
          <w:lang w:eastAsia="zh-Hans"/>
        </w:rPr>
        <w:t>300</w:t>
      </w:r>
      <w:r>
        <w:rPr>
          <w:rFonts w:hint="eastAsia"/>
          <w:lang w:eastAsia="zh-Hans"/>
        </w:rPr>
        <w:t>；</w:t>
      </w:r>
      <w:r>
        <w:rPr>
          <w:rFonts w:hint="eastAsia"/>
          <w:lang w:val="en-US" w:eastAsia="zh-Hans"/>
        </w:rPr>
        <w:t>第二档间隔</w:t>
      </w:r>
      <w:r>
        <w:rPr>
          <w:rFonts w:hint="default"/>
          <w:lang w:eastAsia="zh-Hans"/>
        </w:rPr>
        <w:t>30</w:t>
      </w:r>
      <w:r>
        <w:rPr>
          <w:rFonts w:hint="eastAsia"/>
          <w:lang w:eastAsia="zh-Hans"/>
        </w:rPr>
        <w:t>，</w:t>
      </w:r>
      <w:r>
        <w:rPr>
          <w:rFonts w:hint="eastAsia"/>
          <w:lang w:val="en-US" w:eastAsia="zh-Hans"/>
        </w:rPr>
        <w:t>金额</w:t>
      </w:r>
      <w:r>
        <w:rPr>
          <w:rFonts w:hint="default"/>
          <w:lang w:eastAsia="zh-Hans"/>
        </w:rPr>
        <w:t>120</w:t>
      </w:r>
      <w:r>
        <w:rPr>
          <w:rFonts w:hint="eastAsia"/>
          <w:lang w:eastAsia="zh-Hans"/>
        </w:rPr>
        <w:t>；</w:t>
      </w:r>
      <w:r>
        <w:rPr>
          <w:rFonts w:hint="eastAsia"/>
          <w:lang w:val="en-US" w:eastAsia="zh-Hans"/>
        </w:rPr>
        <w:t>第三档间隔</w:t>
      </w:r>
      <w:r>
        <w:rPr>
          <w:rFonts w:hint="default"/>
          <w:lang w:eastAsia="zh-Hans"/>
        </w:rPr>
        <w:t>60</w:t>
      </w:r>
      <w:r>
        <w:rPr>
          <w:rFonts w:hint="eastAsia"/>
          <w:lang w:eastAsia="zh-Hans"/>
        </w:rPr>
        <w:t>，</w:t>
      </w:r>
      <w:r>
        <w:rPr>
          <w:rFonts w:hint="eastAsia"/>
          <w:lang w:val="en-US" w:eastAsia="zh-Hans"/>
        </w:rPr>
        <w:t>金额</w:t>
      </w:r>
      <w:r>
        <w:rPr>
          <w:rFonts w:hint="default"/>
          <w:lang w:eastAsia="zh-Hans"/>
        </w:rPr>
        <w:t>0</w:t>
      </w:r>
      <w:r>
        <w:rPr>
          <w:rFonts w:hint="eastAsia"/>
          <w:lang w:eastAsia="zh-Hans"/>
        </w:rPr>
        <w:t>。</w:t>
      </w:r>
      <w:r>
        <w:rPr>
          <w:rFonts w:hint="eastAsia"/>
          <w:lang w:val="en-US" w:eastAsia="zh-Hans"/>
        </w:rPr>
        <w:t>则在触发结算时，判断X</w:t>
      </w:r>
      <w:r>
        <w:rPr>
          <w:rFonts w:hint="default"/>
          <w:lang w:eastAsia="zh-Hans"/>
        </w:rPr>
        <w:t>=</w:t>
      </w:r>
      <w:r>
        <w:rPr>
          <w:rFonts w:hint="eastAsia"/>
          <w:lang w:val="en-US" w:eastAsia="zh-Hans"/>
        </w:rPr>
        <w:t>对应触发结算条件的日期（激活、首刷）</w:t>
      </w:r>
      <w:r>
        <w:rPr>
          <w:rFonts w:hint="default"/>
          <w:lang w:eastAsia="zh-Hans"/>
        </w:rPr>
        <w:t>-</w:t>
      </w:r>
      <w:r>
        <w:rPr>
          <w:rFonts w:hint="eastAsia"/>
          <w:lang w:val="en-US" w:eastAsia="zh-Hans"/>
        </w:rPr>
        <w:t>核卡日期，若</w:t>
      </w:r>
      <w:r>
        <w:rPr>
          <w:rFonts w:hint="default"/>
          <w:lang w:eastAsia="zh-Hans"/>
        </w:rPr>
        <w:t>0&lt;</w:t>
      </w:r>
      <w:r>
        <w:rPr>
          <w:rFonts w:hint="eastAsia"/>
          <w:lang w:val="en-US" w:eastAsia="zh-Hans"/>
        </w:rPr>
        <w:t>X</w:t>
      </w:r>
      <w:r>
        <w:rPr>
          <w:rFonts w:hint="default"/>
          <w:lang w:eastAsia="zh-Hans"/>
        </w:rPr>
        <w:t>&lt;=15,</w:t>
      </w:r>
      <w:r>
        <w:rPr>
          <w:rFonts w:hint="eastAsia"/>
          <w:lang w:val="en-US" w:eastAsia="zh-Hans"/>
        </w:rPr>
        <w:t>则结算金额</w:t>
      </w:r>
      <w:r>
        <w:rPr>
          <w:rFonts w:hint="default"/>
          <w:lang w:eastAsia="zh-Hans"/>
        </w:rPr>
        <w:t>300</w:t>
      </w:r>
      <w:r>
        <w:rPr>
          <w:rFonts w:hint="eastAsia"/>
          <w:lang w:eastAsia="zh-Hans"/>
        </w:rPr>
        <w:t>，</w:t>
      </w:r>
      <w:r>
        <w:rPr>
          <w:rFonts w:hint="eastAsia"/>
          <w:lang w:val="en-US" w:eastAsia="zh-Hans"/>
        </w:rPr>
        <w:t>若</w:t>
      </w:r>
      <w:r>
        <w:rPr>
          <w:rFonts w:hint="default"/>
          <w:lang w:eastAsia="zh-Hans"/>
        </w:rPr>
        <w:t>15&lt;X&lt;=60</w:t>
      </w:r>
      <w:r>
        <w:rPr>
          <w:rFonts w:hint="eastAsia"/>
          <w:lang w:eastAsia="zh-Hans"/>
        </w:rPr>
        <w:t>，</w:t>
      </w:r>
      <w:r>
        <w:rPr>
          <w:rFonts w:hint="eastAsia"/>
          <w:lang w:val="en-US" w:eastAsia="zh-Hans"/>
        </w:rPr>
        <w:t>则结算金额</w:t>
      </w:r>
      <w:r>
        <w:rPr>
          <w:rFonts w:hint="default"/>
          <w:lang w:eastAsia="zh-Hans"/>
        </w:rPr>
        <w:t>120</w:t>
      </w:r>
      <w:r>
        <w:rPr>
          <w:rFonts w:hint="eastAsia"/>
          <w:lang w:eastAsia="zh-Hans"/>
        </w:rPr>
        <w:t>，</w:t>
      </w:r>
      <w:r>
        <w:rPr>
          <w:rFonts w:hint="eastAsia"/>
          <w:lang w:val="en-US" w:eastAsia="zh-Hans"/>
        </w:rPr>
        <w:t>若</w:t>
      </w:r>
      <w:r>
        <w:rPr>
          <w:rFonts w:hint="default"/>
          <w:lang w:eastAsia="zh-Hans"/>
        </w:rPr>
        <w:t>60&lt;</w:t>
      </w:r>
      <w:r>
        <w:rPr>
          <w:rFonts w:hint="eastAsia"/>
          <w:lang w:val="en-US" w:eastAsia="zh-Hans"/>
        </w:rPr>
        <w:t>X</w:t>
      </w:r>
      <w:r>
        <w:rPr>
          <w:rFonts w:hint="default"/>
          <w:lang w:eastAsia="zh-Hans"/>
        </w:rPr>
        <w:t>,</w:t>
      </w:r>
      <w:r>
        <w:rPr>
          <w:rFonts w:hint="eastAsia"/>
          <w:lang w:val="en-US" w:eastAsia="zh-Hans"/>
        </w:rPr>
        <w:t>则结算金额</w:t>
      </w:r>
      <w:r>
        <w:rPr>
          <w:rFonts w:hint="default"/>
          <w:lang w:eastAsia="zh-Hans"/>
        </w:rPr>
        <w:t>0</w:t>
      </w:r>
      <w:r>
        <w:rPr>
          <w:rFonts w:hint="eastAsia"/>
          <w:lang w:eastAsia="zh-Hans"/>
        </w:rPr>
        <w:t>。</w:t>
      </w:r>
    </w:p>
    <w:p>
      <w:pPr>
        <w:rPr>
          <w:rFonts w:hint="eastAsia"/>
          <w:lang w:val="en-US" w:eastAsia="zh-Hans"/>
        </w:rPr>
      </w:pPr>
      <w:r>
        <w:rPr>
          <w:rFonts w:hint="default"/>
          <w:lang w:eastAsia="zh-Hans"/>
        </w:rPr>
        <w:t>5</w:t>
      </w:r>
      <w:r>
        <w:rPr>
          <w:rFonts w:hint="eastAsia"/>
          <w:lang w:eastAsia="zh-Hans"/>
        </w:rPr>
        <w:t>、</w:t>
      </w:r>
      <w:r>
        <w:rPr>
          <w:rFonts w:hint="eastAsia"/>
          <w:lang w:val="en-US" w:eastAsia="zh-Hans"/>
        </w:rPr>
        <w:t>前端奖励金额展示，使用第一档对应结算金额展示。</w:t>
      </w:r>
    </w:p>
    <w:p>
      <w:pPr>
        <w:rPr>
          <w:rFonts w:hint="eastAsia"/>
          <w:lang w:val="en-US" w:eastAsia="zh-Hans"/>
        </w:rPr>
      </w:pPr>
      <w:r>
        <w:rPr>
          <w:rFonts w:hint="default"/>
          <w:lang w:eastAsia="zh-Hans"/>
        </w:rPr>
        <w:t>6</w:t>
      </w:r>
      <w:r>
        <w:rPr>
          <w:rFonts w:hint="eastAsia"/>
          <w:lang w:eastAsia="zh-Hans"/>
        </w:rPr>
        <w:t>、</w:t>
      </w:r>
      <w:r>
        <w:rPr>
          <w:rFonts w:hint="eastAsia"/>
          <w:lang w:val="en-US" w:eastAsia="zh-Hans"/>
        </w:rPr>
        <w:t>对于无核卡日期的订单，使用第一档结算金额进行结算。</w:t>
      </w:r>
    </w:p>
    <w:p>
      <w:pPr>
        <w:numPr>
          <w:ilvl w:val="0"/>
          <w:numId w:val="0"/>
        </w:numPr>
        <w:rPr>
          <w:rFonts w:hint="eastAsia"/>
          <w:sz w:val="21"/>
          <w:szCs w:val="32"/>
          <w:lang w:val="en-US" w:eastAsia="zh-Hans"/>
        </w:rPr>
      </w:pPr>
    </w:p>
    <w:sectPr>
      <w:headerReference r:id="rId4" w:type="default"/>
      <w:footerReference r:id="rId5" w:type="default"/>
      <w:type w:val="continuous"/>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Lucida Grande">
    <w:panose1 w:val="020B06000405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3F3F3F" w:themeColor="text1" w:themeTint="BF"/>
              <w:sz w:val="22"/>
              <w:szCs w:val="22"/>
            </w:rPr>
          </w:pPr>
          <w:r>
            <w:rPr>
              <w:rFonts w:asciiTheme="majorHAnsi" w:hAnsiTheme="majorHAnsi"/>
              <w:color w:val="3F3F3F" w:themeColor="text1" w:themeTint="BF"/>
              <w:sz w:val="22"/>
              <w:szCs w:val="22"/>
            </w:rPr>
            <w:t xml:space="preserve">Page </w:t>
          </w:r>
          <w:r>
            <w:rPr>
              <w:rFonts w:asciiTheme="majorHAnsi" w:hAnsiTheme="majorHAnsi"/>
              <w:color w:val="3F3F3F" w:themeColor="text1" w:themeTint="BF"/>
              <w:sz w:val="22"/>
              <w:szCs w:val="22"/>
            </w:rPr>
            <w:fldChar w:fldCharType="begin"/>
          </w:r>
          <w:r>
            <w:rPr>
              <w:rFonts w:asciiTheme="majorHAnsi" w:hAnsiTheme="majorHAnsi"/>
              <w:color w:val="3F3F3F" w:themeColor="text1" w:themeTint="BF"/>
              <w:sz w:val="22"/>
              <w:szCs w:val="22"/>
            </w:rPr>
            <w:instrText xml:space="preserve"> PAGE  \* MERGEFORMAT </w:instrText>
          </w:r>
          <w:r>
            <w:rPr>
              <w:rFonts w:asciiTheme="majorHAnsi" w:hAnsiTheme="majorHAnsi"/>
              <w:color w:val="3F3F3F" w:themeColor="text1" w:themeTint="BF"/>
              <w:sz w:val="22"/>
              <w:szCs w:val="22"/>
            </w:rPr>
            <w:fldChar w:fldCharType="separate"/>
          </w:r>
          <w:r>
            <w:rPr>
              <w:rFonts w:asciiTheme="majorHAnsi" w:hAnsiTheme="majorHAnsi"/>
              <w:color w:val="3F3F3F" w:themeColor="text1" w:themeTint="BF"/>
              <w:sz w:val="22"/>
              <w:szCs w:val="22"/>
            </w:rPr>
            <w:t>3</w:t>
          </w:r>
          <w:r>
            <w:rPr>
              <w:rFonts w:asciiTheme="majorHAnsi" w:hAnsiTheme="majorHAnsi"/>
              <w:color w:val="3F3F3F" w:themeColor="text1" w:themeTint="BF"/>
              <w:sz w:val="22"/>
              <w:szCs w:val="22"/>
            </w:rPr>
            <w:fldChar w:fldCharType="end"/>
          </w:r>
        </w:p>
      </w:tc>
      <w:tc>
        <w:tcPr>
          <w:tcW w:w="2214" w:type="pct"/>
        </w:tcPr>
        <w:p>
          <w:pPr>
            <w:pStyle w:val="11"/>
          </w:pPr>
        </w:p>
      </w:tc>
    </w:tr>
    <w:tr>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3F3F3F" w:themeColor="text1" w:themeTint="BF"/>
            </w:rPr>
            <w:alias w:val="Title"/>
            <w:id w:val="436407044"/>
            <w:text/>
          </w:sdtPr>
          <w:sdtEndPr>
            <w:rPr>
              <w:rFonts w:asciiTheme="majorHAnsi" w:hAnsiTheme="majorHAnsi"/>
              <w:color w:val="3F3F3F" w:themeColor="text1" w:themeTint="BF"/>
            </w:rPr>
          </w:sdtEndPr>
          <w:sdtContent>
            <w:p>
              <w:pPr>
                <w:pStyle w:val="33"/>
                <w:rPr>
                  <w:rFonts w:asciiTheme="majorHAnsi" w:hAnsiTheme="majorHAnsi"/>
                </w:rPr>
              </w:pPr>
              <w:r>
                <w:rPr>
                  <w:rFonts w:asciiTheme="majorHAnsi" w:hAnsiTheme="majorHAnsi"/>
                  <w:color w:val="3F3F3F" w:themeColor="text1" w:themeTint="BF"/>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2"/>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3F77778E"/>
    <w:rsid w:val="5F4FB32F"/>
    <w:rsid w:val="6B3FCA18"/>
    <w:rsid w:val="6B9EE706"/>
    <w:rsid w:val="79DF80E9"/>
    <w:rsid w:val="BDFEA10E"/>
    <w:rsid w:val="BF7F0515"/>
    <w:rsid w:val="CF6F16FF"/>
    <w:rsid w:val="F77F0B6A"/>
    <w:rsid w:val="FFFF63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43F61" w:themeColor="accent1" w:themeShade="7F"/>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qFormat/>
    <w:uiPriority w:val="99"/>
    <w:rPr>
      <w:color w:val="0000FF"/>
      <w:u w:val="single"/>
    </w:rPr>
  </w:style>
  <w:style w:type="paragraph" w:customStyle="1" w:styleId="20">
    <w:name w:val="AxureTOCHeading"/>
    <w:basedOn w:val="1"/>
    <w:qFormat/>
    <w:uiPriority w:val="0"/>
    <w:pPr>
      <w:spacing w:before="360"/>
      <w:jc w:val="center"/>
    </w:pPr>
    <w:rPr>
      <w:b/>
      <w:color w:val="3F3F3F" w:themeColor="text1" w:themeTint="BF"/>
      <w:sz w:val="24"/>
    </w:rPr>
  </w:style>
  <w:style w:type="paragraph" w:customStyle="1" w:styleId="21">
    <w:name w:val="AxureHeading1"/>
    <w:basedOn w:val="1"/>
    <w:qFormat/>
    <w:uiPriority w:val="0"/>
    <w:pPr>
      <w:numPr>
        <w:ilvl w:val="0"/>
        <w:numId w:val="1"/>
      </w:numPr>
      <w:spacing w:after="240"/>
    </w:pPr>
    <w:rPr>
      <w:b/>
      <w:color w:val="3F3F3F" w:themeColor="text1" w:themeTint="BF"/>
      <w:sz w:val="28"/>
    </w:rPr>
  </w:style>
  <w:style w:type="paragraph" w:customStyle="1" w:styleId="22">
    <w:name w:val="AxureHeading2"/>
    <w:basedOn w:val="1"/>
    <w:qFormat/>
    <w:uiPriority w:val="0"/>
    <w:pPr>
      <w:numPr>
        <w:ilvl w:val="1"/>
        <w:numId w:val="1"/>
      </w:numPr>
    </w:pPr>
    <w:rPr>
      <w:b/>
      <w:color w:val="3F3F3F" w:themeColor="text1" w:themeTint="BF"/>
      <w:sz w:val="26"/>
    </w:rPr>
  </w:style>
  <w:style w:type="paragraph" w:customStyle="1" w:styleId="23">
    <w:name w:val="AxureHeading3"/>
    <w:basedOn w:val="1"/>
    <w:qFormat/>
    <w:uiPriority w:val="0"/>
    <w:pPr>
      <w:numPr>
        <w:ilvl w:val="2"/>
        <w:numId w:val="1"/>
      </w:numPr>
      <w:spacing w:before="240"/>
    </w:pPr>
    <w:rPr>
      <w:b/>
      <w:color w:val="3F3F3F" w:themeColor="text1" w:themeTint="BF"/>
      <w:sz w:val="20"/>
    </w:rPr>
  </w:style>
  <w:style w:type="paragraph" w:customStyle="1" w:styleId="24">
    <w:name w:val="AxureHeading4"/>
    <w:basedOn w:val="1"/>
    <w:qFormat/>
    <w:uiPriority w:val="0"/>
    <w:pPr>
      <w:numPr>
        <w:ilvl w:val="3"/>
        <w:numId w:val="1"/>
      </w:numPr>
      <w:spacing w:before="240"/>
    </w:pPr>
    <w:rPr>
      <w:b/>
      <w:i/>
      <w:color w:val="3F3F3F" w:themeColor="text1" w:themeTint="BF"/>
      <w:sz w:val="20"/>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qFormat/>
    <w:uiPriority w:val="0"/>
    <w:pPr>
      <w:spacing w:before="60" w:after="60"/>
    </w:pPr>
    <w:rPr>
      <w:sz w:val="16"/>
    </w:rPr>
  </w:style>
  <w:style w:type="paragraph" w:customStyle="1" w:styleId="27">
    <w:name w:val="AxureHeadingBasic"/>
    <w:basedOn w:val="1"/>
    <w:qFormat/>
    <w:uiPriority w:val="0"/>
    <w:pPr>
      <w:spacing w:before="240"/>
    </w:pPr>
    <w:rPr>
      <w:b/>
      <w:color w:val="3F3F3F" w:themeColor="text1" w:themeTint="BF"/>
      <w:u w:val="single"/>
    </w:rPr>
  </w:style>
  <w:style w:type="character" w:customStyle="1" w:styleId="28">
    <w:name w:val="Balloon Text Char"/>
    <w:basedOn w:val="18"/>
    <w:link w:val="10"/>
    <w:qFormat/>
    <w:uiPriority w:val="0"/>
    <w:rPr>
      <w:rFonts w:ascii="Tahoma" w:hAnsi="Tahoma" w:cs="Tahoma"/>
      <w:sz w:val="16"/>
      <w:szCs w:val="16"/>
    </w:rPr>
  </w:style>
  <w:style w:type="table" w:customStyle="1" w:styleId="29">
    <w:name w:val="AxureTableStyle"/>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8"/>
    <w:link w:val="5"/>
    <w:qFormat/>
    <w:uiPriority w:val="0"/>
    <w:rPr>
      <w:rFonts w:asciiTheme="majorHAnsi" w:hAnsiTheme="majorHAnsi" w:eastAsiaTheme="majorEastAsia" w:cstheme="majorBidi"/>
      <w:b/>
      <w:bCs/>
      <w:i/>
      <w:iCs/>
      <w:color w:val="4F81BD" w:themeColor="accent1"/>
      <w:sz w:val="18"/>
      <w:szCs w:val="24"/>
    </w:rPr>
  </w:style>
  <w:style w:type="character" w:customStyle="1" w:styleId="31">
    <w:name w:val="Heading 5 Char"/>
    <w:basedOn w:val="18"/>
    <w:link w:val="6"/>
    <w:qFormat/>
    <w:uiPriority w:val="0"/>
    <w:rPr>
      <w:rFonts w:asciiTheme="majorHAnsi" w:hAnsiTheme="majorHAnsi" w:eastAsiaTheme="majorEastAsia" w:cstheme="majorBidi"/>
      <w:color w:val="243F61" w:themeColor="accent1" w:themeShade="7F"/>
      <w:sz w:val="18"/>
      <w:szCs w:val="24"/>
    </w:rPr>
  </w:style>
  <w:style w:type="paragraph" w:customStyle="1" w:styleId="32">
    <w:name w:val="AxureImageParagraph"/>
    <w:basedOn w:val="1"/>
    <w:qFormat/>
    <w:uiPriority w:val="0"/>
    <w:pPr>
      <w:jc w:val="center"/>
    </w:pPr>
  </w:style>
  <w:style w:type="paragraph" w:customStyle="1"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8"/>
    <w:link w:val="33"/>
    <w:qFormat/>
    <w:uiPriority w:val="1"/>
    <w:rPr>
      <w:rFonts w:asciiTheme="minorHAnsi" w:hAnsiTheme="minorHAnsi" w:eastAsiaTheme="minorEastAsia" w:cstheme="minorBidi"/>
      <w:sz w:val="22"/>
      <w:szCs w:val="22"/>
    </w:rPr>
  </w:style>
  <w:style w:type="character" w:customStyle="1" w:styleId="35">
    <w:name w:val="Header Char"/>
    <w:basedOn w:val="18"/>
    <w:link w:val="12"/>
    <w:qFormat/>
    <w:uiPriority w:val="99"/>
    <w:rPr>
      <w:rFonts w:ascii="Arial" w:hAnsi="Arial" w:cs="Arial"/>
      <w:sz w:val="18"/>
      <w:szCs w:val="24"/>
    </w:rPr>
  </w:style>
  <w:style w:type="character" w:customStyle="1" w:styleId="36">
    <w:name w:val="Footer Char"/>
    <w:basedOn w:val="18"/>
    <w:link w:val="11"/>
    <w:qFormat/>
    <w:uiPriority w:val="99"/>
    <w:rPr>
      <w:rFonts w:ascii="Arial" w:hAnsi="Arial" w:cs="Arial"/>
      <w:sz w:val="18"/>
      <w:szCs w:val="24"/>
    </w:rPr>
  </w:style>
  <w:style w:type="character" w:customStyle="1" w:styleId="37">
    <w:name w:val="Placeholder Text"/>
    <w:basedOn w:val="18"/>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qFormat/>
    <w:uiPriority w:val="0"/>
    <w:pPr>
      <w:outlineLvl w:val="1"/>
    </w:pPr>
    <w:rPr>
      <w:b/>
      <w:color w:val="auto"/>
      <w:sz w:val="26"/>
    </w:rPr>
  </w:style>
  <w:style w:type="paragraph" w:customStyle="1" w:styleId="41">
    <w:name w:val="AxureHeading31"/>
    <w:basedOn w:val="1"/>
    <w:qFormat/>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qFormat/>
    <w:uiPriority w:val="0"/>
    <w:pPr>
      <w:spacing w:before="60" w:after="60"/>
    </w:pPr>
    <w:rPr>
      <w:b/>
      <w:sz w:val="16"/>
    </w:rPr>
  </w:style>
  <w:style w:type="paragraph" w:customStyle="1" w:styleId="44">
    <w:name w:val="Axure表格常规文字"/>
    <w:basedOn w:val="1"/>
    <w:qFormat/>
    <w:uiPriority w:val="0"/>
    <w:pPr>
      <w:spacing w:before="60" w:after="60"/>
    </w:pPr>
    <w:rPr>
      <w:sz w:val="16"/>
    </w:rPr>
  </w:style>
  <w:style w:type="paragraph" w:customStyle="1" w:styleId="45">
    <w:name w:val="Axure基本标题"/>
    <w:basedOn w:val="1"/>
    <w:qFormat/>
    <w:uiPriority w:val="0"/>
    <w:pPr>
      <w:spacing w:before="240"/>
    </w:pPr>
    <w:rPr>
      <w:b/>
      <w:u w:val="single"/>
    </w:rPr>
  </w:style>
  <w:style w:type="table" w:customStyle="1" w:styleId="46">
    <w:name w:val="Axure表格样式"/>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TotalTime>62</TotalTime>
  <ScaleCrop>false</ScaleCrop>
  <LinksUpToDate>false</LinksUpToDate>
  <CharactersWithSpaces>615</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2010-09-06T21:47:00Z</dcterms:created>
  <dc:creator>[Your Name]</dc:creator>
  <cp:lastModifiedBy>风过之痕</cp:lastModifiedBy>
  <cp:lastPrinted>2010-09-06T00:33:00Z</cp:lastPrinted>
  <dcterms:modified xsi:type="dcterms:W3CDTF">2022-06-15T22:44:01Z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1607183E13F4B33086ECA5623AEE56D0</vt:lpwstr>
  </property>
</Properties>
</file>