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outlineLvl w:val="0"/>
        <w:rPr>
          <w:rFonts w:hint="eastAsia" w:ascii="黑体" w:hAnsi="黑体" w:eastAsia="黑体" w:cs="黑体"/>
          <w:b w:val="0"/>
          <w:sz w:val="18"/>
          <w:szCs w:val="18"/>
        </w:rPr>
      </w:pPr>
      <w:bookmarkStart w:id="0" w:name="_GoBack"/>
      <w:r>
        <w:rPr>
          <w:rFonts w:hint="eastAsia" w:ascii="黑体" w:hAnsi="黑体" w:eastAsia="黑体" w:cs="黑体"/>
          <w:b w:val="0"/>
          <w:sz w:val="18"/>
          <w:szCs w:val="18"/>
          <w:lang w:val="en-US" w:eastAsia="zh-Hans"/>
        </w:rPr>
        <w:t>好拓客</w:t>
      </w:r>
      <w:r>
        <w:rPr>
          <w:rFonts w:hint="eastAsia" w:ascii="黑体" w:hAnsi="黑体" w:eastAsia="黑体" w:cs="黑体"/>
          <w:b w:val="0"/>
          <w:sz w:val="18"/>
          <w:szCs w:val="18"/>
        </w:rPr>
        <w:t xml:space="preserve">APP </w:t>
      </w:r>
      <w:r>
        <w:rPr>
          <w:rFonts w:hint="eastAsia" w:ascii="黑体" w:hAnsi="黑体" w:eastAsia="黑体" w:cs="黑体"/>
          <w:b w:val="0"/>
          <w:sz w:val="18"/>
          <w:szCs w:val="18"/>
          <w:lang w:eastAsia="zh-Hans"/>
        </w:rPr>
        <w:t>V1</w:t>
      </w:r>
      <w:r>
        <w:rPr>
          <w:rFonts w:hint="eastAsia" w:ascii="黑体" w:hAnsi="黑体" w:eastAsia="黑体" w:cs="黑体"/>
          <w:b w:val="0"/>
          <w:sz w:val="18"/>
          <w:szCs w:val="18"/>
          <w:lang w:val="en-US" w:eastAsia="zh-Hans"/>
        </w:rPr>
        <w:t>.</w:t>
      </w:r>
      <w:r>
        <w:rPr>
          <w:rFonts w:hint="eastAsia" w:ascii="黑体" w:hAnsi="黑体" w:eastAsia="黑体" w:cs="黑体"/>
          <w:b w:val="0"/>
          <w:sz w:val="18"/>
          <w:szCs w:val="18"/>
          <w:lang w:eastAsia="zh-Hans"/>
        </w:rPr>
        <w:t>1</w:t>
      </w:r>
      <w:r>
        <w:rPr>
          <w:rFonts w:hint="eastAsia" w:ascii="黑体" w:hAnsi="黑体" w:eastAsia="黑体" w:cs="黑体"/>
          <w:b w:val="0"/>
          <w:sz w:val="18"/>
          <w:szCs w:val="18"/>
          <w:lang w:val="en-US" w:eastAsia="zh-Hans"/>
        </w:rPr>
        <w:t>.</w:t>
      </w:r>
      <w:r>
        <w:rPr>
          <w:rFonts w:hint="eastAsia" w:ascii="黑体" w:hAnsi="黑体" w:eastAsia="黑体" w:cs="黑体"/>
          <w:b w:val="0"/>
          <w:sz w:val="18"/>
          <w:szCs w:val="18"/>
          <w:lang w:val="en-US" w:eastAsia="zh-CN"/>
        </w:rPr>
        <w:t>4</w:t>
      </w:r>
      <w:r>
        <w:rPr>
          <w:rFonts w:hint="eastAsia" w:ascii="黑体" w:hAnsi="黑体" w:eastAsia="黑体" w:cs="黑体"/>
          <w:b w:val="0"/>
          <w:sz w:val="18"/>
          <w:szCs w:val="18"/>
          <w:lang w:val="en-US" w:eastAsia="zh-Hans"/>
        </w:rPr>
        <w:t>需求</w:t>
      </w:r>
      <w:r>
        <w:rPr>
          <w:rFonts w:hint="eastAsia" w:ascii="黑体" w:hAnsi="黑体" w:eastAsia="黑体" w:cs="黑体"/>
          <w:b w:val="0"/>
          <w:sz w:val="18"/>
          <w:szCs w:val="18"/>
        </w:rPr>
        <w:t>文档</w:t>
      </w:r>
    </w:p>
    <w:bookmarkEnd w:id="0"/>
    <w:p>
      <w:pPr>
        <w:jc w:val="both"/>
        <w:rPr>
          <w:rFonts w:hint="eastAsia" w:ascii="黑体" w:hAnsi="黑体" w:eastAsia="黑体" w:cs="黑体"/>
          <w:b w:val="0"/>
          <w:sz w:val="18"/>
          <w:szCs w:val="18"/>
        </w:rPr>
      </w:pPr>
      <w:r>
        <w:rPr>
          <w:rFonts w:hint="eastAsia" w:ascii="黑体" w:hAnsi="黑体" w:eastAsia="黑体" w:cs="黑体"/>
          <w:b w:val="0"/>
          <w:sz w:val="18"/>
          <w:szCs w:val="18"/>
        </w:rPr>
        <w:t>状态：</w:t>
      </w:r>
      <w:r>
        <w:rPr>
          <w:rFonts w:hint="eastAsia" w:ascii="黑体" w:hAnsi="黑体" w:eastAsia="黑体" w:cs="黑体"/>
          <w:b w:val="0"/>
          <w:sz w:val="18"/>
          <w:szCs w:val="18"/>
          <w:lang w:val="en-US" w:eastAsia="zh-Hans"/>
        </w:rPr>
        <w:t>需求评审</w:t>
      </w:r>
    </w:p>
    <w:p>
      <w:pPr>
        <w:jc w:val="both"/>
        <w:rPr>
          <w:rFonts w:hint="eastAsia" w:ascii="黑体" w:hAnsi="黑体" w:eastAsia="黑体" w:cs="黑体"/>
          <w:b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sz w:val="18"/>
          <w:szCs w:val="18"/>
        </w:rPr>
        <w:t>当前版本：V1</w:t>
      </w:r>
      <w:r>
        <w:rPr>
          <w:rFonts w:hint="eastAsia" w:ascii="黑体" w:hAnsi="黑体" w:eastAsia="黑体" w:cs="黑体"/>
          <w:b w:val="0"/>
          <w:sz w:val="18"/>
          <w:szCs w:val="18"/>
          <w:lang w:val="en-US" w:eastAsia="zh-Hans"/>
        </w:rPr>
        <w:t>.</w:t>
      </w:r>
      <w:r>
        <w:rPr>
          <w:rFonts w:hint="eastAsia" w:ascii="黑体" w:hAnsi="黑体" w:eastAsia="黑体" w:cs="黑体"/>
          <w:b w:val="0"/>
          <w:sz w:val="18"/>
          <w:szCs w:val="18"/>
          <w:lang w:eastAsia="zh-Hans"/>
        </w:rPr>
        <w:t>1</w:t>
      </w:r>
      <w:r>
        <w:rPr>
          <w:rFonts w:hint="eastAsia" w:ascii="黑体" w:hAnsi="黑体" w:eastAsia="黑体" w:cs="黑体"/>
          <w:b w:val="0"/>
          <w:sz w:val="18"/>
          <w:szCs w:val="18"/>
          <w:lang w:val="en-US" w:eastAsia="zh-Hans"/>
        </w:rPr>
        <w:t>.</w:t>
      </w:r>
      <w:r>
        <w:rPr>
          <w:rFonts w:hint="eastAsia" w:ascii="黑体" w:hAnsi="黑体" w:eastAsia="黑体" w:cs="黑体"/>
          <w:b w:val="0"/>
          <w:sz w:val="18"/>
          <w:szCs w:val="18"/>
          <w:lang w:val="en-US" w:eastAsia="zh-CN"/>
        </w:rPr>
        <w:t>4</w:t>
      </w:r>
    </w:p>
    <w:p>
      <w:pPr>
        <w:jc w:val="both"/>
        <w:rPr>
          <w:rFonts w:hint="eastAsia" w:ascii="黑体" w:hAnsi="黑体" w:eastAsia="黑体" w:cs="黑体"/>
          <w:b w:val="0"/>
          <w:sz w:val="18"/>
          <w:szCs w:val="18"/>
        </w:rPr>
      </w:pPr>
      <w:r>
        <w:rPr>
          <w:rFonts w:hint="eastAsia" w:ascii="黑体" w:hAnsi="黑体" w:eastAsia="黑体" w:cs="黑体"/>
          <w:b w:val="0"/>
          <w:sz w:val="18"/>
          <w:szCs w:val="18"/>
        </w:rPr>
        <w:t>修改历史：</w:t>
      </w:r>
    </w:p>
    <w:tbl>
      <w:tblPr>
        <w:tblStyle w:val="4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55"/>
        <w:gridCol w:w="2234"/>
        <w:gridCol w:w="995"/>
        <w:gridCol w:w="3681"/>
        <w:gridCol w:w="857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755" w:type="dxa"/>
            <w:shd w:val="clear" w:color="auto" w:fill="C8C8C8" w:themeFill="accent3" w:themeFillTint="99"/>
          </w:tcPr>
          <w:p>
            <w:pPr>
              <w:jc w:val="both"/>
              <w:rPr>
                <w:rFonts w:hint="eastAsia" w:ascii="黑体" w:hAnsi="黑体" w:eastAsia="黑体" w:cs="黑体"/>
                <w:b w:val="0"/>
                <w:sz w:val="18"/>
                <w:szCs w:val="18"/>
                <w:vertAlign w:val="baseline"/>
              </w:rPr>
            </w:pPr>
            <w:r>
              <w:rPr>
                <w:rFonts w:hint="eastAsia" w:ascii="黑体" w:hAnsi="黑体" w:eastAsia="黑体" w:cs="黑体"/>
                <w:b w:val="0"/>
                <w:sz w:val="18"/>
                <w:szCs w:val="18"/>
              </w:rPr>
              <w:t>日期</w:t>
            </w:r>
          </w:p>
        </w:tc>
        <w:tc>
          <w:tcPr>
            <w:tcW w:w="2234" w:type="dxa"/>
            <w:shd w:val="clear" w:color="auto" w:fill="C8C8C8" w:themeFill="accent3" w:themeFillTint="99"/>
          </w:tcPr>
          <w:p>
            <w:pPr>
              <w:jc w:val="both"/>
              <w:rPr>
                <w:rFonts w:hint="eastAsia" w:ascii="黑体" w:hAnsi="黑体" w:eastAsia="黑体" w:cs="黑体"/>
                <w:b w:val="0"/>
                <w:sz w:val="18"/>
                <w:szCs w:val="18"/>
                <w:vertAlign w:val="baseline"/>
              </w:rPr>
            </w:pPr>
            <w:r>
              <w:rPr>
                <w:rFonts w:hint="eastAsia" w:ascii="黑体" w:hAnsi="黑体" w:eastAsia="黑体" w:cs="黑体"/>
                <w:b w:val="0"/>
                <w:sz w:val="18"/>
                <w:szCs w:val="18"/>
                <w:vertAlign w:val="baseline"/>
              </w:rPr>
              <w:t>版本</w:t>
            </w:r>
          </w:p>
        </w:tc>
        <w:tc>
          <w:tcPr>
            <w:tcW w:w="995" w:type="dxa"/>
            <w:shd w:val="clear" w:color="auto" w:fill="C8C8C8" w:themeFill="accent3" w:themeFillTint="99"/>
          </w:tcPr>
          <w:p>
            <w:pPr>
              <w:jc w:val="both"/>
              <w:rPr>
                <w:rFonts w:hint="eastAsia" w:ascii="黑体" w:hAnsi="黑体" w:eastAsia="黑体" w:cs="黑体"/>
                <w:b w:val="0"/>
                <w:sz w:val="18"/>
                <w:szCs w:val="18"/>
                <w:vertAlign w:val="baseline"/>
              </w:rPr>
            </w:pPr>
            <w:r>
              <w:rPr>
                <w:rFonts w:hint="eastAsia" w:ascii="黑体" w:hAnsi="黑体" w:eastAsia="黑体" w:cs="黑体"/>
                <w:b w:val="0"/>
                <w:sz w:val="18"/>
                <w:szCs w:val="18"/>
                <w:vertAlign w:val="baseline"/>
              </w:rPr>
              <w:t>作者</w:t>
            </w:r>
          </w:p>
        </w:tc>
        <w:tc>
          <w:tcPr>
            <w:tcW w:w="3681" w:type="dxa"/>
            <w:shd w:val="clear" w:color="auto" w:fill="C8C8C8" w:themeFill="accent3" w:themeFillTint="99"/>
          </w:tcPr>
          <w:p>
            <w:pPr>
              <w:jc w:val="both"/>
              <w:rPr>
                <w:rFonts w:hint="eastAsia" w:ascii="黑体" w:hAnsi="黑体" w:eastAsia="黑体" w:cs="黑体"/>
                <w:b w:val="0"/>
                <w:sz w:val="18"/>
                <w:szCs w:val="18"/>
                <w:vertAlign w:val="baseline"/>
              </w:rPr>
            </w:pPr>
            <w:r>
              <w:rPr>
                <w:rFonts w:hint="eastAsia" w:ascii="黑体" w:hAnsi="黑体" w:eastAsia="黑体" w:cs="黑体"/>
                <w:b w:val="0"/>
                <w:sz w:val="18"/>
                <w:szCs w:val="18"/>
                <w:vertAlign w:val="baseline"/>
              </w:rPr>
              <w:t>修改内容</w:t>
            </w:r>
          </w:p>
        </w:tc>
        <w:tc>
          <w:tcPr>
            <w:tcW w:w="857" w:type="dxa"/>
            <w:shd w:val="clear" w:color="auto" w:fill="C8C8C8" w:themeFill="accent3" w:themeFillTint="99"/>
          </w:tcPr>
          <w:p>
            <w:pPr>
              <w:jc w:val="both"/>
              <w:rPr>
                <w:rFonts w:hint="eastAsia" w:ascii="黑体" w:hAnsi="黑体" w:eastAsia="黑体" w:cs="黑体"/>
                <w:b w:val="0"/>
                <w:sz w:val="18"/>
                <w:szCs w:val="18"/>
                <w:vertAlign w:val="baseline"/>
              </w:rPr>
            </w:pPr>
            <w:r>
              <w:rPr>
                <w:rFonts w:hint="eastAsia" w:ascii="黑体" w:hAnsi="黑体" w:eastAsia="黑体" w:cs="黑体"/>
                <w:b w:val="0"/>
                <w:sz w:val="18"/>
                <w:szCs w:val="18"/>
                <w:vertAlign w:val="baseline"/>
              </w:rPr>
              <w:t>评审号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55" w:type="dxa"/>
            <w:vAlign w:val="top"/>
          </w:tcPr>
          <w:p>
            <w:pPr>
              <w:jc w:val="both"/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</w:pPr>
            <w:r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  <w:t>5.25</w:t>
            </w:r>
          </w:p>
        </w:tc>
        <w:tc>
          <w:tcPr>
            <w:tcW w:w="2234" w:type="dxa"/>
            <w:vAlign w:val="top"/>
          </w:tcPr>
          <w:p>
            <w:pPr>
              <w:jc w:val="both"/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</w:pPr>
            <w:r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  <w:t>运营平台平台V1.1.4</w:t>
            </w:r>
          </w:p>
        </w:tc>
        <w:tc>
          <w:tcPr>
            <w:tcW w:w="995" w:type="dxa"/>
            <w:vAlign w:val="top"/>
          </w:tcPr>
          <w:p>
            <w:pPr>
              <w:jc w:val="both"/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</w:pPr>
            <w:r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  <w:t>郭梦瑶</w:t>
            </w:r>
          </w:p>
        </w:tc>
        <w:tc>
          <w:tcPr>
            <w:tcW w:w="3681" w:type="dxa"/>
            <w:vAlign w:val="top"/>
          </w:tcPr>
          <w:p>
            <w:pPr>
              <w:pStyle w:val="2"/>
              <w:keepNext w:val="0"/>
              <w:keepLines w:val="0"/>
              <w:widowControl/>
              <w:numPr>
                <w:ilvl w:val="0"/>
                <w:numId w:val="1"/>
              </w:numPr>
              <w:suppressLineNumbers w:val="0"/>
              <w:spacing w:before="0" w:beforeAutospacing="0" w:after="0" w:afterAutospacing="0" w:line="30" w:lineRule="atLeast"/>
              <w:ind w:leftChars="0" w:right="0" w:rightChars="0"/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</w:pPr>
            <w:r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  <w:t>增设活动开关按钮</w:t>
            </w:r>
          </w:p>
          <w:p>
            <w:pPr>
              <w:pStyle w:val="2"/>
              <w:keepNext w:val="0"/>
              <w:keepLines w:val="0"/>
              <w:widowControl/>
              <w:numPr>
                <w:ilvl w:val="0"/>
                <w:numId w:val="1"/>
              </w:numPr>
              <w:suppressLineNumbers w:val="0"/>
              <w:spacing w:before="0" w:beforeAutospacing="0" w:after="0" w:afterAutospacing="0" w:line="30" w:lineRule="atLeast"/>
              <w:ind w:leftChars="0" w:right="0" w:rightChars="0"/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</w:pPr>
            <w:r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  <w:t>发票管理--增加发票类型字段</w:t>
            </w:r>
          </w:p>
        </w:tc>
        <w:tc>
          <w:tcPr>
            <w:tcW w:w="857" w:type="dxa"/>
            <w:vAlign w:val="top"/>
          </w:tcPr>
          <w:p>
            <w:pPr>
              <w:jc w:val="both"/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55" w:type="dxa"/>
            <w:vAlign w:val="top"/>
          </w:tcPr>
          <w:p>
            <w:pPr>
              <w:jc w:val="both"/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</w:pPr>
            <w:r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  <w:t>5.25</w:t>
            </w:r>
          </w:p>
        </w:tc>
        <w:tc>
          <w:tcPr>
            <w:tcW w:w="2234" w:type="dxa"/>
            <w:vAlign w:val="top"/>
          </w:tcPr>
          <w:p>
            <w:pPr>
              <w:jc w:val="both"/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</w:pPr>
            <w:r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  <w:t>客户端/服务端V1.1.4</w:t>
            </w:r>
          </w:p>
        </w:tc>
        <w:tc>
          <w:tcPr>
            <w:tcW w:w="995" w:type="dxa"/>
            <w:vAlign w:val="top"/>
          </w:tcPr>
          <w:p>
            <w:pPr>
              <w:jc w:val="both"/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</w:pPr>
            <w:r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  <w:t>郭梦瑶</w:t>
            </w:r>
          </w:p>
        </w:tc>
        <w:tc>
          <w:tcPr>
            <w:tcW w:w="3681" w:type="dxa"/>
            <w:vAlign w:val="top"/>
          </w:tcPr>
          <w:p>
            <w:pPr>
              <w:pStyle w:val="2"/>
              <w:keepNext w:val="0"/>
              <w:keepLines w:val="0"/>
              <w:widowControl/>
              <w:numPr>
                <w:ilvl w:val="0"/>
                <w:numId w:val="2"/>
              </w:numPr>
              <w:suppressLineNumbers w:val="0"/>
              <w:spacing w:before="0" w:beforeAutospacing="0" w:after="0" w:afterAutospacing="0" w:line="30" w:lineRule="atLeast"/>
              <w:ind w:right="0" w:rightChars="0"/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</w:pPr>
            <w:r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  <w:t>新增：趣办卡功能</w:t>
            </w:r>
          </w:p>
          <w:p>
            <w:pPr>
              <w:pStyle w:val="2"/>
              <w:keepNext w:val="0"/>
              <w:keepLines w:val="0"/>
              <w:widowControl/>
              <w:numPr>
                <w:ilvl w:val="0"/>
                <w:numId w:val="3"/>
              </w:numPr>
              <w:suppressLineNumbers w:val="0"/>
              <w:spacing w:before="0" w:beforeAutospacing="0" w:after="0" w:afterAutospacing="0" w:line="30" w:lineRule="atLeast"/>
              <w:ind w:right="0" w:rightChars="0"/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</w:pPr>
            <w:r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  <w:t>首页-增加趣办卡入口</w:t>
            </w:r>
          </w:p>
          <w:p>
            <w:pPr>
              <w:pStyle w:val="2"/>
              <w:keepNext w:val="0"/>
              <w:keepLines w:val="0"/>
              <w:widowControl/>
              <w:numPr>
                <w:ilvl w:val="0"/>
                <w:numId w:val="3"/>
              </w:numPr>
              <w:suppressLineNumbers w:val="0"/>
              <w:spacing w:before="0" w:beforeAutospacing="0" w:after="0" w:afterAutospacing="0" w:line="30" w:lineRule="atLeast"/>
              <w:ind w:right="0" w:rightChars="0"/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</w:pPr>
            <w:r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  <w:t>收益管理-增加趣办卡相关页面</w:t>
            </w:r>
          </w:p>
          <w:p>
            <w:pPr>
              <w:pStyle w:val="2"/>
              <w:keepNext w:val="0"/>
              <w:keepLines w:val="0"/>
              <w:widowControl/>
              <w:numPr>
                <w:ilvl w:val="0"/>
                <w:numId w:val="3"/>
              </w:numPr>
              <w:suppressLineNumbers w:val="0"/>
              <w:spacing w:before="0" w:beforeAutospacing="0" w:after="0" w:afterAutospacing="0" w:line="30" w:lineRule="atLeast"/>
              <w:ind w:right="0" w:rightChars="0"/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</w:pPr>
            <w:r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  <w:t>我的钱包-增加趣办卡相关页面</w:t>
            </w:r>
          </w:p>
          <w:p>
            <w:pPr>
              <w:pStyle w:val="2"/>
              <w:keepNext w:val="0"/>
              <w:keepLines w:val="0"/>
              <w:widowControl/>
              <w:numPr>
                <w:ilvl w:val="0"/>
                <w:numId w:val="0"/>
              </w:numPr>
              <w:suppressLineNumbers w:val="0"/>
              <w:spacing w:before="0" w:beforeAutospacing="0" w:after="0" w:afterAutospacing="0" w:line="30" w:lineRule="atLeast"/>
              <w:ind w:right="0" w:rightChars="0"/>
              <w:jc w:val="left"/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</w:pPr>
            <w:r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  <w:t>4）提现-增加趣办卡相关页面</w:t>
            </w:r>
          </w:p>
        </w:tc>
        <w:tc>
          <w:tcPr>
            <w:tcW w:w="857" w:type="dxa"/>
            <w:vAlign w:val="top"/>
          </w:tcPr>
          <w:p>
            <w:pPr>
              <w:jc w:val="both"/>
              <w:rPr>
                <w:rFonts w:hint="eastAsia" w:ascii="黑体" w:hAnsi="黑体" w:eastAsia="黑体" w:cs="黑体"/>
                <w:b w:val="0"/>
                <w:kern w:val="2"/>
                <w:sz w:val="18"/>
                <w:szCs w:val="18"/>
                <w:vertAlign w:val="baseline"/>
                <w:lang w:val="en-US" w:eastAsia="zh-CN" w:bidi="ar-SA"/>
              </w:rPr>
            </w:pPr>
          </w:p>
        </w:tc>
      </w:tr>
    </w:tbl>
    <w:p>
      <w:pPr>
        <w:outlineLvl w:val="9"/>
        <w:rPr>
          <w:rFonts w:hint="eastAsia" w:ascii="黑体" w:hAnsi="黑体" w:eastAsia="黑体" w:cs="黑体"/>
          <w:b/>
          <w:bCs/>
          <w:sz w:val="18"/>
          <w:szCs w:val="18"/>
        </w:rPr>
      </w:pPr>
      <w:r>
        <w:rPr>
          <w:rFonts w:hint="eastAsia" w:ascii="黑体" w:hAnsi="黑体" w:eastAsia="黑体" w:cs="黑体"/>
          <w:b/>
          <w:bCs/>
          <w:sz w:val="18"/>
          <w:szCs w:val="18"/>
        </w:rPr>
        <w:br w:type="page"/>
      </w:r>
    </w:p>
    <w:p>
      <w:pPr>
        <w:outlineLvl w:val="0"/>
        <w:rPr>
          <w:rFonts w:hint="eastAsia" w:ascii="黑体" w:hAnsi="黑体" w:eastAsia="黑体" w:cs="黑体"/>
          <w:b/>
          <w:bCs/>
          <w:sz w:val="18"/>
          <w:szCs w:val="18"/>
        </w:rPr>
      </w:pPr>
      <w:r>
        <w:rPr>
          <w:rFonts w:hint="eastAsia" w:ascii="黑体" w:hAnsi="黑体" w:eastAsia="黑体" w:cs="黑体"/>
          <w:b/>
          <w:bCs/>
          <w:sz w:val="18"/>
          <w:szCs w:val="18"/>
        </w:rPr>
        <w:t>1.背景</w:t>
      </w:r>
    </w:p>
    <w:p>
      <w:pPr>
        <w:numPr>
          <w:ilvl w:val="0"/>
          <w:numId w:val="0"/>
        </w:numPr>
        <w:spacing w:line="480" w:lineRule="auto"/>
        <w:ind w:firstLine="420" w:firstLineChars="0"/>
        <w:outlineLvl w:val="9"/>
        <w:rPr>
          <w:rFonts w:hint="eastAsia" w:ascii="黑体" w:hAnsi="黑体" w:eastAsia="黑体" w:cs="黑体"/>
          <w:b w:val="0"/>
          <w:bCs w:val="0"/>
          <w:sz w:val="18"/>
          <w:szCs w:val="18"/>
          <w:lang w:eastAsia="zh-Hans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Hans"/>
        </w:rPr>
        <w:t>根据业务需求及合规部门提出要求</w:t>
      </w:r>
      <w:r>
        <w:rPr>
          <w:rFonts w:hint="eastAsia" w:ascii="黑体" w:hAnsi="黑体" w:eastAsia="黑体" w:cs="黑体"/>
          <w:b w:val="0"/>
          <w:bCs w:val="0"/>
          <w:sz w:val="18"/>
          <w:szCs w:val="18"/>
          <w:lang w:eastAsia="zh-Hans"/>
        </w:rPr>
        <w:t>，</w:t>
      </w: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Hans"/>
        </w:rPr>
        <w:t>对好拓客产品进行优化迭代</w:t>
      </w:r>
      <w:r>
        <w:rPr>
          <w:rFonts w:hint="eastAsia" w:ascii="黑体" w:hAnsi="黑体" w:eastAsia="黑体" w:cs="黑体"/>
          <w:b w:val="0"/>
          <w:bCs w:val="0"/>
          <w:sz w:val="18"/>
          <w:szCs w:val="18"/>
          <w:lang w:eastAsia="zh-Hans"/>
        </w:rPr>
        <w:t>。</w:t>
      </w:r>
    </w:p>
    <w:p>
      <w:pPr>
        <w:numPr>
          <w:ilvl w:val="0"/>
          <w:numId w:val="0"/>
        </w:numPr>
        <w:spacing w:line="480" w:lineRule="auto"/>
        <w:outlineLvl w:val="9"/>
        <w:rPr>
          <w:rFonts w:hint="eastAsia" w:ascii="黑体" w:hAnsi="黑体" w:eastAsia="黑体" w:cs="黑体"/>
          <w:b/>
          <w:bCs/>
          <w:sz w:val="18"/>
          <w:szCs w:val="18"/>
        </w:rPr>
      </w:pPr>
      <w:r>
        <w:rPr>
          <w:rFonts w:hint="eastAsia" w:ascii="黑体" w:hAnsi="黑体" w:eastAsia="黑体" w:cs="黑体"/>
          <w:b/>
          <w:bCs/>
          <w:sz w:val="18"/>
          <w:szCs w:val="18"/>
        </w:rPr>
        <w:t>2.目的</w:t>
      </w:r>
    </w:p>
    <w:p>
      <w:pPr>
        <w:numPr>
          <w:ilvl w:val="0"/>
          <w:numId w:val="0"/>
        </w:numPr>
        <w:spacing w:line="480" w:lineRule="auto"/>
        <w:ind w:firstLine="420" w:firstLineChars="0"/>
        <w:rPr>
          <w:rFonts w:hint="eastAsia" w:ascii="黑体" w:hAnsi="黑体" w:eastAsia="黑体" w:cs="黑体"/>
          <w:sz w:val="18"/>
          <w:szCs w:val="18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</w:rPr>
        <w:t>本文档对</w:t>
      </w: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Hans"/>
        </w:rPr>
        <w:t>好拓客产品</w:t>
      </w:r>
      <w:r>
        <w:rPr>
          <w:rFonts w:hint="eastAsia" w:ascii="黑体" w:hAnsi="黑体" w:eastAsia="黑体" w:cs="黑体"/>
          <w:b w:val="0"/>
          <w:bCs w:val="0"/>
          <w:sz w:val="18"/>
          <w:szCs w:val="18"/>
          <w:lang w:eastAsia="zh-Hans"/>
        </w:rPr>
        <w:t xml:space="preserve"> V1</w:t>
      </w: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Hans"/>
        </w:rPr>
        <w:t>.</w:t>
      </w:r>
      <w:r>
        <w:rPr>
          <w:rFonts w:hint="eastAsia" w:ascii="黑体" w:hAnsi="黑体" w:eastAsia="黑体" w:cs="黑体"/>
          <w:b w:val="0"/>
          <w:bCs w:val="0"/>
          <w:sz w:val="18"/>
          <w:szCs w:val="18"/>
          <w:lang w:eastAsia="zh-Hans"/>
        </w:rPr>
        <w:t>1</w:t>
      </w: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Hans"/>
        </w:rPr>
        <w:t>.</w:t>
      </w: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4</w:t>
      </w: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Hans"/>
        </w:rPr>
        <w:t>版本</w:t>
      </w:r>
      <w:r>
        <w:rPr>
          <w:rFonts w:hint="eastAsia" w:ascii="黑体" w:hAnsi="黑体" w:eastAsia="黑体" w:cs="黑体"/>
          <w:b w:val="0"/>
          <w:bCs w:val="0"/>
          <w:sz w:val="18"/>
          <w:szCs w:val="18"/>
        </w:rPr>
        <w:t>使用进行说明，提出产品需求。以此文档为基础，指导产品人员及研发人员确定功能需求及开发计划。</w:t>
      </w:r>
      <w:r>
        <w:rPr>
          <w:rFonts w:hint="eastAsia" w:ascii="黑体" w:hAnsi="黑体" w:eastAsia="黑体" w:cs="黑体"/>
          <w:b/>
          <w:bCs/>
          <w:sz w:val="18"/>
          <w:szCs w:val="18"/>
        </w:rPr>
        <w:tab/>
      </w:r>
      <w:r>
        <w:rPr>
          <w:rFonts w:hint="eastAsia" w:ascii="黑体" w:hAnsi="黑体" w:eastAsia="黑体" w:cs="黑体"/>
          <w:sz w:val="18"/>
          <w:szCs w:val="18"/>
        </w:rPr>
        <w:tab/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b/>
          <w:bCs/>
          <w:sz w:val="18"/>
          <w:szCs w:val="18"/>
        </w:rPr>
      </w:pPr>
      <w:r>
        <w:rPr>
          <w:rFonts w:hint="eastAsia" w:ascii="黑体" w:hAnsi="黑体" w:eastAsia="黑体" w:cs="黑体"/>
          <w:b/>
          <w:bCs/>
          <w:sz w:val="18"/>
          <w:szCs w:val="18"/>
        </w:rPr>
        <w:t>3.阅读对象</w:t>
      </w:r>
    </w:p>
    <w:p>
      <w:pPr>
        <w:numPr>
          <w:ilvl w:val="0"/>
          <w:numId w:val="0"/>
        </w:numPr>
        <w:spacing w:line="480" w:lineRule="auto"/>
        <w:ind w:firstLine="420" w:firstLineChars="0"/>
        <w:rPr>
          <w:rFonts w:hint="eastAsia" w:ascii="黑体" w:hAnsi="黑体" w:eastAsia="黑体" w:cs="黑体"/>
          <w:b w:val="0"/>
          <w:bCs w:val="0"/>
          <w:sz w:val="18"/>
          <w:szCs w:val="18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</w:rPr>
        <w:t>文档读者包括项目成员（产品、UI、设计、开发、测试），以及业主部门、业务、运营等相关人员。</w:t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sz w:val="18"/>
          <w:szCs w:val="18"/>
        </w:rPr>
      </w:pPr>
      <w:r>
        <w:rPr>
          <w:rFonts w:hint="eastAsia" w:ascii="黑体" w:hAnsi="黑体" w:eastAsia="黑体" w:cs="黑体"/>
          <w:b/>
          <w:bCs/>
          <w:sz w:val="18"/>
          <w:szCs w:val="18"/>
        </w:rPr>
        <w:t>4.参考文档</w:t>
      </w:r>
    </w:p>
    <w:p>
      <w:pPr>
        <w:numPr>
          <w:ilvl w:val="0"/>
          <w:numId w:val="0"/>
        </w:numPr>
        <w:spacing w:line="480" w:lineRule="auto"/>
        <w:ind w:firstLine="420" w:firstLineChars="0"/>
        <w:outlineLvl w:val="9"/>
        <w:rPr>
          <w:rFonts w:hint="eastAsia" w:ascii="黑体" w:hAnsi="黑体" w:eastAsia="黑体" w:cs="黑体"/>
          <w:b w:val="0"/>
          <w:bCs w:val="0"/>
          <w:sz w:val="18"/>
          <w:szCs w:val="18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</w:rPr>
        <w:t>暂无</w:t>
      </w:r>
    </w:p>
    <w:p>
      <w:pPr>
        <w:numPr>
          <w:ilvl w:val="0"/>
          <w:numId w:val="4"/>
        </w:numPr>
        <w:spacing w:line="480" w:lineRule="auto"/>
        <w:outlineLvl w:val="0"/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  <w:t>趣办卡--具体需求</w:t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  <w:t>趣办卡（业务为信用卡推广）分成说明：</w:t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①孵化基地自己拓展业务的时候，分成100%。</w:t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sz w:val="18"/>
          <w:szCs w:val="18"/>
        </w:rPr>
      </w:pPr>
      <w:r>
        <w:rPr>
          <w:rFonts w:hint="eastAsia" w:ascii="黑体" w:hAnsi="黑体" w:eastAsia="黑体" w:cs="黑体"/>
          <w:sz w:val="18"/>
          <w:szCs w:val="18"/>
        </w:rPr>
        <w:drawing>
          <wp:inline distT="0" distB="0" distL="114300" distR="114300">
            <wp:extent cx="932815" cy="608965"/>
            <wp:effectExtent l="0" t="0" r="6985" b="635"/>
            <wp:docPr id="5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3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932815" cy="6089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②孵化基地同时也是推荐人的时候，分成20%，拓展人80%。</w:t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sz w:val="18"/>
          <w:szCs w:val="18"/>
        </w:rPr>
        <w:drawing>
          <wp:inline distT="0" distB="0" distL="114300" distR="114300">
            <wp:extent cx="996950" cy="1272540"/>
            <wp:effectExtent l="0" t="0" r="6350" b="10160"/>
            <wp:docPr id="10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5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96950" cy="1272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③一条分支上，基地：推荐人：拓展人=1:1:8。当一条分支上存在多基地时，孵化基地分成只分成给离拓展人关系最近的一个孵化基地。</w:t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sz w:val="18"/>
          <w:szCs w:val="18"/>
        </w:rPr>
        <w:drawing>
          <wp:inline distT="0" distB="0" distL="114300" distR="114300">
            <wp:extent cx="1750695" cy="2121535"/>
            <wp:effectExtent l="0" t="0" r="1905" b="12065"/>
            <wp:docPr id="9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4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750695" cy="21215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  <w:t>趣办卡入账说明：</w:t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①个人入账时，需收取8%服务费。企业入账不收取服务费。</w:t>
      </w:r>
    </w:p>
    <w:p>
      <w:pPr>
        <w:numPr>
          <w:ilvl w:val="0"/>
          <w:numId w:val="0"/>
        </w:numPr>
        <w:spacing w:line="480" w:lineRule="auto"/>
        <w:outlineLvl w:val="0"/>
        <w:rPr>
          <w:rFonts w:hint="default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②举例：</w:t>
      </w:r>
    </w:p>
    <w:p>
      <w:pPr>
        <w:numPr>
          <w:ilvl w:val="0"/>
          <w:numId w:val="0"/>
        </w:numPr>
        <w:spacing w:line="480" w:lineRule="auto"/>
        <w:outlineLvl w:val="0"/>
      </w:pPr>
      <w:r>
        <w:drawing>
          <wp:inline distT="0" distB="0" distL="114300" distR="114300">
            <wp:extent cx="3393440" cy="5410835"/>
            <wp:effectExtent l="0" t="0" r="10160" b="12065"/>
            <wp:docPr id="7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1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393440" cy="5410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spacing w:line="480" w:lineRule="auto"/>
        <w:outlineLvl w:val="0"/>
      </w:pPr>
    </w:p>
    <w:p>
      <w:pPr>
        <w:numPr>
          <w:ilvl w:val="0"/>
          <w:numId w:val="0"/>
        </w:numPr>
        <w:spacing w:line="480" w:lineRule="auto"/>
        <w:outlineLvl w:val="0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  <w:t>首页</w:t>
      </w:r>
    </w:p>
    <w:p>
      <w:pPr>
        <w:numPr>
          <w:ilvl w:val="0"/>
          <w:numId w:val="5"/>
        </w:numPr>
        <w:spacing w:line="480" w:lineRule="auto"/>
        <w:ind w:left="420" w:leftChars="0" w:hanging="420" w:firstLine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首页-增加“推广有礼”，“答疑解惑”两个功能模块，点击推广有礼，进入趣办卡页面（如图所示），“答疑解惑“模块点击跳转至在线客服页面。</w:t>
      </w:r>
    </w:p>
    <w:p>
      <w:pPr>
        <w:numPr>
          <w:ilvl w:val="0"/>
          <w:numId w:val="5"/>
        </w:numPr>
        <w:spacing w:line="480" w:lineRule="auto"/>
        <w:ind w:left="420" w:leftChars="0" w:hanging="420" w:firstLine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“推广有礼”“答疑解惑”两个功能模块显示逻辑：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a.直签一代/孵化基地默认上来就可看到两个模块，进行签约后，直签一代/孵化基地的团队下方分支人员即可看到“推广有礼”“答疑解惑”两个模块。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b.除直签一代/孵化基地外，所有人默认不展示“推广有礼”“答疑解惑”模块。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PS:趣办卡具体推广页面逻辑沿用“汇拓客”已有的趣办卡页面。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sz w:val="18"/>
          <w:szCs w:val="18"/>
        </w:rPr>
      </w:pPr>
      <w:r>
        <w:rPr>
          <w:rFonts w:hint="eastAsia" w:ascii="黑体" w:hAnsi="黑体" w:eastAsia="黑体" w:cs="黑体"/>
          <w:sz w:val="18"/>
          <w:szCs w:val="18"/>
        </w:rPr>
        <w:drawing>
          <wp:inline distT="0" distB="0" distL="114300" distR="114300">
            <wp:extent cx="5274310" cy="3904615"/>
            <wp:effectExtent l="0" t="0" r="8890" b="6985"/>
            <wp:docPr id="3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2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9046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6"/>
        </w:numPr>
        <w:spacing w:line="480" w:lineRule="auto"/>
        <w:outlineLvl w:val="0"/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  <w:t>收益管理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收益管理页面在原有的“收单”上，增加了“趣办卡”逻辑。点击切换按钮，可分别查看“收单”收益、“趣办卡”收益。另外增加总收益统计（总收益=收单收益+趣办卡收益）。以上为简要说明，具体说明如下。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sz w:val="18"/>
          <w:szCs w:val="18"/>
        </w:rPr>
        <w:drawing>
          <wp:inline distT="0" distB="0" distL="114300" distR="114300">
            <wp:extent cx="1624330" cy="3006090"/>
            <wp:effectExtent l="0" t="0" r="1270" b="3810"/>
            <wp:docPr id="1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5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624330" cy="30060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7"/>
        </w:numPr>
        <w:spacing w:line="480" w:lineRule="auto"/>
        <w:ind w:left="420" w:leftChars="0" w:hanging="420" w:firstLineChars="0"/>
        <w:outlineLvl w:val="0"/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  <w:t>关于总收益/切换按钮/日期筛选功能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①总收益统计：总收益=收单收益+趣办卡收益 ,右侧提示按钮，点击弹出规则说明“总收益：包含收单收益及趣办卡收益”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color w:val="808080" w:themeColor="text1" w:themeTint="80"/>
          <w:sz w:val="18"/>
          <w:szCs w:val="18"/>
          <w:lang w:val="en-US" w:eastAsia="zh-CN"/>
          <w14:textFill>
            <w14:solidFill>
              <w14:schemeClr w14:val="tx1">
                <w14:lumMod w14:val="50000"/>
                <w14:lumOff w14:val="50000"/>
              </w14:schemeClr>
            </w14:solidFill>
          </w14:textFill>
        </w:rPr>
      </w:pPr>
      <w:r>
        <w:rPr>
          <w:rFonts w:hint="eastAsia" w:ascii="黑体" w:hAnsi="黑体" w:eastAsia="黑体" w:cs="黑体"/>
          <w:b w:val="0"/>
          <w:bCs w:val="0"/>
          <w:color w:val="808080" w:themeColor="text1" w:themeTint="80"/>
          <w:sz w:val="18"/>
          <w:szCs w:val="18"/>
          <w:lang w:val="en-US" w:eastAsia="zh-CN"/>
          <w14:textFill>
            <w14:solidFill>
              <w14:schemeClr w14:val="tx1">
                <w14:lumMod w14:val="50000"/>
                <w14:lumOff w14:val="50000"/>
              </w14:schemeClr>
            </w14:solidFill>
          </w14:textFill>
        </w:rPr>
        <w:t>图片仅示意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drawing>
          <wp:inline distT="0" distB="0" distL="114300" distR="114300">
            <wp:extent cx="2424430" cy="2322830"/>
            <wp:effectExtent l="0" t="0" r="13970" b="8890"/>
            <wp:docPr id="12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1"/>
                    <pic:cNvPicPr>
                      <a:picLocks noChangeAspect="1"/>
                    </pic:cNvPicPr>
                  </pic:nvPicPr>
                  <pic:blipFill>
                    <a:blip r:embed="rId10"/>
                    <a:srcRect t="28190" r="3829"/>
                    <a:stretch>
                      <a:fillRect/>
                    </a:stretch>
                  </pic:blipFill>
                  <pic:spPr>
                    <a:xfrm>
                      <a:off x="0" y="0"/>
                      <a:ext cx="2424430" cy="2322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 xml:space="preserve">②“收单”，“趣办卡”切换按钮切换时不影响总收益，只控制切换到相应收单页面或趣办卡页面。 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进入钱包页面时，默认选中“收单”按钮。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③页面默认展示当月数据，操作筛选日期后，总收益以及“收单”“趣办卡”所有数据根据已筛选的日期结算。</w:t>
      </w:r>
    </w:p>
    <w:p>
      <w:pPr>
        <w:numPr>
          <w:ilvl w:val="0"/>
          <w:numId w:val="7"/>
        </w:numPr>
        <w:spacing w:line="480" w:lineRule="auto"/>
        <w:ind w:left="420" w:leftChars="0" w:hanging="420" w:firstLineChars="0"/>
        <w:outlineLvl w:val="0"/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  <w:t>收单页面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①收单页面逻辑按之前统计逻辑不变。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②收单-收益统计 需统计的字段为：”收单总收益”，“自有收益”，“团队贡献收益”。（注：就是把总收益字段处增添了  收单 2个字，作为与总收益字段的区分）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sz w:val="18"/>
          <w:szCs w:val="18"/>
        </w:rPr>
        <w:drawing>
          <wp:inline distT="0" distB="0" distL="114300" distR="114300">
            <wp:extent cx="1628140" cy="3110230"/>
            <wp:effectExtent l="0" t="0" r="10160" b="1270"/>
            <wp:docPr id="1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图片 6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628140" cy="31102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 w:ascii="黑体" w:hAnsi="黑体" w:eastAsia="黑体" w:cs="黑体"/>
          <w:sz w:val="18"/>
          <w:szCs w:val="18"/>
          <w:lang w:val="en-US" w:eastAsia="zh-CN"/>
        </w:rPr>
        <w:t xml:space="preserve"> 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sz w:val="18"/>
          <w:szCs w:val="18"/>
          <w:lang w:val="en-US" w:eastAsia="zh-CN"/>
        </w:rPr>
        <w:t>③收单-收益统计模块，右侧提示按钮，点击弹出提示文案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sz w:val="18"/>
          <w:szCs w:val="18"/>
          <w:lang w:val="en-US" w:eastAsia="zh-CN"/>
        </w:rPr>
        <w:t>（趣办卡收益统计：包含分润、返现两部分数据。分润收益包含自有交易分润+团队贡献分润；返现收益包含自有终端激活返现。默认展示近一个月的统计数据，可手动调整需要查询的日期范围，每次选择不能超过31天。）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color w:val="808080" w:themeColor="text1" w:themeTint="80"/>
          <w:sz w:val="18"/>
          <w:szCs w:val="18"/>
          <w:lang w:val="en-US" w:eastAsia="zh-CN"/>
          <w14:textFill>
            <w14:solidFill>
              <w14:schemeClr w14:val="tx1">
                <w14:lumMod w14:val="50000"/>
                <w14:lumOff w14:val="50000"/>
              </w14:schemeClr>
            </w14:solidFill>
          </w14:textFill>
        </w:rPr>
      </w:pPr>
      <w:r>
        <w:rPr>
          <w:rFonts w:hint="eastAsia" w:ascii="黑体" w:hAnsi="黑体" w:eastAsia="黑体" w:cs="黑体"/>
          <w:b w:val="0"/>
          <w:bCs w:val="0"/>
          <w:color w:val="808080" w:themeColor="text1" w:themeTint="80"/>
          <w:sz w:val="18"/>
          <w:szCs w:val="18"/>
          <w:lang w:val="en-US" w:eastAsia="zh-CN"/>
          <w14:textFill>
            <w14:solidFill>
              <w14:schemeClr w14:val="tx1">
                <w14:lumMod w14:val="50000"/>
                <w14:lumOff w14:val="50000"/>
              </w14:schemeClr>
            </w14:solidFill>
          </w14:textFill>
        </w:rPr>
        <w:t>图片仅示意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default" w:ascii="黑体" w:hAnsi="黑体" w:eastAsia="黑体" w:cs="黑体"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drawing>
          <wp:inline distT="0" distB="0" distL="114300" distR="114300">
            <wp:extent cx="2147570" cy="2164715"/>
            <wp:effectExtent l="0" t="0" r="1270" b="14605"/>
            <wp:docPr id="23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图片 4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147570" cy="21647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7"/>
        </w:numPr>
        <w:spacing w:line="480" w:lineRule="auto"/>
        <w:ind w:left="420" w:leftChars="0" w:hanging="420" w:firstLineChars="0"/>
        <w:outlineLvl w:val="0"/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  <w:t>趣办卡页面</w:t>
      </w:r>
    </w:p>
    <w:p>
      <w:pPr>
        <w:numPr>
          <w:ilvl w:val="0"/>
          <w:numId w:val="0"/>
        </w:numPr>
        <w:tabs>
          <w:tab w:val="left" w:pos="840"/>
        </w:tabs>
        <w:spacing w:line="240" w:lineRule="auto"/>
        <w:ind w:leftChars="0"/>
        <w:jc w:val="both"/>
        <w:outlineLvl w:val="9"/>
        <w:rPr>
          <w:rFonts w:hint="eastAsia" w:ascii="黑体" w:hAnsi="黑体" w:eastAsia="黑体" w:cs="黑体"/>
          <w:b w:val="0"/>
          <w:bCs/>
          <w:sz w:val="18"/>
          <w:szCs w:val="18"/>
          <w:vertAlign w:val="baseline"/>
        </w:rPr>
      </w:pPr>
      <w:r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  <w:t>总收益：</w:t>
      </w:r>
      <w:r>
        <w:rPr>
          <w:rFonts w:hint="eastAsia" w:ascii="黑体" w:hAnsi="黑体" w:eastAsia="黑体" w:cs="黑体"/>
          <w:b w:val="0"/>
          <w:bCs/>
          <w:sz w:val="18"/>
          <w:szCs w:val="18"/>
          <w:vertAlign w:val="baseline"/>
          <w:lang w:val="en-US" w:eastAsia="zh-Hans"/>
        </w:rPr>
        <w:t>自有分润总收益</w:t>
      </w:r>
      <w:r>
        <w:rPr>
          <w:rFonts w:hint="eastAsia" w:ascii="黑体" w:hAnsi="黑体" w:eastAsia="黑体" w:cs="黑体"/>
          <w:b w:val="0"/>
          <w:bCs/>
          <w:sz w:val="18"/>
          <w:szCs w:val="18"/>
          <w:vertAlign w:val="baseline"/>
          <w:lang w:eastAsia="zh-Hans"/>
        </w:rPr>
        <w:t>+</w:t>
      </w:r>
      <w:r>
        <w:rPr>
          <w:rFonts w:hint="eastAsia" w:ascii="黑体" w:hAnsi="黑体" w:eastAsia="黑体" w:cs="黑体"/>
          <w:b w:val="0"/>
          <w:bCs/>
          <w:sz w:val="18"/>
          <w:szCs w:val="18"/>
          <w:vertAlign w:val="baseline"/>
          <w:lang w:val="en-US" w:eastAsia="zh-Hans"/>
        </w:rPr>
        <w:t>合作方贡献总收益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①收益统计 需统计的字段：“总收益”，“自有收益”，“团队贡献收益”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点击右侧提示按钮，则弹出文案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“趣办卡总收益统计：包含自有收益+团队贡献收益。默认展示近一个月的统计数据，可手动调整需要查询的日期范围，每次选择不能超过31天。”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color w:val="808080" w:themeColor="text1" w:themeTint="80"/>
          <w:sz w:val="18"/>
          <w:szCs w:val="18"/>
          <w:lang w:val="en-US" w:eastAsia="zh-CN"/>
          <w14:textFill>
            <w14:solidFill>
              <w14:schemeClr w14:val="tx1">
                <w14:lumMod w14:val="50000"/>
                <w14:lumOff w14:val="50000"/>
              </w14:schemeClr>
            </w14:solidFill>
          </w14:textFill>
        </w:rPr>
        <w:t>图片仅示意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drawing>
          <wp:inline distT="0" distB="0" distL="114300" distR="114300">
            <wp:extent cx="3451860" cy="3482340"/>
            <wp:effectExtent l="0" t="0" r="7620" b="7620"/>
            <wp:docPr id="24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图片 5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451860" cy="34823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②收益详情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A.统计维度：日收益详情、月收益详情。(展示形式规则与“收单”原逻辑相同。）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B.日收益详情/月收益详情展示字段：总收益 个人收益 团队贡献收益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如图所示：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sz w:val="18"/>
          <w:szCs w:val="18"/>
        </w:rPr>
      </w:pPr>
      <w:r>
        <w:rPr>
          <w:rFonts w:hint="eastAsia" w:ascii="黑体" w:hAnsi="黑体" w:eastAsia="黑体" w:cs="黑体"/>
          <w:sz w:val="18"/>
          <w:szCs w:val="18"/>
        </w:rPr>
        <w:drawing>
          <wp:inline distT="0" distB="0" distL="114300" distR="114300">
            <wp:extent cx="2823210" cy="3287395"/>
            <wp:effectExtent l="0" t="0" r="8890" b="1905"/>
            <wp:docPr id="1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图片 7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823210" cy="32873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</w:p>
    <w:p>
      <w:pPr>
        <w:numPr>
          <w:ilvl w:val="0"/>
          <w:numId w:val="8"/>
        </w:numP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收益详情-查看明细页面</w:t>
      </w:r>
    </w:p>
    <w:p>
      <w:pPr>
        <w:numPr>
          <w:ilvl w:val="0"/>
          <w:numId w:val="0"/>
        </w:numP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明细包含：趣办卡收益，支持筛选收益金额，收益类型查看收益数据。</w:t>
      </w:r>
    </w:p>
    <w:p>
      <w:pPr>
        <w:numPr>
          <w:ilvl w:val="0"/>
          <w:numId w:val="0"/>
        </w:numP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收益类型包含：</w:t>
      </w:r>
    </w:p>
    <w:p>
      <w:pPr>
        <w:numPr>
          <w:ilvl w:val="0"/>
          <w:numId w:val="0"/>
        </w:numP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该明细页面的具体展示显示规则按“收单”展示逻辑规则显示。</w:t>
      </w:r>
    </w:p>
    <w:p>
      <w:pPr>
        <w:numPr>
          <w:ilvl w:val="0"/>
          <w:numId w:val="0"/>
        </w:numP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rPr>
          <w:rFonts w:hint="eastAsia" w:ascii="黑体" w:hAnsi="黑体" w:eastAsia="黑体" w:cs="黑体"/>
          <w:sz w:val="18"/>
          <w:szCs w:val="18"/>
        </w:rPr>
      </w:pPr>
      <w:r>
        <w:rPr>
          <w:rFonts w:hint="eastAsia" w:ascii="黑体" w:hAnsi="黑体" w:eastAsia="黑体" w:cs="黑体"/>
          <w:sz w:val="18"/>
          <w:szCs w:val="18"/>
        </w:rPr>
        <w:drawing>
          <wp:inline distT="0" distB="0" distL="114300" distR="114300">
            <wp:extent cx="3410585" cy="3153410"/>
            <wp:effectExtent l="0" t="0" r="5715" b="8890"/>
            <wp:docPr id="2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图片 10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410585" cy="3153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 w:ascii="黑体" w:hAnsi="黑体" w:eastAsia="黑体" w:cs="黑体"/>
          <w:sz w:val="18"/>
          <w:szCs w:val="18"/>
        </w:rPr>
      </w:pPr>
    </w:p>
    <w:p>
      <w:pPr>
        <w:numPr>
          <w:ilvl w:val="0"/>
          <w:numId w:val="8"/>
        </w:numPr>
        <w:ind w:left="0" w:leftChars="0" w:firstLine="0" w:firstLineChars="0"/>
        <w:rPr>
          <w:rFonts w:hint="eastAsia" w:ascii="黑体" w:hAnsi="黑体" w:eastAsia="黑体" w:cs="黑体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sz w:val="18"/>
          <w:szCs w:val="18"/>
          <w:lang w:val="en-US" w:eastAsia="zh-CN"/>
        </w:rPr>
        <w:t>趣办卡-无数据展示形式如下（参照收单逻辑来）</w:t>
      </w:r>
    </w:p>
    <w:p>
      <w:pPr>
        <w:numPr>
          <w:ilvl w:val="0"/>
          <w:numId w:val="0"/>
        </w:numPr>
        <w:ind w:leftChars="0"/>
        <w:rPr>
          <w:rFonts w:hint="eastAsia" w:ascii="黑体" w:hAnsi="黑体" w:eastAsia="黑体" w:cs="黑体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sz w:val="18"/>
          <w:szCs w:val="18"/>
        </w:rPr>
        <w:drawing>
          <wp:inline distT="0" distB="0" distL="114300" distR="114300">
            <wp:extent cx="1706880" cy="4107815"/>
            <wp:effectExtent l="0" t="0" r="7620" b="6985"/>
            <wp:docPr id="13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11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1706880" cy="4107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9"/>
        </w:numPr>
        <w:ind w:left="420" w:leftChars="0" w:hanging="420" w:firstLineChars="0"/>
        <w:jc w:val="left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我的钱包</w:t>
      </w:r>
    </w:p>
    <w:p>
      <w:pPr>
        <w:numPr>
          <w:ilvl w:val="0"/>
          <w:numId w:val="0"/>
        </w:numPr>
        <w:ind w:leftChars="0"/>
        <w:jc w:val="left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我的钱包页面增加了趣办卡页面，展现形式有所调整，收单页具体规则未做变动，仅新增趣办卡规则。</w:t>
      </w:r>
    </w:p>
    <w:p>
      <w:pPr>
        <w:numPr>
          <w:ilvl w:val="0"/>
          <w:numId w:val="0"/>
        </w:numPr>
        <w:ind w:leftChars="0"/>
        <w:jc w:val="left"/>
        <w:rPr>
          <w:rFonts w:hint="eastAsia" w:ascii="黑体" w:hAnsi="黑体" w:eastAsia="黑体" w:cs="黑体"/>
          <w:sz w:val="18"/>
          <w:szCs w:val="18"/>
        </w:rPr>
      </w:pPr>
      <w:r>
        <w:rPr>
          <w:rFonts w:hint="eastAsia" w:ascii="黑体" w:hAnsi="黑体" w:eastAsia="黑体" w:cs="黑体"/>
          <w:sz w:val="18"/>
          <w:szCs w:val="18"/>
        </w:rPr>
        <w:drawing>
          <wp:inline distT="0" distB="0" distL="114300" distR="114300">
            <wp:extent cx="1567815" cy="3570605"/>
            <wp:effectExtent l="0" t="0" r="6985" b="10795"/>
            <wp:docPr id="2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图片 12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1567815" cy="3570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Chars="0"/>
        <w:jc w:val="left"/>
        <w:rPr>
          <w:rFonts w:hint="eastAsia" w:ascii="黑体" w:hAnsi="黑体" w:eastAsia="黑体" w:cs="黑体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sz w:val="18"/>
          <w:szCs w:val="18"/>
          <w:lang w:val="en-US" w:eastAsia="zh-CN"/>
        </w:rPr>
        <w:t>①总金额：收单 +趣办卡</w:t>
      </w:r>
    </w:p>
    <w:p>
      <w:pPr>
        <w:numPr>
          <w:ilvl w:val="0"/>
          <w:numId w:val="0"/>
        </w:numPr>
        <w:ind w:leftChars="0"/>
        <w:jc w:val="left"/>
        <w:rPr>
          <w:rFonts w:hint="eastAsia" w:ascii="黑体" w:hAnsi="黑体" w:eastAsia="黑体" w:cs="黑体"/>
          <w:sz w:val="18"/>
          <w:szCs w:val="18"/>
          <w:lang w:val="en-US" w:eastAsia="zh-CN"/>
        </w:rPr>
      </w:pPr>
    </w:p>
    <w:p>
      <w:pPr>
        <w:numPr>
          <w:ilvl w:val="0"/>
          <w:numId w:val="10"/>
        </w:numPr>
        <w:ind w:left="420" w:leftChars="0" w:hanging="420" w:firstLineChars="0"/>
        <w:jc w:val="left"/>
        <w:rPr>
          <w:rFonts w:hint="eastAsia" w:ascii="黑体" w:hAnsi="黑体" w:eastAsia="黑体" w:cs="黑体"/>
          <w:b w:val="0"/>
          <w:bCs/>
          <w:sz w:val="18"/>
          <w:szCs w:val="18"/>
        </w:rPr>
      </w:pPr>
      <w:r>
        <w:rPr>
          <w:rFonts w:hint="eastAsia" w:ascii="黑体" w:hAnsi="黑体" w:eastAsia="黑体" w:cs="黑体"/>
          <w:sz w:val="18"/>
          <w:szCs w:val="18"/>
          <w:lang w:val="en-US" w:eastAsia="zh-CN"/>
        </w:rPr>
        <w:t>趣办卡</w:t>
      </w:r>
    </w:p>
    <w:p>
      <w:pPr>
        <w:numPr>
          <w:ilvl w:val="1"/>
          <w:numId w:val="11"/>
        </w:numPr>
        <w:spacing w:line="360" w:lineRule="auto"/>
        <w:ind w:left="630" w:leftChars="0" w:hanging="420" w:firstLineChars="0"/>
        <w:jc w:val="both"/>
        <w:rPr>
          <w:rFonts w:hint="eastAsia" w:ascii="黑体" w:hAnsi="黑体" w:eastAsia="黑体" w:cs="黑体"/>
          <w:b w:val="0"/>
          <w:bCs/>
          <w:sz w:val="18"/>
          <w:szCs w:val="18"/>
        </w:rPr>
      </w:pPr>
      <w:r>
        <w:rPr>
          <w:rFonts w:hint="eastAsia" w:ascii="黑体" w:hAnsi="黑体" w:eastAsia="黑体" w:cs="黑体"/>
          <w:b w:val="0"/>
          <w:bCs/>
          <w:sz w:val="18"/>
          <w:szCs w:val="18"/>
        </w:rPr>
        <w:t>数据展示：</w:t>
      </w:r>
    </w:p>
    <w:p>
      <w:pPr>
        <w:numPr>
          <w:ilvl w:val="2"/>
          <w:numId w:val="11"/>
        </w:numPr>
        <w:spacing w:line="360" w:lineRule="auto"/>
        <w:ind w:left="1260" w:leftChars="0" w:hanging="420" w:firstLineChars="0"/>
        <w:jc w:val="both"/>
        <w:rPr>
          <w:rFonts w:hint="eastAsia" w:ascii="黑体" w:hAnsi="黑体" w:eastAsia="黑体" w:cs="黑体"/>
          <w:b w:val="0"/>
          <w:bCs/>
          <w:sz w:val="18"/>
          <w:szCs w:val="18"/>
        </w:rPr>
      </w:pPr>
      <w:r>
        <w:rPr>
          <w:rFonts w:hint="eastAsia" w:ascii="黑体" w:hAnsi="黑体" w:eastAsia="黑体" w:cs="黑体"/>
          <w:b w:val="0"/>
          <w:bCs/>
          <w:sz w:val="18"/>
          <w:szCs w:val="18"/>
        </w:rPr>
        <w:t>可提</w:t>
      </w:r>
      <w:r>
        <w:rPr>
          <w:rFonts w:hint="eastAsia" w:ascii="黑体" w:hAnsi="黑体" w:eastAsia="黑体" w:cs="黑体"/>
          <w:b w:val="0"/>
          <w:bCs/>
          <w:sz w:val="18"/>
          <w:szCs w:val="18"/>
          <w:lang w:val="en-US" w:eastAsia="zh-CN"/>
        </w:rPr>
        <w:t>分润</w:t>
      </w:r>
    </w:p>
    <w:p>
      <w:pPr>
        <w:numPr>
          <w:ilvl w:val="2"/>
          <w:numId w:val="11"/>
        </w:numPr>
        <w:spacing w:line="360" w:lineRule="auto"/>
        <w:ind w:left="1260" w:leftChars="0" w:hanging="420" w:firstLineChars="0"/>
        <w:jc w:val="both"/>
        <w:rPr>
          <w:rFonts w:hint="eastAsia" w:ascii="黑体" w:hAnsi="黑体" w:eastAsia="黑体" w:cs="黑体"/>
          <w:b w:val="0"/>
          <w:bCs/>
          <w:sz w:val="18"/>
          <w:szCs w:val="18"/>
        </w:rPr>
      </w:pPr>
      <w:r>
        <w:rPr>
          <w:rFonts w:hint="eastAsia" w:ascii="黑体" w:hAnsi="黑体" w:eastAsia="黑体" w:cs="黑体"/>
          <w:b w:val="0"/>
          <w:bCs/>
          <w:sz w:val="18"/>
          <w:szCs w:val="18"/>
          <w:lang w:val="en-US" w:eastAsia="zh-CN"/>
        </w:rPr>
        <w:t>月结</w:t>
      </w:r>
    </w:p>
    <w:p>
      <w:pPr>
        <w:numPr>
          <w:ilvl w:val="2"/>
          <w:numId w:val="11"/>
        </w:numPr>
        <w:spacing w:line="360" w:lineRule="auto"/>
        <w:ind w:left="1260" w:leftChars="0" w:hanging="420" w:firstLineChars="0"/>
        <w:jc w:val="both"/>
        <w:rPr>
          <w:rFonts w:hint="eastAsia" w:ascii="黑体" w:hAnsi="黑体" w:eastAsia="黑体" w:cs="黑体"/>
          <w:b w:val="0"/>
          <w:bCs/>
          <w:sz w:val="18"/>
          <w:szCs w:val="18"/>
        </w:rPr>
      </w:pPr>
      <w:r>
        <w:rPr>
          <w:rFonts w:hint="eastAsia" w:ascii="黑体" w:hAnsi="黑体" w:eastAsia="黑体" w:cs="黑体"/>
          <w:b w:val="0"/>
          <w:bCs/>
          <w:sz w:val="18"/>
          <w:szCs w:val="18"/>
          <w:lang w:val="en-US" w:eastAsia="zh-CN"/>
        </w:rPr>
        <w:t>带调账金额</w:t>
      </w:r>
    </w:p>
    <w:p>
      <w:pPr>
        <w:numPr>
          <w:ilvl w:val="0"/>
          <w:numId w:val="0"/>
        </w:numPr>
        <w:spacing w:line="360" w:lineRule="auto"/>
        <w:jc w:val="both"/>
        <w:rPr>
          <w:rFonts w:hint="eastAsia" w:ascii="黑体" w:hAnsi="黑体" w:eastAsia="黑体" w:cs="黑体"/>
          <w:sz w:val="18"/>
          <w:szCs w:val="18"/>
        </w:rPr>
      </w:pPr>
      <w:r>
        <w:rPr>
          <w:rFonts w:hint="eastAsia" w:ascii="黑体" w:hAnsi="黑体" w:eastAsia="黑体" w:cs="黑体"/>
          <w:sz w:val="18"/>
          <w:szCs w:val="18"/>
        </w:rPr>
        <w:drawing>
          <wp:inline distT="0" distB="0" distL="114300" distR="114300">
            <wp:extent cx="2092325" cy="5187315"/>
            <wp:effectExtent l="0" t="0" r="3175" b="6985"/>
            <wp:docPr id="14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8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092325" cy="51873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1"/>
          <w:numId w:val="11"/>
        </w:numPr>
        <w:spacing w:line="360" w:lineRule="auto"/>
        <w:ind w:left="630" w:leftChars="0" w:hanging="420" w:firstLineChars="0"/>
        <w:jc w:val="both"/>
        <w:rPr>
          <w:rFonts w:hint="eastAsia" w:ascii="黑体" w:hAnsi="黑体" w:eastAsia="黑体" w:cs="黑体"/>
          <w:b w:val="0"/>
          <w:bCs/>
          <w:sz w:val="18"/>
          <w:szCs w:val="18"/>
        </w:rPr>
      </w:pPr>
      <w:r>
        <w:rPr>
          <w:rFonts w:hint="eastAsia" w:ascii="黑体" w:hAnsi="黑体" w:eastAsia="黑体" w:cs="黑体"/>
          <w:b w:val="0"/>
          <w:bCs/>
          <w:sz w:val="18"/>
          <w:szCs w:val="18"/>
        </w:rPr>
        <w:t>收支明细</w:t>
      </w:r>
    </w:p>
    <w:p>
      <w:pPr>
        <w:numPr>
          <w:ilvl w:val="0"/>
          <w:numId w:val="0"/>
        </w:numPr>
        <w:tabs>
          <w:tab w:val="left" w:pos="840"/>
        </w:tabs>
        <w:spacing w:line="360" w:lineRule="auto"/>
        <w:jc w:val="both"/>
        <w:rPr>
          <w:rFonts w:hint="eastAsia" w:ascii="黑体" w:hAnsi="黑体" w:eastAsia="黑体" w:cs="黑体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sz w:val="18"/>
          <w:szCs w:val="18"/>
          <w:lang w:val="en-US" w:eastAsia="zh-CN"/>
        </w:rPr>
        <w:t>收支明细包含：趣办卡收益、服务费（趣办卡支出）、服务费（趣办卡收入）</w:t>
      </w:r>
    </w:p>
    <w:p>
      <w:pPr>
        <w:numPr>
          <w:ilvl w:val="0"/>
          <w:numId w:val="0"/>
        </w:numPr>
        <w:tabs>
          <w:tab w:val="left" w:pos="840"/>
        </w:tabs>
        <w:spacing w:line="360" w:lineRule="auto"/>
        <w:jc w:val="both"/>
        <w:rPr>
          <w:rFonts w:hint="eastAsia" w:ascii="黑体" w:hAnsi="黑体" w:eastAsia="黑体" w:cs="黑体"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tabs>
          <w:tab w:val="left" w:pos="840"/>
        </w:tabs>
        <w:spacing w:line="360" w:lineRule="auto"/>
        <w:jc w:val="both"/>
        <w:rPr>
          <w:rFonts w:hint="eastAsia" w:ascii="黑体" w:hAnsi="黑体" w:eastAsia="黑体" w:cs="黑体"/>
          <w:b w:val="0"/>
          <w:bCs/>
          <w:sz w:val="18"/>
          <w:szCs w:val="18"/>
        </w:rPr>
      </w:pPr>
      <w:r>
        <w:rPr>
          <w:rFonts w:hint="eastAsia" w:ascii="黑体" w:hAnsi="黑体" w:eastAsia="黑体" w:cs="黑体"/>
          <w:sz w:val="18"/>
          <w:szCs w:val="18"/>
        </w:rPr>
        <w:drawing>
          <wp:inline distT="0" distB="0" distL="114300" distR="114300">
            <wp:extent cx="5265420" cy="2143125"/>
            <wp:effectExtent l="0" t="0" r="5080" b="3175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265420" cy="2143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spacing w:line="360" w:lineRule="auto"/>
        <w:jc w:val="both"/>
        <w:rPr>
          <w:rFonts w:hint="eastAsia" w:ascii="黑体" w:hAnsi="黑体" w:eastAsia="黑体" w:cs="黑体"/>
          <w:sz w:val="18"/>
          <w:szCs w:val="18"/>
        </w:rPr>
      </w:pPr>
    </w:p>
    <w:p>
      <w:pPr>
        <w:numPr>
          <w:ilvl w:val="1"/>
          <w:numId w:val="11"/>
        </w:numPr>
        <w:spacing w:line="360" w:lineRule="auto"/>
        <w:ind w:left="630" w:leftChars="0" w:hanging="420" w:firstLineChars="0"/>
        <w:jc w:val="both"/>
        <w:rPr>
          <w:rFonts w:hint="eastAsia" w:ascii="黑体" w:hAnsi="黑体" w:eastAsia="黑体" w:cs="黑体"/>
          <w:b w:val="0"/>
          <w:bCs/>
          <w:sz w:val="18"/>
          <w:szCs w:val="18"/>
        </w:rPr>
      </w:pPr>
      <w:r>
        <w:rPr>
          <w:rFonts w:hint="eastAsia" w:ascii="黑体" w:hAnsi="黑体" w:eastAsia="黑体" w:cs="黑体"/>
          <w:b w:val="0"/>
          <w:bCs/>
          <w:sz w:val="18"/>
          <w:szCs w:val="18"/>
          <w:lang w:val="en-US" w:eastAsia="zh-CN"/>
        </w:rPr>
        <w:t>月结明细</w:t>
      </w:r>
    </w:p>
    <w:p>
      <w:pPr>
        <w:numPr>
          <w:ilvl w:val="0"/>
          <w:numId w:val="0"/>
        </w:numPr>
        <w:spacing w:line="360" w:lineRule="auto"/>
        <w:ind w:left="210" w:leftChars="0"/>
        <w:jc w:val="both"/>
        <w:rPr>
          <w:rFonts w:hint="eastAsia" w:ascii="黑体" w:hAnsi="黑体" w:eastAsia="黑体" w:cs="黑体"/>
          <w:sz w:val="18"/>
          <w:szCs w:val="18"/>
        </w:rPr>
      </w:pPr>
      <w:r>
        <w:drawing>
          <wp:inline distT="0" distB="0" distL="114300" distR="114300">
            <wp:extent cx="5268595" cy="2147570"/>
            <wp:effectExtent l="0" t="0" r="1905" b="11430"/>
            <wp:docPr id="1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21475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spacing w:line="360" w:lineRule="auto"/>
        <w:ind w:left="210" w:leftChars="0"/>
        <w:jc w:val="both"/>
        <w:rPr>
          <w:rFonts w:hint="eastAsia" w:ascii="黑体" w:hAnsi="黑体" w:eastAsia="黑体" w:cs="黑体"/>
          <w:sz w:val="18"/>
          <w:szCs w:val="18"/>
        </w:rPr>
      </w:pPr>
    </w:p>
    <w:p>
      <w:pPr>
        <w:numPr>
          <w:ilvl w:val="1"/>
          <w:numId w:val="11"/>
        </w:numPr>
        <w:spacing w:line="360" w:lineRule="auto"/>
        <w:ind w:left="630" w:leftChars="0" w:hanging="420" w:firstLineChars="0"/>
        <w:jc w:val="both"/>
        <w:rPr>
          <w:rFonts w:hint="eastAsia" w:ascii="黑体" w:hAnsi="黑体" w:eastAsia="黑体" w:cs="黑体"/>
          <w:b w:val="0"/>
          <w:bCs/>
          <w:sz w:val="18"/>
          <w:szCs w:val="18"/>
        </w:rPr>
      </w:pPr>
      <w:r>
        <w:rPr>
          <w:rFonts w:hint="eastAsia" w:ascii="黑体" w:hAnsi="黑体" w:eastAsia="黑体" w:cs="黑体"/>
          <w:b w:val="0"/>
          <w:bCs/>
          <w:sz w:val="18"/>
          <w:szCs w:val="18"/>
        </w:rPr>
        <w:t>待调账明细</w:t>
      </w:r>
    </w:p>
    <w:p>
      <w:pPr>
        <w:numPr>
          <w:ilvl w:val="0"/>
          <w:numId w:val="12"/>
        </w:numPr>
        <w:spacing w:line="360" w:lineRule="auto"/>
        <w:ind w:left="210" w:leftChars="0"/>
        <w:jc w:val="both"/>
        <w:rPr>
          <w:rFonts w:hint="eastAsia" w:ascii="黑体" w:hAnsi="黑体" w:eastAsia="黑体" w:cs="黑体"/>
          <w:b w:val="0"/>
          <w:bCs/>
          <w:sz w:val="18"/>
          <w:szCs w:val="18"/>
        </w:rPr>
      </w:pPr>
      <w:r>
        <w:rPr>
          <w:rFonts w:hint="eastAsia" w:ascii="黑体" w:hAnsi="黑体" w:eastAsia="黑体" w:cs="黑体"/>
          <w:b w:val="0"/>
          <w:bCs/>
          <w:sz w:val="18"/>
          <w:szCs w:val="18"/>
        </w:rPr>
        <w:t>月度分润调账支出明细</w:t>
      </w:r>
    </w:p>
    <w:p>
      <w:pPr>
        <w:numPr>
          <w:ilvl w:val="0"/>
          <w:numId w:val="0"/>
        </w:numPr>
        <w:spacing w:line="360" w:lineRule="auto"/>
        <w:jc w:val="both"/>
        <w:rPr>
          <w:rFonts w:hint="eastAsia" w:ascii="黑体" w:hAnsi="黑体" w:eastAsia="黑体" w:cs="黑体"/>
          <w:b w:val="0"/>
          <w:bCs/>
          <w:sz w:val="18"/>
          <w:szCs w:val="18"/>
        </w:rPr>
      </w:pPr>
    </w:p>
    <w:p>
      <w:pPr>
        <w:numPr>
          <w:ilvl w:val="1"/>
          <w:numId w:val="11"/>
        </w:numPr>
        <w:spacing w:line="360" w:lineRule="auto"/>
        <w:ind w:left="630" w:leftChars="0" w:hanging="420" w:firstLineChars="0"/>
        <w:jc w:val="both"/>
        <w:rPr>
          <w:rFonts w:hint="eastAsia" w:ascii="黑体" w:hAnsi="黑体" w:eastAsia="黑体" w:cs="黑体"/>
          <w:b w:val="0"/>
          <w:bCs/>
          <w:sz w:val="18"/>
          <w:szCs w:val="18"/>
        </w:rPr>
      </w:pPr>
      <w:r>
        <w:rPr>
          <w:rFonts w:hint="eastAsia" w:ascii="黑体" w:hAnsi="黑体" w:eastAsia="黑体" w:cs="黑体"/>
          <w:b w:val="0"/>
          <w:bCs/>
          <w:sz w:val="18"/>
          <w:szCs w:val="18"/>
        </w:rPr>
        <w:t>提现功能</w:t>
      </w:r>
    </w:p>
    <w:p>
      <w:pPr>
        <w:numPr>
          <w:ilvl w:val="0"/>
          <w:numId w:val="0"/>
        </w:numPr>
        <w:spacing w:line="360" w:lineRule="auto"/>
        <w:jc w:val="both"/>
        <w:rPr>
          <w:rFonts w:hint="eastAsia" w:ascii="黑体" w:hAnsi="黑体" w:eastAsia="黑体" w:cs="黑体"/>
          <w:b w:val="0"/>
          <w:bCs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/>
          <w:sz w:val="18"/>
          <w:szCs w:val="18"/>
          <w:lang w:val="en-US" w:eastAsia="zh-CN"/>
        </w:rPr>
        <w:t>切换左右按钮控制收单/趣伴卡页面，收单发票余额与趣办卡发票余额分开结算，两种业务发票不互通。</w:t>
      </w:r>
    </w:p>
    <w:p>
      <w:pPr>
        <w:numPr>
          <w:ilvl w:val="0"/>
          <w:numId w:val="0"/>
        </w:numPr>
        <w:spacing w:line="360" w:lineRule="auto"/>
        <w:jc w:val="both"/>
        <w:rPr>
          <w:rFonts w:hint="eastAsia" w:ascii="黑体" w:hAnsi="黑体" w:eastAsia="黑体" w:cs="黑体"/>
          <w:b w:val="0"/>
          <w:bCs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/>
          <w:sz w:val="18"/>
          <w:szCs w:val="18"/>
          <w:lang w:val="en-US" w:eastAsia="zh-CN"/>
        </w:rPr>
        <w:t>提现时，需扣除上级企业的发票。提现发票余额不足时，弹出提示“发票余额不足，本次所需：n元”。此处提现规则提示与逻辑暂按收单逻辑来。</w:t>
      </w:r>
    </w:p>
    <w:p>
      <w:pPr>
        <w:numPr>
          <w:ilvl w:val="0"/>
          <w:numId w:val="0"/>
        </w:numPr>
        <w:spacing w:line="360" w:lineRule="auto"/>
        <w:jc w:val="both"/>
        <w:rPr>
          <w:rFonts w:hint="eastAsia" w:ascii="黑体" w:hAnsi="黑体" w:eastAsia="黑体" w:cs="黑体"/>
          <w:b w:val="0"/>
          <w:bCs/>
          <w:sz w:val="18"/>
          <w:szCs w:val="18"/>
          <w:lang w:eastAsia="zh-CN"/>
        </w:rPr>
      </w:pPr>
    </w:p>
    <w:p>
      <w:pPr>
        <w:numPr>
          <w:ilvl w:val="0"/>
          <w:numId w:val="0"/>
        </w:numPr>
        <w:spacing w:line="360" w:lineRule="auto"/>
        <w:ind w:firstLine="540" w:firstLineChars="300"/>
        <w:jc w:val="both"/>
        <w:rPr>
          <w:rFonts w:hint="eastAsia" w:ascii="黑体" w:hAnsi="黑体" w:eastAsia="黑体" w:cs="黑体"/>
          <w:b w:val="0"/>
          <w:bCs/>
          <w:sz w:val="18"/>
          <w:szCs w:val="18"/>
          <w:lang w:eastAsia="zh-CN"/>
        </w:rPr>
      </w:pPr>
    </w:p>
    <w:p>
      <w:pPr>
        <w:numPr>
          <w:ilvl w:val="0"/>
          <w:numId w:val="0"/>
        </w:numPr>
        <w:spacing w:line="360" w:lineRule="auto"/>
        <w:ind w:left="840" w:leftChars="0"/>
        <w:jc w:val="both"/>
        <w:rPr>
          <w:rFonts w:hint="eastAsia" w:ascii="黑体" w:hAnsi="黑体" w:eastAsia="黑体" w:cs="黑体"/>
          <w:sz w:val="18"/>
          <w:szCs w:val="18"/>
        </w:rPr>
      </w:pPr>
      <w:r>
        <w:rPr>
          <w:rFonts w:hint="eastAsia" w:ascii="黑体" w:hAnsi="黑体" w:eastAsia="黑体" w:cs="黑体"/>
          <w:sz w:val="18"/>
          <w:szCs w:val="18"/>
        </w:rPr>
        <w:drawing>
          <wp:inline distT="0" distB="0" distL="114300" distR="114300">
            <wp:extent cx="2187575" cy="4981575"/>
            <wp:effectExtent l="0" t="0" r="9525" b="952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87575" cy="4981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Chars="0"/>
        <w:jc w:val="left"/>
        <w:rPr>
          <w:rFonts w:hint="eastAsia" w:ascii="黑体" w:hAnsi="黑体" w:eastAsia="黑体" w:cs="黑体"/>
          <w:sz w:val="18"/>
          <w:szCs w:val="18"/>
        </w:rPr>
      </w:pPr>
    </w:p>
    <w:p>
      <w:pPr>
        <w:numPr>
          <w:ilvl w:val="0"/>
          <w:numId w:val="0"/>
        </w:numPr>
        <w:ind w:leftChars="0"/>
        <w:jc w:val="left"/>
        <w:rPr>
          <w:rFonts w:hint="eastAsia" w:ascii="黑体" w:hAnsi="黑体" w:eastAsia="黑体" w:cs="黑体"/>
          <w:sz w:val="18"/>
          <w:szCs w:val="18"/>
        </w:rPr>
      </w:pPr>
    </w:p>
    <w:p>
      <w:pPr>
        <w:numPr>
          <w:ilvl w:val="0"/>
          <w:numId w:val="0"/>
        </w:numPr>
        <w:ind w:leftChars="0"/>
        <w:jc w:val="left"/>
        <w:rPr>
          <w:rFonts w:hint="eastAsia" w:ascii="黑体" w:hAnsi="黑体" w:eastAsia="黑体" w:cs="黑体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sz w:val="18"/>
          <w:szCs w:val="18"/>
          <w:lang w:val="en-US" w:eastAsia="zh-CN"/>
        </w:rPr>
        <w:t xml:space="preserve"> </w:t>
      </w:r>
    </w:p>
    <w:p>
      <w:pPr>
        <w:numPr>
          <w:ilvl w:val="0"/>
          <w:numId w:val="0"/>
        </w:numPr>
        <w:ind w:leftChars="0"/>
        <w:jc w:val="left"/>
        <w:rPr>
          <w:rFonts w:hint="eastAsia" w:ascii="黑体" w:hAnsi="黑体" w:eastAsia="黑体" w:cs="黑体"/>
          <w:sz w:val="18"/>
          <w:szCs w:val="18"/>
        </w:rPr>
      </w:pPr>
    </w:p>
    <w:p>
      <w:pPr>
        <w:numPr>
          <w:ilvl w:val="0"/>
          <w:numId w:val="0"/>
        </w:numPr>
        <w:ind w:leftChars="0"/>
        <w:jc w:val="left"/>
        <w:rPr>
          <w:rFonts w:hint="eastAsia" w:ascii="黑体" w:hAnsi="黑体" w:eastAsia="黑体" w:cs="黑体"/>
          <w:sz w:val="18"/>
          <w:szCs w:val="18"/>
        </w:rPr>
      </w:pPr>
    </w:p>
    <w:p>
      <w:pPr>
        <w:numPr>
          <w:ilvl w:val="0"/>
          <w:numId w:val="0"/>
        </w:numPr>
        <w:ind w:leftChars="0"/>
        <w:jc w:val="left"/>
        <w:rPr>
          <w:rFonts w:hint="eastAsia" w:ascii="黑体" w:hAnsi="黑体" w:eastAsia="黑体" w:cs="黑体"/>
          <w:sz w:val="18"/>
          <w:szCs w:val="18"/>
          <w:lang w:val="en-US" w:eastAsia="zh-CN"/>
        </w:rPr>
      </w:pPr>
    </w:p>
    <w:p>
      <w:pPr>
        <w:numPr>
          <w:ilvl w:val="0"/>
          <w:numId w:val="4"/>
        </w:numPr>
        <w:spacing w:line="480" w:lineRule="auto"/>
        <w:outlineLvl w:val="0"/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  <w:t>运营平台--需求</w:t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1）增加app管理页面</w:t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在后台需对app活动在前台显示进行控制（商户入网、团队拓展、推广有礼、答疑解惑）。</w:t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在好拓客管理--新增app设置页面</w:t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页面默认开启：商户入网、团队拓展、推广有礼、答疑解惑4个活动。</w:t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操作开启关闭活动按钮，开启该活动则在app前端显示，关闭该活动则不显示。开启或关闭则都弹出toast提示，【您的操作将会影响好拓客app的活动显示，请您谨慎操作！已知悉，仍要继续操作？】。确认则修改成功，取消则修改失败。</w:t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sz w:val="18"/>
          <w:szCs w:val="18"/>
        </w:rPr>
        <w:drawing>
          <wp:inline distT="0" distB="0" distL="114300" distR="114300">
            <wp:extent cx="2287270" cy="1093470"/>
            <wp:effectExtent l="0" t="0" r="11430" b="1143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8"/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287270" cy="10934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spacing w:line="480" w:lineRule="auto"/>
        <w:outlineLvl w:val="0"/>
        <w:rPr>
          <w:rFonts w:hint="default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>为保证app前端展示视觉美观，隐藏“推广有礼”模块后，“答疑解惑”模块默认不展示，app前端保持“商户入网”，“团队拓展”两模块。单独关闭“答疑解惑”模块，“推广有礼”模块在app前端不受影响。</w:t>
      </w:r>
    </w:p>
    <w:p>
      <w:pPr>
        <w:numPr>
          <w:ilvl w:val="0"/>
          <w:numId w:val="0"/>
        </w:numPr>
        <w:spacing w:line="480" w:lineRule="auto"/>
        <w:outlineLvl w:val="0"/>
        <w:rPr>
          <w:rFonts w:hint="default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t xml:space="preserve">默认顺序为：商户入网、团队拓展、推广有礼、答疑解惑   </w:t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sz w:val="18"/>
          <w:szCs w:val="18"/>
        </w:rPr>
      </w:pPr>
      <w:r>
        <w:rPr>
          <w:rFonts w:hint="eastAsia" w:ascii="黑体" w:hAnsi="黑体" w:eastAsia="黑体" w:cs="黑体"/>
          <w:sz w:val="18"/>
          <w:szCs w:val="18"/>
        </w:rPr>
        <w:drawing>
          <wp:inline distT="0" distB="0" distL="114300" distR="114300">
            <wp:extent cx="6151880" cy="1453515"/>
            <wp:effectExtent l="0" t="0" r="7620" b="6985"/>
            <wp:docPr id="21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图片 10"/>
                    <pic:cNvPicPr>
                      <a:picLocks noChangeAspect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6151880" cy="14535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spacing w:line="480" w:lineRule="auto"/>
        <w:outlineLvl w:val="0"/>
        <w:rPr>
          <w:rFonts w:hint="eastAsia" w:ascii="黑体" w:hAnsi="黑体" w:eastAsia="黑体" w:cs="黑体"/>
          <w:sz w:val="18"/>
          <w:szCs w:val="18"/>
        </w:rPr>
      </w:pPr>
    </w:p>
    <w:p>
      <w:pPr>
        <w:numPr>
          <w:ilvl w:val="0"/>
          <w:numId w:val="6"/>
        </w:numPr>
        <w:spacing w:line="480" w:lineRule="auto"/>
        <w:ind w:left="0" w:leftChars="0" w:firstLine="0" w:firstLineChars="0"/>
        <w:outlineLvl w:val="0"/>
        <w:rPr>
          <w:rFonts w:hint="eastAsia" w:ascii="黑体" w:hAnsi="黑体" w:eastAsia="黑体" w:cs="黑体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sz w:val="18"/>
          <w:szCs w:val="18"/>
          <w:lang w:val="en-US" w:eastAsia="zh-CN"/>
        </w:rPr>
        <w:t>好拓客管理-发票管理-增加发票类型字段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sz w:val="18"/>
          <w:szCs w:val="18"/>
          <w:lang w:val="en-US" w:eastAsia="zh-CN"/>
        </w:rPr>
        <w:t>增加发票类型字段，支持筛选，筛选字段：全部、趣办卡、收单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sz w:val="18"/>
          <w:szCs w:val="18"/>
          <w:lang w:val="en-US" w:eastAsia="zh-CN"/>
        </w:rPr>
        <w:t>表格出也需增加发票类型字段</w:t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sz w:val="18"/>
          <w:szCs w:val="18"/>
        </w:rPr>
        <w:drawing>
          <wp:inline distT="0" distB="0" distL="114300" distR="114300">
            <wp:extent cx="3879850" cy="2226310"/>
            <wp:effectExtent l="0" t="0" r="6350" b="8890"/>
            <wp:docPr id="2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1"/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3879850" cy="2226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Chars="0"/>
        <w:jc w:val="left"/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</w:pPr>
      <w:r>
        <w:rPr>
          <w:rFonts w:hint="eastAsia" w:ascii="黑体" w:hAnsi="黑体" w:eastAsia="黑体" w:cs="黑体"/>
          <w:b w:val="0"/>
          <w:bCs w:val="0"/>
          <w:sz w:val="18"/>
          <w:szCs w:val="18"/>
          <w:lang w:val="en-US" w:eastAsia="zh-CN"/>
        </w:rPr>
        <w:br w:type="page"/>
      </w: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spacing w:line="480" w:lineRule="auto"/>
        <w:ind w:leftChars="0"/>
        <w:outlineLvl w:val="0"/>
        <w:rPr>
          <w:rFonts w:hint="eastAsia" w:ascii="黑体" w:hAnsi="黑体" w:eastAsia="黑体" w:cs="黑体"/>
          <w:b/>
          <w:bCs/>
          <w:sz w:val="18"/>
          <w:szCs w:val="18"/>
          <w:lang w:val="en-US" w:eastAsia="zh-CN"/>
        </w:rPr>
      </w:pPr>
    </w:p>
    <w:p>
      <w:pPr>
        <w:rPr>
          <w:rFonts w:hint="eastAsia" w:ascii="黑体" w:hAnsi="黑体" w:eastAsia="黑体" w:cs="黑体"/>
          <w:sz w:val="18"/>
          <w:szCs w:val="18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86"/>
    <w:family w:val="auto"/>
    <w:pitch w:val="default"/>
    <w:sig w:usb0="E0002AFF" w:usb1="C0007841" w:usb2="00000009" w:usb3="00000000" w:csb0="400001FF" w:csb1="FFFF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C1AF7E30"/>
    <w:multiLevelType w:val="singleLevel"/>
    <w:tmpl w:val="C1AF7E30"/>
    <w:lvl w:ilvl="0" w:tentative="0">
      <w:start w:val="1"/>
      <w:numFmt w:val="decimal"/>
      <w:suff w:val="nothing"/>
      <w:lvlText w:val="%1）"/>
      <w:lvlJc w:val="left"/>
    </w:lvl>
  </w:abstractNum>
  <w:abstractNum w:abstractNumId="1">
    <w:nsid w:val="DA91AE4F"/>
    <w:multiLevelType w:val="singleLevel"/>
    <w:tmpl w:val="DA91AE4F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2">
    <w:nsid w:val="19E96308"/>
    <w:multiLevelType w:val="singleLevel"/>
    <w:tmpl w:val="19E96308"/>
    <w:lvl w:ilvl="0" w:tentative="0">
      <w:start w:val="1"/>
      <w:numFmt w:val="bullet"/>
      <w:lvlText w:val="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3">
    <w:nsid w:val="24F9CF13"/>
    <w:multiLevelType w:val="singleLevel"/>
    <w:tmpl w:val="24F9CF13"/>
    <w:lvl w:ilvl="0" w:tentative="0">
      <w:start w:val="1"/>
      <w:numFmt w:val="decimal"/>
      <w:suff w:val="nothing"/>
      <w:lvlText w:val="%1）"/>
      <w:lvlJc w:val="left"/>
    </w:lvl>
  </w:abstractNum>
  <w:abstractNum w:abstractNumId="4">
    <w:nsid w:val="43FB782D"/>
    <w:multiLevelType w:val="singleLevel"/>
    <w:tmpl w:val="43FB782D"/>
    <w:lvl w:ilvl="0" w:tentative="0">
      <w:start w:val="3"/>
      <w:numFmt w:val="upperLetter"/>
      <w:lvlText w:val="%1."/>
      <w:lvlJc w:val="left"/>
      <w:pPr>
        <w:tabs>
          <w:tab w:val="left" w:pos="312"/>
        </w:tabs>
      </w:pPr>
    </w:lvl>
  </w:abstractNum>
  <w:abstractNum w:abstractNumId="5">
    <w:nsid w:val="4AFB33A6"/>
    <w:multiLevelType w:val="singleLevel"/>
    <w:tmpl w:val="4AFB33A6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6">
    <w:nsid w:val="4C6983D7"/>
    <w:multiLevelType w:val="singleLevel"/>
    <w:tmpl w:val="4C6983D7"/>
    <w:lvl w:ilvl="0" w:tentative="0">
      <w:start w:val="1"/>
      <w:numFmt w:val="bullet"/>
      <w:lvlText w:val="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7">
    <w:nsid w:val="56F16635"/>
    <w:multiLevelType w:val="singleLevel"/>
    <w:tmpl w:val="56F16635"/>
    <w:lvl w:ilvl="0" w:tentative="0">
      <w:start w:val="1"/>
      <w:numFmt w:val="lowerRoman"/>
      <w:lvlText w:val="%1."/>
      <w:lvlJc w:val="left"/>
      <w:pPr>
        <w:tabs>
          <w:tab w:val="left" w:pos="312"/>
        </w:tabs>
      </w:pPr>
    </w:lvl>
  </w:abstractNum>
  <w:abstractNum w:abstractNumId="8">
    <w:nsid w:val="5F224028"/>
    <w:multiLevelType w:val="multilevel"/>
    <w:tmpl w:val="5F224028"/>
    <w:lvl w:ilvl="0" w:tentative="0">
      <w:start w:val="1"/>
      <w:numFmt w:val="decimal"/>
      <w:lvlText w:val="%1."/>
      <w:lvlJc w:val="left"/>
      <w:pPr>
        <w:ind w:left="425" w:leftChars="0" w:hanging="425" w:firstLineChars="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630" w:leftChars="0" w:hanging="420" w:firstLineChars="0"/>
      </w:pPr>
      <w:rPr>
        <w:rFonts w:hint="default"/>
      </w:rPr>
    </w:lvl>
    <w:lvl w:ilvl="2" w:tentative="0">
      <w:start w:val="1"/>
      <w:numFmt w:val="lowerRoman"/>
      <w:lvlText w:val="%3."/>
      <w:lvlJc w:val="left"/>
      <w:pPr>
        <w:tabs>
          <w:tab w:val="left" w:pos="1260"/>
        </w:tabs>
        <w:ind w:left="1260" w:leftChars="0" w:hanging="420" w:firstLineChars="0"/>
      </w:pPr>
      <w:rPr>
        <w:rFonts w:hint="default"/>
      </w:r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leftChars="0" w:hanging="420" w:firstLineChars="0"/>
      </w:pPr>
      <w:rPr>
        <w:rFonts w:hint="default"/>
      </w:r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leftChars="0" w:hanging="420" w:firstLineChars="0"/>
      </w:pPr>
      <w:rPr>
        <w:rFonts w:hint="default"/>
      </w:rPr>
    </w:lvl>
    <w:lvl w:ilvl="5" w:tentative="0">
      <w:start w:val="1"/>
      <w:numFmt w:val="lowerRoman"/>
      <w:lvlText w:val="%6."/>
      <w:lvlJc w:val="left"/>
      <w:pPr>
        <w:tabs>
          <w:tab w:val="left" w:pos="2520"/>
        </w:tabs>
        <w:ind w:left="2520" w:leftChars="0" w:hanging="420" w:firstLineChars="0"/>
      </w:pPr>
      <w:rPr>
        <w:rFonts w:hint="default"/>
      </w:r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leftChars="0" w:hanging="420" w:firstLineChars="0"/>
      </w:pPr>
      <w:rPr>
        <w:rFonts w:hint="default"/>
      </w:r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leftChars="0" w:hanging="420" w:firstLineChars="0"/>
      </w:pPr>
      <w:rPr>
        <w:rFonts w:hint="default"/>
      </w:rPr>
    </w:lvl>
    <w:lvl w:ilvl="8" w:tentative="0">
      <w:start w:val="1"/>
      <w:numFmt w:val="lowerRoman"/>
      <w:lvlText w:val="%9."/>
      <w:lvlJc w:val="left"/>
      <w:pPr>
        <w:tabs>
          <w:tab w:val="left" w:pos="3780"/>
        </w:tabs>
        <w:ind w:left="3780" w:leftChars="0" w:hanging="420" w:firstLineChars="0"/>
      </w:pPr>
      <w:rPr>
        <w:rFonts w:hint="default"/>
      </w:rPr>
    </w:lvl>
  </w:abstractNum>
  <w:abstractNum w:abstractNumId="9">
    <w:nsid w:val="63325435"/>
    <w:multiLevelType w:val="singleLevel"/>
    <w:tmpl w:val="63325435"/>
    <w:lvl w:ilvl="0" w:tentative="0">
      <w:start w:val="5"/>
      <w:numFmt w:val="decimal"/>
      <w:lvlText w:val="%1."/>
      <w:lvlJc w:val="left"/>
      <w:pPr>
        <w:tabs>
          <w:tab w:val="left" w:pos="312"/>
        </w:tabs>
      </w:pPr>
    </w:lvl>
  </w:abstractNum>
  <w:abstractNum w:abstractNumId="10">
    <w:nsid w:val="763D5C25"/>
    <w:multiLevelType w:val="singleLevel"/>
    <w:tmpl w:val="763D5C25"/>
    <w:lvl w:ilvl="0" w:tentative="0">
      <w:start w:val="1"/>
      <w:numFmt w:val="bullet"/>
      <w:lvlText w:val="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11">
    <w:nsid w:val="7A3E18BC"/>
    <w:multiLevelType w:val="singleLevel"/>
    <w:tmpl w:val="7A3E18BC"/>
    <w:lvl w:ilvl="0" w:tentative="0">
      <w:start w:val="1"/>
      <w:numFmt w:val="bullet"/>
      <w:lvlText w:val=""/>
      <w:lvlJc w:val="left"/>
      <w:pPr>
        <w:ind w:left="420" w:hanging="420"/>
      </w:pPr>
      <w:rPr>
        <w:rFonts w:hint="default" w:ascii="Wingdings" w:hAnsi="Wingdings"/>
      </w:rPr>
    </w:lvl>
  </w:abstractNum>
  <w:num w:numId="1">
    <w:abstractNumId w:val="1"/>
  </w:num>
  <w:num w:numId="2">
    <w:abstractNumId w:val="5"/>
  </w:num>
  <w:num w:numId="3">
    <w:abstractNumId w:val="3"/>
  </w:num>
  <w:num w:numId="4">
    <w:abstractNumId w:val="9"/>
  </w:num>
  <w:num w:numId="5">
    <w:abstractNumId w:val="11"/>
  </w:num>
  <w:num w:numId="6">
    <w:abstractNumId w:val="0"/>
  </w:num>
  <w:num w:numId="7">
    <w:abstractNumId w:val="2"/>
  </w:num>
  <w:num w:numId="8">
    <w:abstractNumId w:val="4"/>
  </w:num>
  <w:num w:numId="9">
    <w:abstractNumId w:val="10"/>
  </w:num>
  <w:num w:numId="10">
    <w:abstractNumId w:val="6"/>
  </w:num>
  <w:num w:numId="11">
    <w:abstractNumId w:val="8"/>
  </w:num>
  <w:num w:numId="12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oNotDisplayPageBoundaries w:val="1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540B016D"/>
    <w:rsid w:val="028C3316"/>
    <w:rsid w:val="03BE7266"/>
    <w:rsid w:val="0A393724"/>
    <w:rsid w:val="0BD52223"/>
    <w:rsid w:val="0DD009D1"/>
    <w:rsid w:val="0F452BFE"/>
    <w:rsid w:val="16BB1C05"/>
    <w:rsid w:val="17A67DDC"/>
    <w:rsid w:val="18A17AA2"/>
    <w:rsid w:val="19C623D1"/>
    <w:rsid w:val="19F44A3C"/>
    <w:rsid w:val="1CFF7BF2"/>
    <w:rsid w:val="1ED45F9E"/>
    <w:rsid w:val="1FC423C8"/>
    <w:rsid w:val="1FF3130B"/>
    <w:rsid w:val="212A7916"/>
    <w:rsid w:val="22561E24"/>
    <w:rsid w:val="22E2098A"/>
    <w:rsid w:val="269274C5"/>
    <w:rsid w:val="290502B9"/>
    <w:rsid w:val="2B0418FF"/>
    <w:rsid w:val="32FB0212"/>
    <w:rsid w:val="332D2D46"/>
    <w:rsid w:val="34A369E8"/>
    <w:rsid w:val="38B35827"/>
    <w:rsid w:val="39393133"/>
    <w:rsid w:val="39A732FF"/>
    <w:rsid w:val="3BCC091D"/>
    <w:rsid w:val="445215D1"/>
    <w:rsid w:val="44A03365"/>
    <w:rsid w:val="470F3177"/>
    <w:rsid w:val="4BB049C6"/>
    <w:rsid w:val="540B016D"/>
    <w:rsid w:val="549C7B18"/>
    <w:rsid w:val="584925C7"/>
    <w:rsid w:val="5A436D23"/>
    <w:rsid w:val="5A562C5C"/>
    <w:rsid w:val="5AC25D4B"/>
    <w:rsid w:val="5FC437F8"/>
    <w:rsid w:val="630D1CE1"/>
    <w:rsid w:val="64B95668"/>
    <w:rsid w:val="669F62F2"/>
    <w:rsid w:val="67006253"/>
    <w:rsid w:val="68F256F8"/>
    <w:rsid w:val="71AD4110"/>
    <w:rsid w:val="73574DF9"/>
    <w:rsid w:val="76F25B9A"/>
    <w:rsid w:val="772D5A32"/>
    <w:rsid w:val="7AD46CEF"/>
    <w:rsid w:val="7DA76417"/>
    <w:rsid w:val="7E8F7A38"/>
    <w:rsid w:val="7E9B66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5">
    <w:name w:val="Default Paragraph Font"/>
    <w:semiHidden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Normal (Web)"/>
    <w:basedOn w:val="1"/>
    <w:qFormat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table" w:styleId="4">
    <w:name w:val="Table Grid"/>
    <w:basedOn w:val="3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7" Type="http://schemas.openxmlformats.org/officeDocument/2006/relationships/fontTable" Target="fontTable.xml"/><Relationship Id="rId26" Type="http://schemas.openxmlformats.org/officeDocument/2006/relationships/numbering" Target="numbering.xml"/><Relationship Id="rId25" Type="http://schemas.openxmlformats.org/officeDocument/2006/relationships/customXml" Target="../customXml/item1.xml"/><Relationship Id="rId24" Type="http://schemas.openxmlformats.org/officeDocument/2006/relationships/image" Target="media/image21.png"/><Relationship Id="rId23" Type="http://schemas.openxmlformats.org/officeDocument/2006/relationships/image" Target="media/image20.png"/><Relationship Id="rId22" Type="http://schemas.openxmlformats.org/officeDocument/2006/relationships/image" Target="media/image19.png"/><Relationship Id="rId21" Type="http://schemas.openxmlformats.org/officeDocument/2006/relationships/image" Target="media/image18.png"/><Relationship Id="rId20" Type="http://schemas.openxmlformats.org/officeDocument/2006/relationships/image" Target="media/image17.png"/><Relationship Id="rId2" Type="http://schemas.openxmlformats.org/officeDocument/2006/relationships/settings" Target="settings.xml"/><Relationship Id="rId19" Type="http://schemas.openxmlformats.org/officeDocument/2006/relationships/image" Target="media/image16.png"/><Relationship Id="rId18" Type="http://schemas.openxmlformats.org/officeDocument/2006/relationships/image" Target="media/image15.png"/><Relationship Id="rId17" Type="http://schemas.openxmlformats.org/officeDocument/2006/relationships/image" Target="media/image14.png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5</TotalTime>
  <ScaleCrop>false</ScaleCrop>
  <LinksUpToDate>false</LinksUpToDate>
  <CharactersWithSpaces>0</CharactersWithSpaces>
  <Application>WPS Office_11.1.0.10314_F1E327BC-269C-435d-A152-05C5408002CA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2021-05-25T07:33:00Z</dcterms:created>
  <dc:creator>梦梦哒</dc:creator>
  <cp:lastModifiedBy>梓钰~</cp:lastModifiedBy>
  <dcterms:modified xsi:type="dcterms:W3CDTF">2021-05-28T12:05:50Z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2052-11.1.0.10314</vt:lpwstr>
  </property>
  <property fmtid="{D5CDD505-2E9C-101B-9397-08002B2CF9AE}" pid="3" name="ICV">
    <vt:lpwstr>CBE1068649794229A0DE9E649B6256E4</vt:lpwstr>
  </property>
</Properties>
</file>