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fen-rakkaa-defence-companion-v15-final"/>
    <w:p>
      <w:pPr>
        <w:pStyle w:val="Heading1"/>
      </w:pPr>
      <w:r>
        <w:t xml:space="preserve">FEN RAKKAA DEFENCE COMPANION (v15 final)</w:t>
      </w:r>
    </w:p>
    <w:bookmarkStart w:id="20" w:name="X7044eebca6de51f94f45a18d90a92bbaf37a5b8"/>
    <w:p>
      <w:pPr>
        <w:pStyle w:val="Heading3"/>
      </w:pPr>
      <w:r>
        <w:t xml:space="preserve">Oral defence, 15 August 2026 | PTMT9002 | Hussain Shaany S2610358</w:t>
      </w:r>
    </w:p>
    <w:p>
      <w:pPr>
        <w:pStyle w:val="FirstParagraph"/>
      </w:pPr>
      <w:r>
        <w:t xml:space="preserve">How to use this: each section gives you WHAT the document says, WHY it is designed that way, HOW the numbers or logic were built, the EVIDENCE with exact references, the ALTERNATIVES you rejected, and the QUESTIONS you are most likely to face with speakable answers. Answers are written the way you would say them out loud. Practise saying them, not reading them.</w:t>
      </w:r>
    </w:p>
    <w:p>
      <w:r>
        <w:pict>
          <v:rect style="width:0;height:1.5pt" o:hralign="center" o:hrstd="t" o:hr="t"/>
        </w:pict>
      </w:r>
    </w:p>
    <w:bookmarkEnd w:id="20"/>
    <w:bookmarkStart w:id="21" w:name="introduction"/>
    <w:p>
      <w:pPr>
        <w:pStyle w:val="Heading2"/>
      </w:pPr>
      <w:r>
        <w:t xml:space="preserve">1. INTRODUCTION</w:t>
      </w:r>
    </w:p>
    <w:p>
      <w:pPr>
        <w:pStyle w:val="FirstParagraph"/>
      </w:pPr>
      <w:r>
        <w:rPr>
          <w:bCs/>
          <w:b/>
        </w:rPr>
        <w:t xml:space="preserve">WHAT it says.</w:t>
      </w:r>
      <w:r>
        <w:t xml:space="preserve"> </w:t>
      </w:r>
      <w:r>
        <w:t xml:space="preserve">MWSC earns in rufiyaa, pays for imports in dollars, and the Business Plan 2026 names the USD exchange rate crisis as the top corporate challenge. Fen Rakkaa is a twelve-month, MVR 4.5 million programme with three thrusts: earn dollars, cut dollar spending, govern FX risk. The report then follows the assignment structure: organisation, proposal document, options, recommendation, logframe, risk plan.</w:t>
      </w:r>
    </w:p>
    <w:p>
      <w:pPr>
        <w:pStyle w:val="BodyText"/>
      </w:pPr>
      <w:r>
        <w:rPr>
          <w:bCs/>
          <w:b/>
        </w:rPr>
        <w:t xml:space="preserve">WHY this design.</w:t>
      </w:r>
      <w:r>
        <w:t xml:space="preserve"> </w:t>
      </w:r>
      <w:r>
        <w:t xml:space="preserve">The introduction makes exactly three moves and stops: problem, project, roadmap. It does not argue the case yet; that is Section 2’s job. The three-thrust framing (earn, cut, govern) is the spine of the whole document; every workstream, objective and risk hangs off one of the three.</w:t>
      </w:r>
    </w:p>
    <w:p>
      <w:pPr>
        <w:pStyle w:val="BodyText"/>
      </w:pPr>
      <w:r>
        <w:rPr>
          <w:bCs/>
          <w:b/>
        </w:rPr>
        <w:t xml:space="preserve">WHERE the problem statement comes from.</w:t>
      </w:r>
      <w:r>
        <w:t xml:space="preserve"> </w:t>
      </w:r>
      <w:r>
        <w:t xml:space="preserve">The claim that this is the top corporate challenge is not your judgement, it is MWSC’s own: the Business Plan 2026 lists the USD exchange rate crisis first among corporate challenges (MWSC, 2025a). That sourcing matters because it means the project responds to the organisation’s stated priority, not an invented one.</w:t>
      </w:r>
    </w:p>
    <w:p>
      <w:pPr>
        <w:pStyle w:val="BodyText"/>
      </w:pPr>
      <w:r>
        <w:rPr>
          <w:bCs/>
          <w:b/>
        </w:rPr>
        <w:t xml:space="preserve">Likely questions.</w:t>
      </w:r>
    </w:p>
    <w:p>
      <w:pPr>
        <w:pStyle w:val="BodyText"/>
      </w:pPr>
      <w:r>
        <w:rPr>
          <w:iCs/>
          <w:i/>
        </w:rPr>
        <w:t xml:space="preserve">Q: Why this project and not something bigger, like a desalination expansion?</w:t>
      </w:r>
      <w:r>
        <w:t xml:space="preserve"> </w:t>
      </w:r>
      <w:r>
        <w:t xml:space="preserve">A: Because the Business Plan itself ranks the currency crisis as challenge number one, and capital projects are downstream of it: every capital project gets more expensive while the FX problem is unmanaged. Fixing the pricing of everything else comes before building more of anything.</w:t>
      </w:r>
    </w:p>
    <w:p>
      <w:pPr>
        <w:pStyle w:val="BodyText"/>
      </w:pPr>
      <w:r>
        <w:rPr>
          <w:iCs/>
          <w:i/>
        </w:rPr>
        <w:t xml:space="preserve">Q: What does Fen Rakkaa mean and why a Dhivehi name?</w:t>
      </w:r>
      <w:r>
        <w:t xml:space="preserve"> </w:t>
      </w:r>
      <w:r>
        <w:t xml:space="preserve">A: It means safeguarding water. The name signals that this is not a finance-department side project; currency risk now threatens the core mission, which is water security.</w:t>
      </w:r>
    </w:p>
    <w:p>
      <w:pPr>
        <w:pStyle w:val="BodyText"/>
      </w:pPr>
      <w:r>
        <w:rPr>
          <w:iCs/>
          <w:i/>
        </w:rPr>
        <w:t xml:space="preserve">Q: In one sentence, what is the project?</w:t>
      </w:r>
      <w:r>
        <w:t xml:space="preserve"> </w:t>
      </w:r>
      <w:r>
        <w:t xml:space="preserve">A: A twelve-month, four-and-a-half-million-rufiyaa programme that reduces MWSC’s net dollar exposure by earning dollars, spending fewer dollars, and putting permanent governance around FX risk.</w:t>
      </w:r>
    </w:p>
    <w:p>
      <w:r>
        <w:pict>
          <v:rect style="width:0;height:1.5pt" o:hralign="center" o:hrstd="t" o:hr="t"/>
        </w:pict>
      </w:r>
    </w:p>
    <w:bookmarkEnd w:id="21"/>
    <w:bookmarkStart w:id="22" w:name="organisational-context"/>
    <w:p>
      <w:pPr>
        <w:pStyle w:val="Heading2"/>
      </w:pPr>
      <w:r>
        <w:t xml:space="preserve">2.1 ORGANISATIONAL CONTEXT</w:t>
      </w:r>
    </w:p>
    <w:p>
      <w:pPr>
        <w:pStyle w:val="FirstParagraph"/>
      </w:pPr>
      <w:r>
        <w:rPr>
          <w:bCs/>
          <w:b/>
        </w:rPr>
        <w:t xml:space="preserve">WHAT it says.</w:t>
      </w:r>
      <w:r>
        <w:t xml:space="preserve"> </w:t>
      </w:r>
      <w:r>
        <w:t xml:space="preserve">MWSC: est. 1995, SOE, 80% Government / 20% Hitachi, eight operation centres, serves over half the population, sole local PVC and PE pipe manufacturer, engineering projects for government and resort clients. Mission:</w:t>
      </w:r>
      <w:r>
        <w:t xml:space="preserve"> </w:t>
      </w:r>
      <w:r>
        <w:t xml:space="preserve">“</w:t>
      </w:r>
      <w:r>
        <w:t xml:space="preserve">to help our communities lead a PURE life.</w:t>
      </w:r>
      <w:r>
        <w:t xml:space="preserve">”</w:t>
      </w:r>
      <w:r>
        <w:t xml:space="preserve"> </w:t>
      </w:r>
      <w:r>
        <w:t xml:space="preserve">Audited FY2024: revenue MVR 1.58 billion, net profit MVR 217.5 million. Plan 2026: revenue MVR 1.6 billion, net profit MVR 186.9 million, and</w:t>
      </w:r>
      <w:r>
        <w:t xml:space="preserve"> </w:t>
      </w:r>
      <w:r>
        <w:t xml:space="preserve">“</w:t>
      </w:r>
      <w:r>
        <w:t xml:space="preserve">build strong inroads toward US dollar revenue streams.</w:t>
      </w:r>
      <w:r>
        <w:t xml:space="preserve">”</w:t>
      </w:r>
    </w:p>
    <w:p>
      <w:pPr>
        <w:pStyle w:val="BodyText"/>
      </w:pPr>
      <w:r>
        <w:rPr>
          <w:bCs/>
          <w:b/>
        </w:rPr>
        <w:t xml:space="preserve">WHY these facts and not others.</w:t>
      </w:r>
      <w:r>
        <w:t xml:space="preserve"> </w:t>
      </w:r>
      <w:r>
        <w:t xml:space="preserve">Every fact is load-bearing. The ownership split explains SOE approval constraints later.</w:t>
      </w:r>
      <w:r>
        <w:t xml:space="preserve"> </w:t>
      </w:r>
      <w:r>
        <w:t xml:space="preserve">“</w:t>
      </w:r>
      <w:r>
        <w:t xml:space="preserve">Sole pipe manufacturer</w:t>
      </w:r>
      <w:r>
        <w:t xml:space="preserve">”</w:t>
      </w:r>
      <w:r>
        <w:t xml:space="preserve"> </w:t>
      </w:r>
      <w:r>
        <w:t xml:space="preserve">and</w:t>
      </w:r>
      <w:r>
        <w:t xml:space="preserve"> </w:t>
      </w:r>
      <w:r>
        <w:t xml:space="preserve">“</w:t>
      </w:r>
      <w:r>
        <w:t xml:space="preserve">engineering projects for resort clients</w:t>
      </w:r>
      <w:r>
        <w:t xml:space="preserve">”</w:t>
      </w:r>
      <w:r>
        <w:t xml:space="preserve"> </w:t>
      </w:r>
      <w:r>
        <w:t xml:space="preserve">set up the dollar-revenue opportunity in the RCA. The audited FY2024 numbers are the baseline every later comparison uses. The plan’s own words about dollar revenue prove the strategy already points where the project goes.</w:t>
      </w:r>
    </w:p>
    <w:p>
      <w:pPr>
        <w:pStyle w:val="BodyText"/>
      </w:pPr>
      <w:r>
        <w:rPr>
          <w:bCs/>
          <w:b/>
        </w:rPr>
        <w:t xml:space="preserve">EVIDENCE.</w:t>
      </w:r>
      <w:r>
        <w:t xml:space="preserve"> </w:t>
      </w:r>
      <w:r>
        <w:t xml:space="preserve">Corporate facts and mission: MWSC (2025b) Corporate Profile. Audited FY2024 figures: MWSC/AGO (2025) Annual Report 2024, pp.31 to 36. Plan targets and the dollar-revenue quote: MWSC (2025a) Business Plan 2026, pp.11 to 12.</w:t>
      </w:r>
    </w:p>
    <w:p>
      <w:pPr>
        <w:pStyle w:val="BodyText"/>
      </w:pPr>
      <w:r>
        <w:rPr>
          <w:bCs/>
          <w:b/>
        </w:rPr>
        <w:t xml:space="preserve">The evidence-base sentence.</w:t>
      </w:r>
      <w:r>
        <w:t xml:space="preserve"> </w:t>
      </w:r>
      <w:r>
        <w:t xml:space="preserve">The paragraph closing 2.1 states the evidence hierarchy: FY2024 audited, FY2025 as audited comparatives inside the Q2 2026 quarterly report, in-year 2026 unaudited, all figures Company not Group. This one sentence pre-answers every</w:t>
      </w:r>
      <w:r>
        <w:t xml:space="preserve"> </w:t>
      </w:r>
      <w:r>
        <w:t xml:space="preserve">“</w:t>
      </w:r>
      <w:r>
        <w:t xml:space="preserve">how reliable is that number</w:t>
      </w:r>
      <w:r>
        <w:t xml:space="preserve">”</w:t>
      </w:r>
      <w:r>
        <w:t xml:space="preserve"> </w:t>
      </w:r>
      <w:r>
        <w:t xml:space="preserve">question in the defence. Point to it whenever data quality is challenged.</w:t>
      </w:r>
    </w:p>
    <w:p>
      <w:pPr>
        <w:pStyle w:val="BodyText"/>
      </w:pPr>
      <w:r>
        <w:rPr>
          <w:bCs/>
          <w:b/>
        </w:rPr>
        <w:t xml:space="preserve">Likely questions.</w:t>
      </w:r>
    </w:p>
    <w:p>
      <w:pPr>
        <w:pStyle w:val="BodyText"/>
      </w:pPr>
      <w:r>
        <w:rPr>
          <w:iCs/>
          <w:i/>
        </w:rPr>
        <w:t xml:space="preserve">Q: Why do you rely on 2024 accounts when it is now 2026?</w:t>
      </w:r>
      <w:r>
        <w:t xml:space="preserve"> </w:t>
      </w:r>
      <w:r>
        <w:t xml:space="preserve">A: FY2024 is the latest audited annual report. FY2025 exists only as audited comparatives inside the Q2 2026 quarterly report, and 2026 figures are unaudited management accounts. I use each at the level of confidence it deserves and I say which is which throughout.</w:t>
      </w:r>
    </w:p>
    <w:p>
      <w:pPr>
        <w:pStyle w:val="BodyText"/>
      </w:pPr>
      <w:r>
        <w:rPr>
          <w:iCs/>
          <w:i/>
        </w:rPr>
        <w:t xml:space="preserve">Q: Company or Group figures?</w:t>
      </w:r>
      <w:r>
        <w:t xml:space="preserve"> </w:t>
      </w:r>
      <w:r>
        <w:t xml:space="preserve">A: Company, consistently, so every ratio uses the same basis. Mixing bases is how comparisons silently break.</w:t>
      </w:r>
    </w:p>
    <w:p>
      <w:pPr>
        <w:pStyle w:val="BodyText"/>
      </w:pPr>
      <w:r>
        <w:rPr>
          <w:iCs/>
          <w:i/>
        </w:rPr>
        <w:t xml:space="preserve">Q: Where does the 186.9 million profit target come from?</w:t>
      </w:r>
      <w:r>
        <w:t xml:space="preserve"> </w:t>
      </w:r>
      <w:r>
        <w:t xml:space="preserve">A: The Business Plan 2026 states it directly. It is also consistent with the plan setting the 2026 profit target about 14% below the audited 2024 result of 217.5 million, which is itself evidence the company expects the squeeze to continue.</w:t>
      </w:r>
    </w:p>
    <w:p>
      <w:r>
        <w:pict>
          <v:rect style="width:0;height:1.5pt" o:hralign="center" o:hrstd="t" o:hr="t"/>
        </w:pict>
      </w:r>
    </w:p>
    <w:bookmarkEnd w:id="22"/>
    <w:bookmarkStart w:id="23" w:name="the-strategic-problem"/>
    <w:p>
      <w:pPr>
        <w:pStyle w:val="Heading2"/>
      </w:pPr>
      <w:r>
        <w:t xml:space="preserve">2.2 THE STRATEGIC PROBLEM</w:t>
      </w:r>
    </w:p>
    <w:p>
      <w:pPr>
        <w:pStyle w:val="FirstParagraph"/>
      </w:pPr>
      <w:r>
        <w:rPr>
          <w:bCs/>
          <w:b/>
        </w:rPr>
        <w:t xml:space="preserve">WHAT it says.</w:t>
      </w:r>
      <w:r>
        <w:t xml:space="preserve"> </w:t>
      </w:r>
      <w:r>
        <w:t xml:space="preserve">Two layers: the national layer and the company layer. National: the parallel rate hit a record MVR 22.25 on 11 August 2026, a 44.29% premium over the 15.42 peg, rising year on year, so structural not a spike; external debt service around USD 1.7 billion in 2026; reserves fell to about USD 718 million after the USD 500 million sukuk repayment in April 2026, near 1.4 months of import cover; banks rationing dollars. Company: MWSC earns MVR, buys membranes, tanks, pumps, valves, meters in USD; audited strain markers (cash 50.2m vs receivables 877.8m; 192.1m impairment flagged as a Key Audit Matter; net finance costs 55.9m); trajectory (FY2025 revenue 1.37bn, minus 13%, only 62% of the 2.2bn goal; PAT 146m, about a third of 2024; H1 2026 revenue 6.4% under budget, gap widening 1.9% to 10.9%).</w:t>
      </w:r>
    </w:p>
    <w:p>
      <w:pPr>
        <w:pStyle w:val="BodyText"/>
      </w:pPr>
      <w:r>
        <w:rPr>
          <w:bCs/>
          <w:b/>
        </w:rPr>
        <w:t xml:space="preserve">WHY structured national-then-company.</w:t>
      </w:r>
      <w:r>
        <w:t xml:space="preserve"> </w:t>
      </w:r>
      <w:r>
        <w:t xml:space="preserve">The national layer proves the problem is real and external; the company layer proves MWSC is specifically exposed and already bleeding. Without the first, the project looks paranoid; without the second, it looks like someone else’s problem.</w:t>
      </w:r>
    </w:p>
    <w:p>
      <w:pPr>
        <w:pStyle w:val="BodyText"/>
      </w:pPr>
      <w:r>
        <w:rPr>
          <w:bCs/>
          <w:b/>
        </w:rPr>
        <w:t xml:space="preserve">HOW the trajectory argument works.</w:t>
      </w:r>
      <w:r>
        <w:t xml:space="preserve"> </w:t>
      </w:r>
      <w:r>
        <w:t xml:space="preserve">It is a three-point downward line: full-year 2025 worse than 2024, H1 2026 worse than its own budget, and the gap widening quarter on quarter inside 2026. Three independent measurements pointing the same way is what makes</w:t>
      </w:r>
      <w:r>
        <w:t xml:space="preserve"> </w:t>
      </w:r>
      <w:r>
        <w:t xml:space="preserve">“</w:t>
      </w:r>
      <w:r>
        <w:t xml:space="preserve">structural, not a spike</w:t>
      </w:r>
      <w:r>
        <w:t xml:space="preserve">”</w:t>
      </w:r>
      <w:r>
        <w:t xml:space="preserve"> </w:t>
      </w:r>
      <w:r>
        <w:t xml:space="preserve">defensible.</w:t>
      </w:r>
    </w:p>
    <w:p>
      <w:pPr>
        <w:pStyle w:val="BodyText"/>
      </w:pPr>
      <w:r>
        <w:rPr>
          <w:bCs/>
          <w:b/>
        </w:rPr>
        <w:t xml:space="preserve">EVIDENCE, precisely.</w:t>
      </w:r>
      <w:r>
        <w:t xml:space="preserve"> </w:t>
      </w:r>
      <w:r>
        <w:t xml:space="preserve">- Rate 22.25, +44.29%, and the year-by-year rise: Adhadhu (2026) Dollar Tracker, captured 11 August 2026, shown as Figure 1.</w:t>
      </w:r>
      <w:r>
        <w:t xml:space="preserve"> </w:t>
      </w:r>
      <w:r>
        <w:t xml:space="preserve">- Debt service ~USD 1.7bn and 1.4 months import cover: World Bank (2026) Maldives Development Update; reserves after the sukuk: Ministry of Finance and Planning (2026).</w:t>
      </w:r>
      <w:r>
        <w:t xml:space="preserve"> </w:t>
      </w:r>
      <w:r>
        <w:t xml:space="preserve">- Bank restrictions: Maldives Independent (2026), 23 June article.</w:t>
      </w:r>
      <w:r>
        <w:t xml:space="preserve"> </w:t>
      </w:r>
      <w:r>
        <w:t xml:space="preserve">- Cash 50.2m, receivables 877.8m, impairment 192.1m as Key Audit Matter, finance costs 55.9m: MWSC/AGO (2025), the KAM at p.40.</w:t>
      </w:r>
      <w:r>
        <w:t xml:space="preserve"> </w:t>
      </w:r>
      <w:r>
        <w:t xml:space="preserve">- FY2025 comparatives (1.37bn revenue, 146m PAT) and the margin fall 57.3% to 49.8%: MWSC (2026) Quarterly Report Q2 2026. H1 budget figures 800.8m vs 749.3m actual: budget from MWSC (2025a) p.13, actual from MWSC (2026).</w:t>
      </w:r>
    </w:p>
    <w:p>
      <w:pPr>
        <w:pStyle w:val="BodyText"/>
      </w:pPr>
      <w:r>
        <w:rPr>
          <w:bCs/>
          <w:b/>
        </w:rPr>
        <w:t xml:space="preserve">A distinction to hold ready.</w:t>
      </w:r>
      <w:r>
        <w:t xml:space="preserve"> </w:t>
      </w:r>
      <w:r>
        <w:t xml:space="preserve">The fishbone shows</w:t>
      </w:r>
      <w:r>
        <w:t xml:space="preserve"> </w:t>
      </w:r>
      <w:r>
        <w:t xml:space="preserve">“</w:t>
      </w:r>
      <w:r>
        <w:t xml:space="preserve">~USD 1.0bn debt service remaining 2026</w:t>
      </w:r>
      <w:r>
        <w:t xml:space="preserve">”</w:t>
      </w:r>
      <w:r>
        <w:t xml:space="preserve"> </w:t>
      </w:r>
      <w:r>
        <w:t xml:space="preserve">while the text says USD 1.7 billion for 2026. Both are right: 1.7 is the full-year estimate, roughly 1.0 was what remained at mid-year after the April sukuk repayment. If anyone probes the difference, that is the answer, total versus remaining.</w:t>
      </w:r>
    </w:p>
    <w:p>
      <w:pPr>
        <w:pStyle w:val="BodyText"/>
      </w:pPr>
      <w:r>
        <w:rPr>
          <w:bCs/>
          <w:b/>
        </w:rPr>
        <w:t xml:space="preserve">Likely questions.</w:t>
      </w:r>
    </w:p>
    <w:p>
      <w:pPr>
        <w:pStyle w:val="BodyText"/>
      </w:pPr>
      <w:r>
        <w:rPr>
          <w:iCs/>
          <w:i/>
        </w:rPr>
        <w:t xml:space="preserve">Q: The parallel market is technically illegal. Why is it valid evidence?</w:t>
      </w:r>
      <w:r>
        <w:t xml:space="preserve"> </w:t>
      </w:r>
      <w:r>
        <w:t xml:space="preserve">A: Because it is the price at which dollars actually clear. The audited accounts and quarterly margins corroborate that MWSC’s real costs move with that rate, not the official one. Planning at 15.42 when procurement happens near 22 is the fiction; the tracker is the reality.</w:t>
      </w:r>
    </w:p>
    <w:p>
      <w:pPr>
        <w:pStyle w:val="BodyText"/>
      </w:pPr>
      <w:r>
        <w:rPr>
          <w:iCs/>
          <w:i/>
        </w:rPr>
        <w:t xml:space="preserve">Q: Could the squeeze in FY2025 be caused by something other than FX, like demand?</w:t>
      </w:r>
      <w:r>
        <w:t xml:space="preserve"> </w:t>
      </w:r>
      <w:r>
        <w:t xml:space="preserve">A: Partly, and I do not claim FX explains everything. That is why the impact indicator in the logframe is FX loss avoided rather than company profit: the project only claims the slice it controls. But the gross margin falling 7.5 points inside six months while input prices in dollars rise is exactly the FX signature.</w:t>
      </w:r>
    </w:p>
    <w:p>
      <w:pPr>
        <w:pStyle w:val="BodyText"/>
      </w:pPr>
      <w:r>
        <w:rPr>
          <w:iCs/>
          <w:i/>
        </w:rPr>
        <w:t xml:space="preserve">Q: What if the government devalues the peg?</w:t>
      </w:r>
      <w:r>
        <w:t xml:space="preserve"> </w:t>
      </w:r>
      <w:r>
        <w:t xml:space="preserve">A: Then the numbers change but the case strengthens: a repriced peg makes FX governance more necessary, not less. That is R1 in the register, with a banded planning rate and a 30-day re-baseline trigger already designed.</w:t>
      </w:r>
    </w:p>
    <w:p>
      <w:r>
        <w:pict>
          <v:rect style="width:0;height:1.5pt" o:hralign="center" o:hrstd="t" o:hr="t"/>
        </w:pict>
      </w:r>
    </w:p>
    <w:bookmarkEnd w:id="23"/>
    <w:bookmarkStart w:id="24" w:name="X79be94ebf1d0ca1f2a737fcfdc587badd4365e2"/>
    <w:p>
      <w:pPr>
        <w:pStyle w:val="Heading2"/>
      </w:pPr>
      <w:r>
        <w:t xml:space="preserve">2.3 STRATEGIC CONTRIBUTION AND COST OF INACTION (+ TABLE 1, ASSUMPTIONS)</w:t>
      </w:r>
    </w:p>
    <w:p>
      <w:pPr>
        <w:pStyle w:val="FirstParagraph"/>
      </w:pPr>
      <w:r>
        <w:rPr>
          <w:bCs/>
          <w:b/>
        </w:rPr>
        <w:t xml:space="preserve">WHAT it says.</w:t>
      </w:r>
      <w:r>
        <w:t xml:space="preserve"> </w:t>
      </w:r>
      <w:r>
        <w:t xml:space="preserve">The demo-register case for change: paramount strategic importance, not merely a treasury adjustment, fundamental requirement for three key reasons: Strategic Alignment (delivers plan Goals 2.3.4, 1.5.10, 3.3.2), Financial Protection (inaction costs MVR 40 to 70 million a year, plus operational risk to water supply), Capability Building (durable, hard-to-copy capabilities on the financial element of the strategy mix). Then Table 1, the assumptions register: A1 rate, A2 exposure, A3 benefits.</w:t>
      </w:r>
    </w:p>
    <w:p>
      <w:pPr>
        <w:pStyle w:val="BodyText"/>
      </w:pPr>
      <w:r>
        <w:rPr>
          <w:bCs/>
          <w:b/>
        </w:rPr>
        <w:t xml:space="preserve">WHY three reasons and these three.</w:t>
      </w:r>
      <w:r>
        <w:t xml:space="preserve"> </w:t>
      </w:r>
      <w:r>
        <w:t xml:space="preserve">They cover the three tests any investment case faces: does it fit strategy, does it protect money, does it build something lasting. Alignment cites the plan’s own goal numbers so the marker can verify the fit in the source. Protection quantifies the do-nothing cost, which is what makes Option A comparable later. Capability invokes the resource-based view: what survives the project is the point.</w:t>
      </w:r>
    </w:p>
    <w:p>
      <w:pPr>
        <w:pStyle w:val="BodyText"/>
      </w:pPr>
      <w:r>
        <w:rPr>
          <w:bCs/>
          <w:b/>
        </w:rPr>
        <w:t xml:space="preserve">EVIDENCE.</w:t>
      </w:r>
      <w:r>
        <w:t xml:space="preserve"> </w:t>
      </w:r>
      <w:r>
        <w:t xml:space="preserve">Goals 2.3.4 (dollar billing), 1.5.10 (USD share of cash reserve), 3.3.2 (legal review of foreign-currency contracts): MWSC (2025a), pp.26, 32 and 40 respectively. Capability theory: Barney (1991); strategy mix: Callahan and Brooks (2008).</w:t>
      </w:r>
    </w:p>
    <w:p>
      <w:pPr>
        <w:pStyle w:val="BodyText"/>
      </w:pPr>
      <w:r>
        <w:rPr>
          <w:bCs/>
          <w:b/>
        </w:rPr>
        <w:t xml:space="preserve">Table 1, how each assumption was built.</w:t>
      </w:r>
      <w:r>
        <w:t xml:space="preserve"> </w:t>
      </w:r>
      <w:r>
        <w:t xml:space="preserve">-</w:t>
      </w:r>
      <w:r>
        <w:t xml:space="preserve"> </w:t>
      </w:r>
      <w:r>
        <w:rPr>
          <w:bCs/>
          <w:b/>
        </w:rPr>
        <w:t xml:space="preserve">A1, rate 22.25 (band 22.00 to 22.50).</w:t>
      </w:r>
      <w:r>
        <w:t xml:space="preserve"> </w:t>
      </w:r>
      <w:r>
        <w:t xml:space="preserve">Source: Adhadhu, 11 August 2026. Premium arithmetic: 22.25 / 15.42 = 1.4429, so 44.3%. The band is built from observed drift: the rate opened 2026 at 20.50 and reached 22.25 by August, about 0.25 per month, so the band is the observed rate plus and minus one month of average drift (±1.1%), reviewed quarterly with a 30-day re-baseline on any peg announcement (R1). The band is the planning instrument; robustness is tested separately at ±10% (Appendix A shows the mapping: a 10% rate fall equals about 48% realisation, still nearly three times break-even).</w:t>
      </w:r>
      <w:r>
        <w:t xml:space="preserve"> </w:t>
      </w:r>
      <w:r>
        <w:t xml:space="preserve">-</w:t>
      </w:r>
      <w:r>
        <w:t xml:space="preserve"> </w:t>
      </w:r>
      <w:r>
        <w:rPr>
          <w:bCs/>
          <w:b/>
        </w:rPr>
        <w:t xml:space="preserve">A2, exposure, planning estimate MVR 55m per annum.</w:t>
      </w:r>
      <w:r>
        <w:t xml:space="preserve"> </w:t>
      </w:r>
      <w:r>
        <w:t xml:space="preserve">Built in three steps. Step one, base: disclosed 2024 operating costs MVR 935.3m (MWSC/AGO, 2025, p.34) times an assumed 20 to 25% dollar-linked share = MVR 187 to 234m. Step two, two measurement bases: against the peg at the 44.3% premium gives 83 to 104m; as incremental deterioration against 2024 realised rates of about MVR 18, a 23.5% uplift to today’s parallel rate, gives 44 to 55m. Step three, the choice: 55m is the ceiling of the conservative realised-rate base, not a midpoint. Anything above 55 requires weight on the peg base, which overstates for a company that has not transacted at the peg for years; anything below ignores that rates have kept deteriorating since 2024. Averaging the two bases would give 71.5m, so adopting 55 deliberately leaves about a quarter of the arguable exposure out of the case. Full derivation is Appendix B.</w:t>
      </w:r>
      <w:r>
        <w:t xml:space="preserve"> </w:t>
      </w:r>
      <w:r>
        <w:t xml:space="preserve">-</w:t>
      </w:r>
      <w:r>
        <w:t xml:space="preserve"> </w:t>
      </w:r>
      <w:r>
        <w:rPr>
          <w:bCs/>
          <w:b/>
        </w:rPr>
        <w:t xml:space="preserve">A3, benefits 25 to 40m at maturity.</w:t>
      </w:r>
      <w:r>
        <w:t xml:space="preserve"> </w:t>
      </w:r>
      <w:r>
        <w:t xml:space="preserve">A capture band on A2, derived in three steps. Floor: maturity cannot deliver less than the Year 3 ramp already assumes, 45% of 55 = 24.75, rounded to 25. Ceiling: full delivery of all four objectives taken as about 73% capture, 0.73 times 55 is about 40; never 100%, because the national scarcity and the government’s rufiyaa contracts stay outside reach. Cross-check bottom-up: procurement anchored to MWSC’s own 5% savings goal, 5% of 187 to 234m = 9 to 12m (MWSC, 2025a); the remaining 14 to 28m is premium avoided on dollar income plus clause-protected margins; the components sum to 25 to 40. The DCF then applies the more conservative ramp anyway, reaching only 45% by Year 3, and is tested down to 17% realisation, the break-even.</w:t>
      </w:r>
    </w:p>
    <w:p>
      <w:pPr>
        <w:pStyle w:val="BodyText"/>
      </w:pPr>
      <w:r>
        <w:rPr>
          <w:bCs/>
          <w:b/>
        </w:rPr>
        <w:t xml:space="preserve">Why the document says planning estimate, not central.</w:t>
      </w:r>
      <w:r>
        <w:t xml:space="preserve"> </w:t>
      </w:r>
      <w:r>
        <w:t xml:space="preserve">Earlier drafts called 55 central; checked against the arithmetic, that word fails: the midpoint of the two bases is 71.5, and 55 is the centre of nothing computable. The final wording says what is true: 55 is the ceiling of the conservative realised-rate base, 23% below the blended midpoint. That gives you the strongest line in the financial defence: had the two bases simply been averaged, the model would run on 71.5 million; it runs on 55, so the NPV of 33.4 million already excludes roughly a quarter of the defensible exposure, and the case still breaks even at 17% of it.</w:t>
      </w:r>
    </w:p>
    <w:p>
      <w:pPr>
        <w:pStyle w:val="BodyText"/>
      </w:pPr>
      <w:r>
        <w:rPr>
          <w:bCs/>
          <w:b/>
        </w:rPr>
        <w:t xml:space="preserve">ALTERNATIVES rejected.</w:t>
      </w:r>
      <w:r>
        <w:t xml:space="preserve"> </w:t>
      </w:r>
      <w:r>
        <w:t xml:space="preserve">Using published segment data: does not exist, MWSC does not disclose cost by currency. Commissioning a study first: delays action and duplicates the project’s own first deliverable. Using the peg base alone: overstates; using the realised base alone: understates; presenting both and choosing conservatively is the defensible middle.</w:t>
      </w:r>
    </w:p>
    <w:p>
      <w:pPr>
        <w:pStyle w:val="BodyText"/>
      </w:pPr>
      <w:r>
        <w:rPr>
          <w:bCs/>
          <w:b/>
        </w:rPr>
        <w:t xml:space="preserve">Likely questions.</w:t>
      </w:r>
    </w:p>
    <w:p>
      <w:pPr>
        <w:pStyle w:val="BodyText"/>
      </w:pPr>
      <w:r>
        <w:rPr>
          <w:iCs/>
          <w:i/>
        </w:rPr>
        <w:t xml:space="preserve">Q: Your whole financial case rests on an assumed 20 to 25%. How confident are you?</w:t>
      </w:r>
      <w:r>
        <w:t xml:space="preserve"> </w:t>
      </w:r>
      <w:r>
        <w:t xml:space="preserve">A: It is the softest input in the document and I say so in three places. That is exactly why the exposure register is the first deliverable: it replaces the assumption with measured values, and Gate 2 re-tests the business case on real data at month twelve. I am not asking the board to trust the estimate; I am asking them to fund the instrument that removes it.</w:t>
      </w:r>
    </w:p>
    <w:p>
      <w:pPr>
        <w:pStyle w:val="BodyText"/>
      </w:pPr>
      <w:r>
        <w:rPr>
          <w:iCs/>
          <w:i/>
        </w:rPr>
        <w:t xml:space="preserve">Q: You call 55 a planning estimate. Is it not just the top of your lower range? Why not the midpoint, 71.5?</w:t>
      </w:r>
      <w:r>
        <w:t xml:space="preserve"> </w:t>
      </w:r>
      <w:r>
        <w:t xml:space="preserve">A: Deliberately the top of the lower range. The realised base is the honest measurement method, because it only counts deterioration beyond what MWSC actually paid; its ceiling is the highest figure the cautious method supports. The midpoint of both bases would be 71.5, and choosing 55 instead leaves about a quarter of the arguable exposure out of the case on purpose. The model then breaks even at 17% of even that reduced figure.</w:t>
      </w:r>
    </w:p>
    <w:p>
      <w:pPr>
        <w:pStyle w:val="BodyText"/>
      </w:pPr>
      <w:r>
        <w:rPr>
          <w:iCs/>
          <w:i/>
        </w:rPr>
        <w:t xml:space="preserve">Q: Where does 40 to 70 in the text come from if A2 says 55?</w:t>
      </w:r>
      <w:r>
        <w:t xml:space="preserve"> </w:t>
      </w:r>
      <w:r>
        <w:t xml:space="preserve">A: 40 to 70 is the working range across both bases rounded for prose; 55 is the modelling figure. Range for honesty, point for arithmetic.</w:t>
      </w:r>
    </w:p>
    <w:p>
      <w:pPr>
        <w:pStyle w:val="BodyText"/>
      </w:pPr>
      <w:r>
        <w:rPr>
          <w:iCs/>
          <w:i/>
        </w:rPr>
        <w:t xml:space="preserve">Q: Why is the planning band only 22.00 to 22.50 when you stress-test plus and minus 10%?</w:t>
      </w:r>
      <w:r>
        <w:t xml:space="preserve"> </w:t>
      </w:r>
      <w:r>
        <w:t xml:space="preserve">A: Two instruments, two jobs. The band is what budgets and costings use: the observed rate plus one month of this year’s average drift, reviewed quarterly. The ten per cent is how far the model was pushed to prove the recommendation survives. A narrow band with a review cycle is operational discipline; the wide range is analytical honesty. One number cannot do both jobs.</w:t>
      </w:r>
    </w:p>
    <w:p>
      <w:pPr>
        <w:pStyle w:val="BodyText"/>
      </w:pPr>
      <w:r>
        <w:rPr>
          <w:iCs/>
          <w:i/>
        </w:rPr>
        <w:t xml:space="preserve">Q: How did you get benefits of 25 to 40 million at maturity?</w:t>
      </w:r>
      <w:r>
        <w:t xml:space="preserve"> </w:t>
      </w:r>
      <w:r>
        <w:t xml:space="preserve">A: It is a capture band on the 55 million exposure. The floor is what Year 3 already assumes, 45%, which is 25. The ceiling is about 73% capture with everything delivered, roughly 40, and it is never 100% because the national scarcity and the government’s rufiyaa book stay outside reach. The one component with a public anchor is procurement: MWSC’s own five per cent savings goal gives 9 to 12 million of it. Appendix B shows each step.</w:t>
      </w:r>
    </w:p>
    <w:p>
      <w:r>
        <w:pict>
          <v:rect style="width:0;height:1.5pt" o:hralign="center" o:hrstd="t" o:hr="t"/>
        </w:pict>
      </w:r>
    </w:p>
    <w:bookmarkEnd w:id="24"/>
    <w:bookmarkStart w:id="25" w:name="X30dffc480fe2252fda5550680fe3d1af55679f7"/>
    <w:p>
      <w:pPr>
        <w:pStyle w:val="Heading2"/>
      </w:pPr>
      <w:r>
        <w:t xml:space="preserve">3.1 SCOPE AND OBJECTIVES (TABLE 2 SCOPE STATEMENT, TABLE 3 SMART)</w:t>
      </w:r>
    </w:p>
    <w:p>
      <w:pPr>
        <w:pStyle w:val="FirstParagraph"/>
      </w:pPr>
      <w:r>
        <w:rPr>
          <w:bCs/>
          <w:b/>
        </w:rPr>
        <w:t xml:space="preserve">WHAT it says.</w:t>
      </w:r>
      <w:r>
        <w:t xml:space="preserve"> </w:t>
      </w:r>
      <w:r>
        <w:t xml:space="preserve">One framing paragraph (capabilities not assets; Table 2 defines scope, Table 3 the objectives), then the Project Scope Statement with eight elements, then four SMART objectives with baselines, targets, dates and verification.</w:t>
      </w:r>
    </w:p>
    <w:p>
      <w:pPr>
        <w:pStyle w:val="BodyText"/>
      </w:pPr>
      <w:r>
        <w:rPr>
          <w:bCs/>
          <w:b/>
        </w:rPr>
        <w:t xml:space="preserve">WHY a scope statement table.</w:t>
      </w:r>
      <w:r>
        <w:t xml:space="preserve"> </w:t>
      </w:r>
      <w:r>
        <w:t xml:space="preserve">It is the standard PM artefact; the brief’s definition checklist (objectives, deliverables, boundaries, constraints, assumptions) can be verified against it at a glance; and the acceptance-criteria row formally separates</w:t>
      </w:r>
      <w:r>
        <w:t xml:space="preserve"> </w:t>
      </w:r>
      <w:r>
        <w:t xml:space="preserve">“</w:t>
      </w:r>
      <w:r>
        <w:t xml:space="preserve">delivered</w:t>
      </w:r>
      <w:r>
        <w:t xml:space="preserve">”</w:t>
      </w:r>
      <w:r>
        <w:t xml:space="preserve"> </w:t>
      </w:r>
      <w:r>
        <w:t xml:space="preserve">from</w:t>
      </w:r>
      <w:r>
        <w:t xml:space="preserve"> </w:t>
      </w:r>
      <w:r>
        <w:t xml:space="preserve">“</w:t>
      </w:r>
      <w:r>
        <w:t xml:space="preserve">successful,</w:t>
      </w:r>
      <w:r>
        <w:t xml:space="preserve">”</w:t>
      </w:r>
      <w:r>
        <w:t xml:space="preserve"> </w:t>
      </w:r>
      <w:r>
        <w:t xml:space="preserve">which is the distinction the stage gates run on.</w:t>
      </w:r>
    </w:p>
    <w:p>
      <w:pPr>
        <w:pStyle w:val="BodyText"/>
      </w:pPr>
      <w:r>
        <w:rPr>
          <w:bCs/>
          <w:b/>
        </w:rPr>
        <w:t xml:space="preserve">Element-by-element rationale (compressed; full version in your notes from 13 August).</w:t>
      </w:r>
      <w:r>
        <w:t xml:space="preserve"> </w:t>
      </w:r>
      <w:r>
        <w:t xml:space="preserve">- Goal:</w:t>
      </w:r>
      <w:r>
        <w:t xml:space="preserve"> </w:t>
      </w:r>
      <w:r>
        <w:t xml:space="preserve">“</w:t>
      </w:r>
      <w:r>
        <w:t xml:space="preserve">net</w:t>
      </w:r>
      <w:r>
        <w:t xml:space="preserve">”</w:t>
      </w:r>
      <w:r>
        <w:t xml:space="preserve"> </w:t>
      </w:r>
      <w:r>
        <w:t xml:space="preserve">exposure because dollar revenue offsets spending; 0.29% of revenue is the proportionality argument; no new permanent staff kills the SOE headcount objection and keeps recurring cost at 1.2m.</w:t>
      </w:r>
      <w:r>
        <w:t xml:space="preserve"> </w:t>
      </w:r>
      <w:r>
        <w:t xml:space="preserve">- Deliverables: register/dashboard fixes measurement (kills A2 softness); billing framework + USD account + buffer is the revenue-side machinery and R2’s mitigation; planning-rate directive kills cause 2; clause library kills cause 3 and is reusable infrastructure.</w:t>
      </w:r>
      <w:r>
        <w:t xml:space="preserve"> </w:t>
      </w:r>
      <w:r>
        <w:t xml:space="preserve">- Acceptance criteria: binary, verifiable: dashboard live at 100% coverage; buffer policy EXCO-approved; directive issued; library in 100% of new tenders. Deliberately</w:t>
      </w:r>
      <w:r>
        <w:t xml:space="preserve"> </w:t>
      </w:r>
      <w:r>
        <w:t xml:space="preserve">“</w:t>
      </w:r>
      <w:r>
        <w:t xml:space="preserve">issued</w:t>
      </w:r>
      <w:r>
        <w:t xml:space="preserve">”</w:t>
      </w:r>
      <w:r>
        <w:t xml:space="preserve"> </w:t>
      </w:r>
      <w:r>
        <w:t xml:space="preserve">not</w:t>
      </w:r>
      <w:r>
        <w:t xml:space="preserve"> </w:t>
      </w:r>
      <w:r>
        <w:t xml:space="preserve">“</w:t>
      </w:r>
      <w:r>
        <w:t xml:space="preserve">complied with</w:t>
      </w:r>
      <w:r>
        <w:t xml:space="preserve">”</w:t>
      </w:r>
      <w:r>
        <w:t xml:space="preserve"> </w:t>
      </w:r>
      <w:r>
        <w:t xml:space="preserve">for the directive: acceptance tests existence, objectives test effect.</w:t>
      </w:r>
      <w:r>
        <w:t xml:space="preserve"> </w:t>
      </w:r>
      <w:r>
        <w:t xml:space="preserve">- In scope: enterprise-wide because the fishbone shows fragmentation across divisions.</w:t>
      </w:r>
      <w:r>
        <w:t xml:space="preserve"> </w:t>
      </w:r>
      <w:r>
        <w:t xml:space="preserve">- Out of scope, each with its own reason: the peg (feasibility, MWSC cannot move it), speculative hedging (prudence, betting on rates is a governance risk for an SOE; the buffer is protective inventory, not a position), tariffs (ethics, no cost-shifting onto households), capital delivery (focus).</w:t>
      </w:r>
      <w:r>
        <w:t xml:space="preserve"> </w:t>
      </w:r>
      <w:r>
        <w:t xml:space="preserve">- Constraints are walls (rationed USD, MVR government contracts, the cap, SOE approvals); dependencies are supports others must provide (analytics, procurement digitalisation, Legal, banks). Constraints you design around; dependencies you monitor, and they reappear as logframe assumptions.</w:t>
      </w:r>
      <w:r>
        <w:t xml:space="preserve"> </w:t>
      </w:r>
      <w:r>
        <w:t xml:space="preserve">- Key assumptions row restates A1 correctly (procurement rate 22.25 in band, not</w:t>
      </w:r>
      <w:r>
        <w:t xml:space="preserve"> </w:t>
      </w:r>
      <w:r>
        <w:t xml:space="preserve">“</w:t>
      </w:r>
      <w:r>
        <w:t xml:space="preserve">peg holds</w:t>
      </w:r>
      <w:r>
        <w:t xml:space="preserve">”</w:t>
      </w:r>
      <w:r>
        <w:t xml:space="preserve">) and carries A2’s self-correction clause.</w:t>
      </w:r>
    </w:p>
    <w:p>
      <w:pPr>
        <w:pStyle w:val="BodyText"/>
      </w:pPr>
      <w:r>
        <w:rPr>
          <w:bCs/>
          <w:b/>
        </w:rPr>
        <w:t xml:space="preserve">Table 3 SMART, why these four.</w:t>
      </w:r>
      <w:r>
        <w:t xml:space="preserve"> </w:t>
      </w:r>
      <w:r>
        <w:t xml:space="preserve">They are MWSC’s own Business Plan KPIs adopted, not invented: O1 register/dashboard + 20% USD reserve (Goal 1.5.10), O2 USD billing 50% of resorts / 20% of project revenue (Goal 2.3.4), O3 procurement down 10 to 15% volume-adjusted, O4 100% legal review with FX clauses (Goal 3.3.2). Volume-adjusted in O3 matters: it prevents claiming savings that are really just lower activity.</w:t>
      </w:r>
    </w:p>
    <w:p>
      <w:pPr>
        <w:pStyle w:val="BodyText"/>
      </w:pPr>
      <w:r>
        <w:rPr>
          <w:bCs/>
          <w:b/>
        </w:rPr>
        <w:t xml:space="preserve">Likely questions.</w:t>
      </w:r>
    </w:p>
    <w:p>
      <w:pPr>
        <w:pStyle w:val="BodyText"/>
      </w:pPr>
      <w:r>
        <w:rPr>
          <w:iCs/>
          <w:i/>
        </w:rPr>
        <w:t xml:space="preserve">Q: Difference between your acceptance criteria and your objectives?</w:t>
      </w:r>
      <w:r>
        <w:t xml:space="preserve"> </w:t>
      </w:r>
      <w:r>
        <w:t xml:space="preserve">A: Acceptance confirms the deliverable exists and is adopted; objectives confirm the business changed. You can pass acceptance and miss the objective. Gate 2 exists precisely to test the second after the first.</w:t>
      </w:r>
    </w:p>
    <w:p>
      <w:pPr>
        <w:pStyle w:val="BodyText"/>
      </w:pPr>
      <w:r>
        <w:rPr>
          <w:iCs/>
          <w:i/>
        </w:rPr>
        <w:t xml:space="preserve">Q: Why is there no headcount in a project this size?</w:t>
      </w:r>
      <w:r>
        <w:t xml:space="preserve"> </w:t>
      </w:r>
      <w:r>
        <w:t xml:space="preserve">A: Deliberate. It is a governance and behaviour project delivered through existing divisions with part-time champions. That keeps recurring cost to 1.2 million a year and means the capability lives in the line, not in a project team that disbands.</w:t>
      </w:r>
    </w:p>
    <w:p>
      <w:pPr>
        <w:pStyle w:val="BodyText"/>
      </w:pPr>
      <w:r>
        <w:rPr>
          <w:iCs/>
          <w:i/>
        </w:rPr>
        <w:t xml:space="preserve">Q: Why only 50% of resorts, why not all?</w:t>
      </w:r>
      <w:r>
        <w:t xml:space="preserve"> </w:t>
      </w:r>
      <w:r>
        <w:t xml:space="preserve">A: New contracts only, by design, to avoid repudiating existing agreements, and because resorts hold bargaining power. Fifty per cent by June 2027 with the FX-indexed rufiyaa fallback (R3) is ambitious but honest.</w:t>
      </w:r>
    </w:p>
    <w:p>
      <w:r>
        <w:pict>
          <v:rect style="width:0;height:1.5pt" o:hralign="center" o:hrstd="t" o:hr="t"/>
        </w:pict>
      </w:r>
    </w:p>
    <w:bookmarkEnd w:id="25"/>
    <w:bookmarkStart w:id="26" w:name="Xb4ae24daa0a4bad2dd0660558342b22e418997d"/>
    <w:p>
      <w:pPr>
        <w:pStyle w:val="Heading2"/>
      </w:pPr>
      <w:r>
        <w:t xml:space="preserve">3.2 KEY ISSUES ANALYSIS (RCA, FISHBONE, GAP TABLE 4)</w:t>
      </w:r>
    </w:p>
    <w:p>
      <w:pPr>
        <w:pStyle w:val="FirstParagraph"/>
      </w:pPr>
      <w:r>
        <w:rPr>
          <w:bCs/>
          <w:b/>
        </w:rPr>
        <w:t xml:space="preserve">WHAT it says.</w:t>
      </w:r>
      <w:r>
        <w:t xml:space="preserve"> </w:t>
      </w:r>
      <w:r>
        <w:t xml:space="preserve">Symptoms (falling margins, tight cash, rising finance costs) versus the underlying problem (currency mismatch). Four ranked causes: under-developed dollar revenue; no treasury controls; contract design; no ownership. Inference note: causes 2 and 3 proven by the plan’s own goals to create those controls. Fishbone with six tailored categories, only the macro environment external. Gap analysis mapping current to future state per domain.</w:t>
      </w:r>
    </w:p>
    <w:p>
      <w:pPr>
        <w:pStyle w:val="BodyText"/>
      </w:pPr>
      <w:r>
        <w:rPr>
          <w:bCs/>
          <w:b/>
        </w:rPr>
        <w:t xml:space="preserve">WHY three tools and how they divide the work.</w:t>
      </w:r>
      <w:r>
        <w:t xml:space="preserve"> </w:t>
      </w:r>
      <w:r>
        <w:t xml:space="preserve">RCA explains why the exposure persists; the fishbone structures and weights the causes and shows five of six categories are internal, therefore actionable; the gap analysis states what must exist to close each one, which becomes the scope the options must deliver. Triangulation, not repetition: each tool answers a different question.</w:t>
      </w:r>
    </w:p>
    <w:p>
      <w:pPr>
        <w:pStyle w:val="BodyText"/>
      </w:pPr>
      <w:r>
        <w:rPr>
          <w:bCs/>
          <w:b/>
        </w:rPr>
        <w:t xml:space="preserve">WHY this cause ranking.</w:t>
      </w:r>
      <w:r>
        <w:t xml:space="preserve"> </w:t>
      </w:r>
      <w:r>
        <w:t xml:space="preserve">Dollar revenue first because it is the natural hedge: every dollar earned shrinks the net exposure the other three causes each enlarge. Treasury second because planning at 15.42 while transacting near 22 poisons every budget. Contracts third because fixed-price MVR bids absorb unpriced risk. Ownership fourth but foundational: it is why 2 and 3 persist. The Argyris move: fixing processes without fixing ownership is single-loop; targeting the governing assumption (who owns FX risk) is double-loop (Argyris, 1977).</w:t>
      </w:r>
    </w:p>
    <w:p>
      <w:pPr>
        <w:pStyle w:val="BodyText"/>
      </w:pPr>
      <w:r>
        <w:rPr>
          <w:bCs/>
          <w:b/>
        </w:rPr>
        <w:t xml:space="preserve">The inference logic, in full.</w:t>
      </w:r>
      <w:r>
        <w:t xml:space="preserve"> </w:t>
      </w:r>
      <w:r>
        <w:t xml:space="preserve">For cause 1 there is direct evidence: the plan itself records resorts and international consulting as overlooked markets (MWSC, 2025a, p.7). For causes 2 and 3 no document says</w:t>
      </w:r>
      <w:r>
        <w:t xml:space="preserve"> </w:t>
      </w:r>
      <w:r>
        <w:t xml:space="preserve">“</w:t>
      </w:r>
      <w:r>
        <w:t xml:space="preserve">we lack controls,</w:t>
      </w:r>
      <w:r>
        <w:t xml:space="preserve">”</w:t>
      </w:r>
      <w:r>
        <w:t xml:space="preserve"> </w:t>
      </w:r>
      <w:r>
        <w:t xml:space="preserve">because companies do not publish lists of missing controls. So the absence is inferred from the plan’s forward goals: a 2026 goal to create dollar billing, a reserve and contract review is evidence those controls do not yet exist, otherwise there would be nothing to create. The audited accounts corroborate: budgets struck at the peg and no disclosed FX buffer are consistent with absence, not refinement.</w:t>
      </w:r>
    </w:p>
    <w:p>
      <w:pPr>
        <w:pStyle w:val="BodyText"/>
      </w:pPr>
      <w:r>
        <w:rPr>
          <w:bCs/>
          <w:b/>
        </w:rPr>
        <w:t xml:space="preserve">WHY custom fishbone categories, not the 6 Ms.</w:t>
      </w:r>
      <w:r>
        <w:t xml:space="preserve"> </w:t>
      </w:r>
      <w:r>
        <w:t xml:space="preserve">The 6 Ms (machine, method, material, manpower, measurement, mother nature) are a manufacturing template; a currency problem has no machine or material dimension. The brief requires the diagram tailored to the issue and interpreted in the report, and warns a generic diagram is insufficient. The six categories used (Macroeconomic Environment, Revenue Structure, Financial and Treasury Practices, Procurement and Supply Chain, Contracts and Governance, Capability and Culture) map one-to-one onto the RCA plus the external boundary, so the two tools lock together (Ishikawa, 1986, as the method source).</w:t>
      </w:r>
    </w:p>
    <w:p>
      <w:pPr>
        <w:pStyle w:val="BodyText"/>
      </w:pPr>
      <w:r>
        <w:rPr>
          <w:bCs/>
          <w:b/>
        </w:rPr>
        <w:t xml:space="preserve">Gap analysis, the design claim.</w:t>
      </w:r>
      <w:r>
        <w:t xml:space="preserve"> </w:t>
      </w:r>
      <w:r>
        <w:t xml:space="preserve">Every gap is a capability, behaviour or control, never an asset. That single observation is the thesis: the project buys nothing physical; it builds what persists. Each future-state cell also names the mechanism that closes the gap (directive, templates, account, account team, clause library, committee, KPIs), which is what connects diagnosis to delivery.</w:t>
      </w:r>
    </w:p>
    <w:p>
      <w:pPr>
        <w:pStyle w:val="BodyText"/>
      </w:pPr>
      <w:r>
        <w:rPr>
          <w:bCs/>
          <w:b/>
        </w:rPr>
        <w:t xml:space="preserve">Likely questions.</w:t>
      </w:r>
    </w:p>
    <w:p>
      <w:pPr>
        <w:pStyle w:val="BodyText"/>
      </w:pPr>
      <w:r>
        <w:rPr>
          <w:iCs/>
          <w:i/>
        </w:rPr>
        <w:t xml:space="preserve">Q: A goal to create a control could mean strengthening an existing one, not building from zero.</w:t>
      </w:r>
      <w:r>
        <w:t xml:space="preserve"> </w:t>
      </w:r>
      <w:r>
        <w:t xml:space="preserve">A: The plan frames these as new capabilities to establish, and the audited accounts corroborate absence: budgets at the peg rate and no disclosed buffer are consistent with nothing being there. If a partial control existed, strengthening it is still within scope; the diagnosis does not change.</w:t>
      </w:r>
    </w:p>
    <w:p>
      <w:pPr>
        <w:pStyle w:val="BodyText"/>
      </w:pPr>
      <w:r>
        <w:rPr>
          <w:iCs/>
          <w:i/>
        </w:rPr>
        <w:t xml:space="preserve">Q: Why is the national shortage not in your root causes?</w:t>
      </w:r>
      <w:r>
        <w:t xml:space="preserve"> </w:t>
      </w:r>
      <w:r>
        <w:t xml:space="preserve">A: It is a cause, but external. MWSC cannot fix the country’s reserves, so it is treated as a planning assumption and a risk (R2), while the RCA keeps to causes the project can actually close. Diagnosing what you cannot treat is not analysis, it is commentary.</w:t>
      </w:r>
    </w:p>
    <w:p>
      <w:pPr>
        <w:pStyle w:val="BodyText"/>
      </w:pPr>
      <w:r>
        <w:rPr>
          <w:iCs/>
          <w:i/>
        </w:rPr>
        <w:t xml:space="preserve">Q: Your fishbone departs from the standard categories. Why?</w:t>
      </w:r>
      <w:r>
        <w:t xml:space="preserve"> </w:t>
      </w:r>
      <w:r>
        <w:t xml:space="preserve">A: The tool is designed to be adapted; the standard Ms are a factory template. I tailored the categories to this problem’s causal structure and mapped them to the RCA so the tools triangulate. The brief explicitly requires a tailored, interpreted diagram.</w:t>
      </w:r>
    </w:p>
    <w:p>
      <w:r>
        <w:pict>
          <v:rect style="width:0;height:1.5pt" o:hralign="center" o:hrstd="t" o:hr="t"/>
        </w:pict>
      </w:r>
    </w:p>
    <w:bookmarkEnd w:id="26"/>
    <w:bookmarkStart w:id="27" w:name="X304ce790ef1fc858886f3a9308b3f049f022f9e"/>
    <w:p>
      <w:pPr>
        <w:pStyle w:val="Heading2"/>
      </w:pPr>
      <w:r>
        <w:t xml:space="preserve">3.3 STAKEHOLDER IDENTIFICATION AND ANALYSIS (FIGURE 3, TABLE 5)</w:t>
      </w:r>
    </w:p>
    <w:p>
      <w:pPr>
        <w:pStyle w:val="FirstParagraph"/>
      </w:pPr>
      <w:r>
        <w:rPr>
          <w:bCs/>
          <w:b/>
        </w:rPr>
        <w:t xml:space="preserve">WHAT it says.</w:t>
      </w:r>
      <w:r>
        <w:t xml:space="preserve"> </w:t>
      </w:r>
      <w:r>
        <w:t xml:space="preserve">Power-interest grid (Freeman, 1984) cross-checked for salience (Mitchell, Agle and Wood, 1997), nine stakeholders, all four quadrants populated. Table with five columns: power/interest, impact on the project, position with evidenced-or-inferred flags, engagement action. Two judgement paragraphs: power asymmetry (formal-only engagement with ministries; informal preference improper for an SOE) and the ethical boundary (USD billing must never shift cost onto domestic households; tariffs out of scope).</w:t>
      </w:r>
    </w:p>
    <w:p>
      <w:pPr>
        <w:pStyle w:val="BodyText"/>
      </w:pPr>
      <w:r>
        <w:rPr>
          <w:bCs/>
          <w:b/>
        </w:rPr>
        <w:t xml:space="preserve">WHY salience on top of power-interest.</w:t>
      </w:r>
      <w:r>
        <w:t xml:space="preserve"> </w:t>
      </w:r>
      <w:r>
        <w:t xml:space="preserve">Power-interest alone would file the monetary authority as medium-interest and forget it; salience captures that its claim is urgent and legitimate, because it controls the dollars the buffer needs. The Mitchell test (power, legitimacy, urgency) catches actors the 2x2 underweights.</w:t>
      </w:r>
    </w:p>
    <w:p>
      <w:pPr>
        <w:pStyle w:val="BodyText"/>
      </w:pPr>
      <w:r>
        <w:rPr>
          <w:bCs/>
          <w:b/>
        </w:rPr>
        <w:t xml:space="preserve">WHY every quadrant is populated, and by whom.</w:t>
      </w:r>
      <w:r>
        <w:t xml:space="preserve"> </w:t>
      </w:r>
      <w:r>
        <w:t xml:space="preserve">Manage closely: Board/MD, CFO, Finance Ministry/PCB, client ministry, monetary authority and banks. Keep informed: resorts/B2B, internal divisions. Keep satisfied: Auditor General/AGO, because the audited accounts underpin the proposal’s evidence base and audit findings can validate or discredit reported benefits; engagement is a full audit trail and Internal Audit verification before gates. Monitor: domestic customers/public, who hold little formal power but anchor the ethical boundary; the engagement action is the commitment itself, no change to household billing. An empty half-grid invites the question</w:t>
      </w:r>
      <w:r>
        <w:t xml:space="preserve"> </w:t>
      </w:r>
      <w:r>
        <w:t xml:space="preserve">“</w:t>
      </w:r>
      <w:r>
        <w:t xml:space="preserve">did you look?</w:t>
      </w:r>
      <w:r>
        <w:t xml:space="preserve">”</w:t>
      </w:r>
      <w:r>
        <w:t xml:space="preserve">; this composition answers it.</w:t>
      </w:r>
    </w:p>
    <w:p>
      <w:pPr>
        <w:pStyle w:val="BodyText"/>
      </w:pPr>
      <w:r>
        <w:rPr>
          <w:bCs/>
          <w:b/>
        </w:rPr>
        <w:t xml:space="preserve">WHY evidenced/inferred flags.</w:t>
      </w:r>
      <w:r>
        <w:t xml:space="preserve"> </w:t>
      </w:r>
      <w:r>
        <w:t xml:space="preserve">Positions like the Board’s support (sponsoring office changed mid-2026) and the AGO’s independence (they flagged the Key Audit Matter) are evidenced. Positions like ministry conditionality or resort resistance are inferences, marked (I) and re-assessed at each gate. The same honesty device as A1 to A3: say what you know versus what you assume.</w:t>
      </w:r>
    </w:p>
    <w:p>
      <w:pPr>
        <w:pStyle w:val="BodyText"/>
      </w:pPr>
      <w:r>
        <w:rPr>
          <w:bCs/>
          <w:b/>
        </w:rPr>
        <w:t xml:space="preserve">Likely questions.</w:t>
      </w:r>
    </w:p>
    <w:p>
      <w:pPr>
        <w:pStyle w:val="BodyText"/>
      </w:pPr>
      <w:r>
        <w:rPr>
          <w:iCs/>
          <w:i/>
        </w:rPr>
        <w:t xml:space="preserve">Q: Several positions are inferred. How confident are you?</w:t>
      </w:r>
      <w:r>
        <w:t xml:space="preserve"> </w:t>
      </w:r>
      <w:r>
        <w:t xml:space="preserve">A: The table says exactly which ones, and the design assumes I might be wrong: positions are re-assessed at each gate, and the riskiest inference, resort resistance, has a priced fallback in R3, FX-indexed rufiyaa pricing if uptake is under 50%.</w:t>
      </w:r>
    </w:p>
    <w:p>
      <w:pPr>
        <w:pStyle w:val="BodyText"/>
      </w:pPr>
      <w:r>
        <w:rPr>
          <w:iCs/>
          <w:i/>
        </w:rPr>
        <w:t xml:space="preserve">Q: Why is the Auditor General only keep-satisfied when your evidence depends on them?</w:t>
      </w:r>
      <w:r>
        <w:t xml:space="preserve"> </w:t>
      </w:r>
      <w:r>
        <w:t xml:space="preserve">A: High power, low day-to-day interest in this project: they audit annually, they do not manage change. Keep satisfied is precisely the right posture: full transparency, Internal Audit verifying benefits before gates, nothing that surprises them at year end.</w:t>
      </w:r>
    </w:p>
    <w:p>
      <w:pPr>
        <w:pStyle w:val="BodyText"/>
      </w:pPr>
      <w:r>
        <w:rPr>
          <w:iCs/>
          <w:i/>
        </w:rPr>
        <w:t xml:space="preserve">Q: Is dollar billing ethical for an essential service?</w:t>
      </w:r>
      <w:r>
        <w:t xml:space="preserve"> </w:t>
      </w:r>
      <w:r>
        <w:t xml:space="preserve">A: For resorts and commercial clients who earn in dollars, yes; it prices reality. The ethical line is households, which is why tariffs are excluded from scope and domestic billing does not change. The stakeholder table carries that commitment in writing.</w:t>
      </w:r>
    </w:p>
    <w:p>
      <w:r>
        <w:pict>
          <v:rect style="width:0;height:1.5pt" o:hralign="center" o:hrstd="t" o:hr="t"/>
        </w:pict>
      </w:r>
    </w:p>
    <w:bookmarkEnd w:id="27"/>
    <w:bookmarkStart w:id="28" w:name="options-and-strategies-table-6-matrix"/>
    <w:p>
      <w:pPr>
        <w:pStyle w:val="Heading2"/>
      </w:pPr>
      <w:r>
        <w:t xml:space="preserve">4.1 OPTIONS AND STRATEGIES (TABLE 6 MATRIX)</w:t>
      </w:r>
    </w:p>
    <w:p>
      <w:pPr>
        <w:pStyle w:val="FirstParagraph"/>
      </w:pPr>
      <w:r>
        <w:rPr>
          <w:bCs/>
          <w:b/>
        </w:rPr>
        <w:t xml:space="preserve">WHAT it says.</w:t>
      </w:r>
      <w:r>
        <w:t xml:space="preserve"> </w:t>
      </w:r>
      <w:r>
        <w:t xml:space="preserve">Three genuinely distinct options in the demo Description/Evaluation pattern: A Do Nothing (baseline), B Treasury Fix (do-minimum, ~1.5m), C Full Programme (integrated, ~4.5m, six workstreams, two gates). Weighted matrix, weights fixed before scoring: strategic fit 20, benefits 20, feasibility 15, cost 15, time 10, risk reduction 10, acceptability 5, sustainability 5. Result 2.45 / 3.25 / 4.30.</w:t>
      </w:r>
    </w:p>
    <w:p>
      <w:pPr>
        <w:pStyle w:val="BodyText"/>
      </w:pPr>
      <w:r>
        <w:rPr>
          <w:bCs/>
          <w:b/>
        </w:rPr>
        <w:t xml:space="preserve">WHY a do-nothing baseline.</w:t>
      </w:r>
      <w:r>
        <w:t xml:space="preserve"> </w:t>
      </w:r>
      <w:r>
        <w:t xml:space="preserve">The brief mandates a do-minimum or baseline so the value of intervening is tested, not assumed. Option A also does real analytical work: it prices inaction (the A2 exposure) and exposes the trap that doing nothing looks safe while being the most expensive choice over time.</w:t>
      </w:r>
    </w:p>
    <w:p>
      <w:pPr>
        <w:pStyle w:val="BodyText"/>
      </w:pPr>
      <w:r>
        <w:rPr>
          <w:bCs/>
          <w:b/>
        </w:rPr>
        <w:t xml:space="preserve">WHY these weights.</w:t>
      </w:r>
      <w:r>
        <w:t xml:space="preserve"> </w:t>
      </w:r>
      <w:r>
        <w:t xml:space="preserve">Strategic fit and benefits carry 20 each because the project exists to deliver the plan’s top challenge and pay for itself. Feasibility and cost at 15 reflect SOE budget discipline. Declaring weights before scoring is the anti-rigging move; the sensitivity test then proves the ranking survives even hostile weights.</w:t>
      </w:r>
    </w:p>
    <w:p>
      <w:pPr>
        <w:pStyle w:val="BodyText"/>
      </w:pPr>
      <w:r>
        <w:rPr>
          <w:bCs/>
          <w:b/>
        </w:rPr>
        <w:t xml:space="preserve">HOW the scores work, ready to walk through.</w:t>
      </w:r>
      <w:r>
        <w:t xml:space="preserve"> </w:t>
      </w:r>
      <w:r>
        <w:t xml:space="preserve">Option A scores 5 on cost and feasibility because doing little is easy, and 1 on fit, benefits, risk and sustainability because it achieves nothing; weighted 2.45. Option B scores mid-table: 3s and 4s, cheap and quick but capped; 3.25. Option C: 5 on fit, benefits, risk reduction, sustainability, 4 feasibility, 3 cost and time; 4.30. If asked to justify any single cell, the pattern answer is: the score follows from how many root causes the option touches.</w:t>
      </w:r>
    </w:p>
    <w:p>
      <w:pPr>
        <w:pStyle w:val="BodyText"/>
      </w:pPr>
      <w:r>
        <w:rPr>
          <w:bCs/>
          <w:b/>
        </w:rPr>
        <w:t xml:space="preserve">Funding realism.</w:t>
      </w:r>
      <w:r>
        <w:t xml:space="preserve"> </w:t>
      </w:r>
      <w:r>
        <w:t xml:space="preserve">MWSC raised MVR 111.15 million through a private bond at a fixed 7.5% in 2025 (MWSC/AGO, 2025, p.39). If the company can raise 111 million on the market, it can fund 4.5 million for the programme that protects the currency those bondholders are repaid in.</w:t>
      </w:r>
    </w:p>
    <w:p>
      <w:pPr>
        <w:pStyle w:val="BodyText"/>
      </w:pPr>
      <w:r>
        <w:rPr>
          <w:bCs/>
          <w:b/>
        </w:rPr>
        <w:t xml:space="preserve">ALTERNATIVES rejected as options.</w:t>
      </w:r>
      <w:r>
        <w:t xml:space="preserve"> </w:t>
      </w:r>
      <w:r>
        <w:t xml:space="preserve">Full hedging strategy: excluded from scope on prudence grounds, so it cannot be an option. Tariff-led recovery: excluded on ethics. A capital project (e.g. solar to cut fuel imports): energy savings appear as a workstream inside C, but a capital-led option would answer a different question at a different price.</w:t>
      </w:r>
    </w:p>
    <w:p>
      <w:pPr>
        <w:pStyle w:val="BodyText"/>
      </w:pPr>
      <w:r>
        <w:rPr>
          <w:bCs/>
          <w:b/>
        </w:rPr>
        <w:t xml:space="preserve">Likely questions.</w:t>
      </w:r>
    </w:p>
    <w:p>
      <w:pPr>
        <w:pStyle w:val="BodyText"/>
      </w:pPr>
      <w:r>
        <w:rPr>
          <w:iCs/>
          <w:i/>
        </w:rPr>
        <w:t xml:space="preserve">Q: Are A, B and C genuinely distinct, or is B just C minus some scope?</w:t>
      </w:r>
      <w:r>
        <w:t xml:space="preserve"> </w:t>
      </w:r>
      <w:r>
        <w:t xml:space="preserve">A: Distinct in kind, not just size. A changes nothing. B changes treasury behaviour only, all income stays in rufiyaa. C changes the revenue model itself. The dividing line is whether the root cause, no dollar income, is addressed; only C crosses it.</w:t>
      </w:r>
    </w:p>
    <w:p>
      <w:pPr>
        <w:pStyle w:val="BodyText"/>
      </w:pPr>
      <w:r>
        <w:rPr>
          <w:iCs/>
          <w:i/>
        </w:rPr>
        <w:t xml:space="preserve">Q: Who scored the matrix and how do I know it is not rigged?</w:t>
      </w:r>
      <w:r>
        <w:t xml:space="preserve"> </w:t>
      </w:r>
      <w:r>
        <w:t xml:space="preserve">A: Weights were fixed before scoring and are justified criterion by criterion in the text. Then I attacked my own weighting: doubling cost to 30% and cutting strategic fit to 5% still leaves C first at 4.00 against 3.40 and 3.05. The ranking is not an artefact of the weights.</w:t>
      </w:r>
    </w:p>
    <w:p>
      <w:pPr>
        <w:pStyle w:val="BodyText"/>
      </w:pPr>
      <w:r>
        <w:rPr>
          <w:iCs/>
          <w:i/>
        </w:rPr>
        <w:t xml:space="preserve">Q: Why is Option C only 3 on cost when 4.5m is trivial against the exposure?</w:t>
      </w:r>
      <w:r>
        <w:t xml:space="preserve"> </w:t>
      </w:r>
      <w:r>
        <w:t xml:space="preserve">A: The criterion scores absolute outlay against alternatives, and C is triple B’s cost, so B outranks it there. Value for money is captured in the benefits criterion and the NPV, not double-counted in cost.</w:t>
      </w:r>
    </w:p>
    <w:p>
      <w:r>
        <w:pict>
          <v:rect style="width:0;height:1.5pt" o:hralign="center" o:hrstd="t" o:hr="t"/>
        </w:pict>
      </w:r>
    </w:p>
    <w:bookmarkEnd w:id="28"/>
    <w:bookmarkStart w:id="29" w:name="X4d117fa6b6c0584a9d36c54a38d431a2e05a4b1"/>
    <w:p>
      <w:pPr>
        <w:pStyle w:val="Heading2"/>
      </w:pPr>
      <w:r>
        <w:t xml:space="preserve">4.2 FINANCIAL APPRAISAL AND SENSITIVITY (FIGURE 4)</w:t>
      </w:r>
    </w:p>
    <w:p>
      <w:pPr>
        <w:pStyle w:val="FirstParagraph"/>
      </w:pPr>
      <w:r>
        <w:rPr>
          <w:bCs/>
          <w:b/>
        </w:rPr>
        <w:t xml:space="preserve">WHAT it says.</w:t>
      </w:r>
      <w:r>
        <w:t xml:space="preserve"> </w:t>
      </w:r>
      <w:r>
        <w:t xml:space="preserve">Benefits ramp at 15%, 35%, 45% of the MVR 55m exposure over three years; costs 4.5m one-off plus 1.2m per year; 12% discount. NPV MVR 33.4m, BCR 5.8, payback inside Year 1. No IRR, deliberately (HM Treasury, 2022). Three sensitivity tests: hostile re-weighting (C still first), realisation ramp (break-even 17.1%, still positive at 40% with costs overrun two-thirds, Gate 2 at 35% above break-even), peg change (strengthens the governance case).</w:t>
      </w:r>
    </w:p>
    <w:p>
      <w:pPr>
        <w:pStyle w:val="BodyText"/>
      </w:pPr>
      <w:r>
        <w:rPr>
          <w:bCs/>
          <w:b/>
        </w:rPr>
        <w:t xml:space="preserve">HOW the model computes, line by line (Appendix A).</w:t>
      </w:r>
      <w:r>
        <w:t xml:space="preserve"> </w:t>
      </w:r>
      <w:r>
        <w:t xml:space="preserve">Year 1: benefit 8.25 (15% of 55), cost 5.70 (4.5 + 1.2), net 2.55, discount factor 0.8929, PV 2.28. Year 2: 19.25 / 1.20 / 18.05 / 0.7972 / 14.39. Year 3: 24.75 / 1.20 / 23.55 / 0.7118 / 16.76. NPV 33.43. PV of benefits 40.33, PV of costs 6.90, BCR 5.84. Break-even = 6.90 / 40.33 = 17.1%.</w:t>
      </w:r>
    </w:p>
    <w:p>
      <w:pPr>
        <w:pStyle w:val="BodyText"/>
      </w:pPr>
      <w:r>
        <w:rPr>
          <w:bCs/>
          <w:b/>
        </w:rPr>
        <w:t xml:space="preserve">WHY 15/35/45 as the ramp.</w:t>
      </w:r>
      <w:r>
        <w:t xml:space="preserve"> </w:t>
      </w:r>
      <w:r>
        <w:t xml:space="preserve">Year 1 is mostly build (register, account, directive), so benefits are small; Year 2 the billing and procurement changes bite; Year 3 approaches but does not reach maturity. Never modelling full capture is itself conservatism.</w:t>
      </w:r>
    </w:p>
    <w:p>
      <w:pPr>
        <w:pStyle w:val="BodyText"/>
      </w:pPr>
      <w:r>
        <w:rPr>
          <w:bCs/>
          <w:b/>
        </w:rPr>
        <w:t xml:space="preserve">WHY 12% discount.</w:t>
      </w:r>
      <w:r>
        <w:t xml:space="preserve"> </w:t>
      </w:r>
      <w:r>
        <w:t xml:space="preserve">A deliberately high hurdle for a rufiyaa cash flow, absorbing SOE risk and estimate softness; a lower rate would only raise the NPV, so 12% is the conservative choice.</w:t>
      </w:r>
    </w:p>
    <w:p>
      <w:pPr>
        <w:pStyle w:val="BodyText"/>
      </w:pPr>
      <w:r>
        <w:rPr>
          <w:bCs/>
          <w:b/>
        </w:rPr>
        <w:t xml:space="preserve">WHY no IRR, and be ready to say it.</w:t>
      </w:r>
      <w:r>
        <w:t xml:space="preserve"> </w:t>
      </w:r>
      <w:r>
        <w:t xml:space="preserve">With costs this small against these benefits, the IRR computes to an absurdly large percentage that implies precision the estimates do not have. The Green Book’s position is that NPV is the decision metric and IRR can mislead exactly in cases like this (HM Treasury, 2022). Quoting a 300% IRR would damage credibility, not build it.</w:t>
      </w:r>
    </w:p>
    <w:p>
      <w:pPr>
        <w:pStyle w:val="BodyText"/>
      </w:pPr>
      <w:r>
        <w:rPr>
          <w:bCs/>
          <w:b/>
        </w:rPr>
        <w:t xml:space="preserve">HOW the A1 rate test maps onto Figure 4.</w:t>
      </w:r>
      <w:r>
        <w:t xml:space="preserve"> </w:t>
      </w:r>
      <w:r>
        <w:t xml:space="preserve">A 10% rate fall (to 20.03) cuts the realised premium from 23.5% to 11.3%, roughly halving the modelled exposure, which is the same as about 48% realisation on the chart: NPV near 12 million, still almost three times above break-even. A 10% rise (to 24.48) lifts exposure by about half. Every input error, rate included, expresses itself on the realisation axis, which is why that is the axis Figure 4 sweeps.</w:t>
      </w:r>
    </w:p>
    <w:p>
      <w:pPr>
        <w:pStyle w:val="BodyText"/>
      </w:pPr>
      <w:r>
        <w:rPr>
          <w:bCs/>
          <w:b/>
        </w:rPr>
        <w:t xml:space="preserve">WHY Gate 2 sits at 35%.</w:t>
      </w:r>
      <w:r>
        <w:t xml:space="preserve"> </w:t>
      </w:r>
      <w:r>
        <w:t xml:space="preserve">Above the 17% break-even with buffer, and equal to the Year 2 ramp assumption, so the gate tests the model against its own milestone using its own arithmetic. If realisation is under 35% at month twelve, de-scope to Option B, which is already priced. The continuation decision and the financial model are the same test.</w:t>
      </w:r>
    </w:p>
    <w:p>
      <w:pPr>
        <w:pStyle w:val="BodyText"/>
      </w:pPr>
      <w:r>
        <w:rPr>
          <w:bCs/>
          <w:b/>
        </w:rPr>
        <w:t xml:space="preserve">Likely questions.</w:t>
      </w:r>
    </w:p>
    <w:p>
      <w:pPr>
        <w:pStyle w:val="BodyText"/>
      </w:pPr>
      <w:r>
        <w:rPr>
          <w:iCs/>
          <w:i/>
        </w:rPr>
        <w:t xml:space="preserve">Q: Only three years. Why not five?</w:t>
      </w:r>
      <w:r>
        <w:t xml:space="preserve"> </w:t>
      </w:r>
      <w:r>
        <w:t xml:space="preserve">A: Three years is the honest horizon for estimate quality, and the case already clears at three; extending the tail would only inflate an NPV that does not need inflating. The capabilities persist beyond year three, which is upside, not baseline.</w:t>
      </w:r>
    </w:p>
    <w:p>
      <w:pPr>
        <w:pStyle w:val="BodyText"/>
      </w:pPr>
      <w:r>
        <w:rPr>
          <w:iCs/>
          <w:i/>
        </w:rPr>
        <w:t xml:space="preserve">Q: What single number would kill this project?</w:t>
      </w:r>
      <w:r>
        <w:t xml:space="preserve"> </w:t>
      </w:r>
      <w:r>
        <w:t xml:space="preserve">A: Realisation below 17% of estimated benefits, sustained. That is the break-even, it is printed on Figure 4, and Gate 2 is set above it precisely so the project cannot drift past its own kill-line unexamined.</w:t>
      </w:r>
    </w:p>
    <w:p>
      <w:r>
        <w:pict>
          <v:rect style="width:0;height:1.5pt" o:hralign="center" o:hrstd="t" o:hr="t"/>
        </w:pict>
      </w:r>
    </w:p>
    <w:bookmarkEnd w:id="29"/>
    <w:bookmarkStart w:id="30" w:name="recommendation"/>
    <w:p>
      <w:pPr>
        <w:pStyle w:val="Heading2"/>
      </w:pPr>
      <w:r>
        <w:t xml:space="preserve">4.3 RECOMMENDATION</w:t>
      </w:r>
    </w:p>
    <w:p>
      <w:pPr>
        <w:pStyle w:val="FirstParagraph"/>
      </w:pPr>
      <w:r>
        <w:rPr>
          <w:bCs/>
          <w:b/>
        </w:rPr>
        <w:t xml:space="preserve">WHAT it says.</w:t>
      </w:r>
      <w:r>
        <w:t xml:space="preserve"> </w:t>
      </w:r>
      <w:r>
        <w:t xml:space="preserve">Option C unequivocally recommended, Option B retained as the priced fallback. Best available balance of strategic alignment, financial return and risk control; only option resolving every root cause. Accepted trade-off: workload in a crowded change year, managed through existing KPIs. Rejected trade-off: A’s apparent safety, losses hiding as gradual currency erosion. Principal limitation: benefits rest on an assumed dollar-linked share, hence register first, programme gated. Complex environment, so the design probes, learns and adjusts (Snowden and Boone, 2007).</w:t>
      </w:r>
    </w:p>
    <w:p>
      <w:pPr>
        <w:pStyle w:val="BodyText"/>
      </w:pPr>
      <w:r>
        <w:rPr>
          <w:bCs/>
          <w:b/>
        </w:rPr>
        <w:t xml:space="preserve">WHY name trade-offs and a limitation inside the recommendation.</w:t>
      </w:r>
      <w:r>
        <w:t xml:space="preserve"> </w:t>
      </w:r>
      <w:r>
        <w:t xml:space="preserve">The rubric’s exemplary band demands trade-offs, uncertainties and limitations explained, not hidden. A recommendation that admits its weakest point and shows the mechanism that manages it (gates, fallback) reads as judgement; one that claims certainty reads as salesmanship.</w:t>
      </w:r>
    </w:p>
    <w:p>
      <w:pPr>
        <w:pStyle w:val="BodyText"/>
      </w:pPr>
      <w:r>
        <w:rPr>
          <w:bCs/>
          <w:b/>
        </w:rPr>
        <w:t xml:space="preserve">WHY Cynefin here.</w:t>
      </w:r>
      <w:r>
        <w:t xml:space="preserve"> </w:t>
      </w:r>
      <w:r>
        <w:t xml:space="preserve">Snowden and Boone’s point is that in complex domains you probe, sense, respond rather than plan-then-execute. That is the intellectual justification for gates and re-baselining rather than a fixed three-year commitment. One sentence, load-bearing.</w:t>
      </w:r>
    </w:p>
    <w:p>
      <w:pPr>
        <w:pStyle w:val="BodyText"/>
      </w:pPr>
      <w:r>
        <w:rPr>
          <w:bCs/>
          <w:b/>
        </w:rPr>
        <w:t xml:space="preserve">Likely question.</w:t>
      </w:r>
    </w:p>
    <w:p>
      <w:pPr>
        <w:pStyle w:val="BodyText"/>
      </w:pPr>
      <w:r>
        <w:rPr>
          <w:iCs/>
          <w:i/>
        </w:rPr>
        <w:t xml:space="preserve">Q: If funding is halved mid-year, what survives?</w:t>
      </w:r>
      <w:r>
        <w:t xml:space="preserve"> </w:t>
      </w:r>
      <w:r>
        <w:t xml:space="preserve">A: Option B is the priced answer: the directive, consolidated imports and the buffer, about 1.5 million. That is also exactly the R6 trigger response, so the de-scope path is designed, not improvised.</w:t>
      </w:r>
    </w:p>
    <w:p>
      <w:r>
        <w:pict>
          <v:rect style="width:0;height:1.5pt" o:hralign="center" o:hrstd="t" o:hr="t"/>
        </w:pict>
      </w:r>
    </w:p>
    <w:bookmarkEnd w:id="30"/>
    <w:bookmarkStart w:id="31" w:name="logframe-figure-5-table-7"/>
    <w:p>
      <w:pPr>
        <w:pStyle w:val="Heading2"/>
      </w:pPr>
      <w:r>
        <w:t xml:space="preserve">4.4 LOGFRAME (FIGURE 5, TABLE 7)</w:t>
      </w:r>
    </w:p>
    <w:p>
      <w:pPr>
        <w:pStyle w:val="FirstParagraph"/>
      </w:pPr>
      <w:r>
        <w:rPr>
          <w:bCs/>
          <w:b/>
        </w:rPr>
        <w:t xml:space="preserve">WHAT it says.</w:t>
      </w:r>
      <w:r>
        <w:t xml:space="preserve"> </w:t>
      </w:r>
      <w:r>
        <w:t xml:space="preserve">Four LFA questions answered (Schmidt, 2009). Causal chain stated in prose: activities build register, account, clause library; outputs are live governance and signed USD contracts; outcomes are procurement down 10 to 15% and USD revenue share up; impact is FX losses down at least 60% versus the A2 baseline with zero FX-driven service interruptions by FY2027. Baselines from Section 2; assumptions placed at the level they threaten (impact: peg stable, tourism inflows; outcome: clients accept USD terms, suppliers accept bulk; output: bank cooperation, SAP data adequate; activity: budget released, champions allocated). Owners named per level. Gate 1 month 6 (tools live), Gate 2 month 12 (35% realisation), Figure 5.</w:t>
      </w:r>
    </w:p>
    <w:p>
      <w:pPr>
        <w:pStyle w:val="BodyText"/>
      </w:pPr>
      <w:r>
        <w:rPr>
          <w:bCs/>
          <w:b/>
        </w:rPr>
        <w:t xml:space="preserve">WHY impact is FX loss avoided, not profit.</w:t>
      </w:r>
      <w:r>
        <w:t xml:space="preserve"> </w:t>
      </w:r>
      <w:r>
        <w:t xml:space="preserve">The project does not control profit; demand, tariffs and weather do. Claiming profit would break the causal chain the LFA exists to protect. Claiming only the FX slice keeps every link defensible.</w:t>
      </w:r>
    </w:p>
    <w:p>
      <w:pPr>
        <w:pStyle w:val="BodyText"/>
      </w:pPr>
      <w:r>
        <w:rPr>
          <w:bCs/>
          <w:b/>
        </w:rPr>
        <w:t xml:space="preserve">WHY assumptions sit at specific levels.</w:t>
      </w:r>
      <w:r>
        <w:t xml:space="preserve"> </w:t>
      </w:r>
      <w:r>
        <w:t xml:space="preserve">An assumption belongs at the level whose achievement it threatens: peg stability threatens the impact, not the activities; SAP data quality threatens outputs. Placing them correctly is what makes the logframe a risk instrument rather than a form.</w:t>
      </w:r>
    </w:p>
    <w:p>
      <w:pPr>
        <w:pStyle w:val="BodyText"/>
      </w:pPr>
      <w:r>
        <w:rPr>
          <w:bCs/>
          <w:b/>
        </w:rPr>
        <w:t xml:space="preserve">Likely question.</w:t>
      </w:r>
    </w:p>
    <w:p>
      <w:pPr>
        <w:pStyle w:val="BodyText"/>
      </w:pPr>
      <w:r>
        <w:rPr>
          <w:iCs/>
          <w:i/>
        </w:rPr>
        <w:t xml:space="preserve">Q: Walk me up the chain from one activity to impact.</w:t>
      </w:r>
      <w:r>
        <w:t xml:space="preserve"> </w:t>
      </w:r>
      <w:r>
        <w:t xml:space="preserve">A: Take the clause library. Activity: Legal drafts and issues it. Output: 100% of new tenders carry FX clauses, verified in tender audits. Outcome: new project revenue stops silently absorbing currency movements, part of the procurement-and-contract saving. Impact: measured FX loss against the do-nothing baseline falls. Each link has an indicator, a verification source and an owner in the table.</w:t>
      </w:r>
    </w:p>
    <w:p>
      <w:r>
        <w:pict>
          <v:rect style="width:0;height:1.5pt" o:hralign="center" o:hrstd="t" o:hr="t"/>
        </w:pict>
      </w:r>
    </w:p>
    <w:bookmarkEnd w:id="31"/>
    <w:bookmarkStart w:id="32" w:name="risk-management-plan-table-8"/>
    <w:p>
      <w:pPr>
        <w:pStyle w:val="Heading2"/>
      </w:pPr>
      <w:r>
        <w:t xml:space="preserve">5. RISK MANAGEMENT PLAN (TABLE 8)</w:t>
      </w:r>
    </w:p>
    <w:p>
      <w:pPr>
        <w:pStyle w:val="FirstParagraph"/>
      </w:pPr>
      <w:r>
        <w:rPr>
          <w:bCs/>
          <w:b/>
        </w:rPr>
        <w:t xml:space="preserve">WHAT it says.</w:t>
      </w:r>
      <w:r>
        <w:t xml:space="preserve"> </w:t>
      </w:r>
      <w:r>
        <w:t xml:space="preserve">Eight risks across seven required categories, each as cause, event, effect; scored likelihood times impact; ranked; owner; response plus a named trigger; residual score. Escalation rule: any 12+ goes to the executive committee. Programme-level governance (Barclay and Osei-Bryson, 2015); method ISO 31000 (ISO, 2018).</w:t>
      </w:r>
    </w:p>
    <w:p>
      <w:pPr>
        <w:pStyle w:val="BodyText"/>
      </w:pPr>
      <w:r>
        <w:rPr>
          <w:bCs/>
          <w:b/>
        </w:rPr>
        <w:t xml:space="preserve">The register, one line each with its logic.</w:t>
      </w:r>
      <w:r>
        <w:t xml:space="preserve"> </w:t>
      </w:r>
      <w:r>
        <w:t xml:space="preserve">- R1 Strategic 15: thin reserves, peg adjusted, exposure repriced. Response: banded rate, quarterly review; trigger: announcement, re-baseline in 30 days. WHY top: it invalidates the arithmetic itself.</w:t>
      </w:r>
      <w:r>
        <w:t xml:space="preserve"> </w:t>
      </w:r>
      <w:r>
        <w:t xml:space="preserve">- R2 Financial 15: FX rationing, dollars unavailable, production threatened. Multi-bank, safety stock; trigger: refusal, draw buffer, escalate. This is the water-security risk.</w:t>
      </w:r>
      <w:r>
        <w:t xml:space="preserve"> </w:t>
      </w:r>
      <w:r>
        <w:t xml:space="preserve">- R3 Stakeholder 12: resorts refuse USD billing, outcome missed. New contracts only; trigger under 50% uptake Q1 2027: FX-indexed rufiyaa pricing. The fallback keeps the economics while conceding the currency.</w:t>
      </w:r>
      <w:r>
        <w:t xml:space="preserve"> </w:t>
      </w:r>
      <w:r>
        <w:t xml:space="preserve">- R4 Governance 12: clauses rejected or sponsorship lapses, margins exposed. FIDIC precedent, re-secure sponsorship; trigger: rejection, ring-fence funds.</w:t>
      </w:r>
      <w:r>
        <w:t xml:space="preserve"> </w:t>
      </w:r>
      <w:r>
        <w:t xml:space="preserve">- R5 Delivery 9: change fatigue, benefits slip past Gate 2. Embed in KPIs; trigger: two missed milestones, re-phase.</w:t>
      </w:r>
      <w:r>
        <w:t xml:space="preserve"> </w:t>
      </w:r>
      <w:r>
        <w:t xml:space="preserve">- R6 Financial 8: estimated baselines, benefits overstated, case weakens. Conservative baselines, Internal Audit; trigger: under 35% at Gate 2, de-scope to B.</w:t>
      </w:r>
      <w:r>
        <w:t xml:space="preserve"> </w:t>
      </w:r>
      <w:r>
        <w:rPr>
          <w:bCs/>
          <w:b/>
        </w:rPr>
        <w:t xml:space="preserve">The hinge risk</w:t>
      </w:r>
      <w:r>
        <w:t xml:space="preserve">: its trigger is the gate and its response is the already-priced fallback, so governance and finance meet in one row.</w:t>
      </w:r>
      <w:r>
        <w:t xml:space="preserve"> </w:t>
      </w:r>
      <w:r>
        <w:t xml:space="preserve">- R7 Operational 8: consolidated imports, mis-forecast, spares stock-out. Criticality classes, min-max; trigger: A-class stock-out, air-freight.</w:t>
      </w:r>
      <w:r>
        <w:t xml:space="preserve"> </w:t>
      </w:r>
      <w:r>
        <w:t xml:space="preserve">- R8 Sustainability 6: discipline lapses after close, benefits erode. Corporate register, divisional KPIs; trigger: two quarters unreviewed, reinstate committee.</w:t>
      </w:r>
    </w:p>
    <w:p>
      <w:pPr>
        <w:pStyle w:val="BodyText"/>
      </w:pPr>
      <w:r>
        <w:rPr>
          <w:bCs/>
          <w:b/>
        </w:rPr>
        <w:t xml:space="preserve">WHY cause-event-effect phrasing.</w:t>
      </w:r>
      <w:r>
        <w:t xml:space="preserve"> </w:t>
      </w:r>
      <w:r>
        <w:t xml:space="preserve">It forces each risk to be a causal claim you can act on at three points: remove the cause, detect the event, limit the effect.</w:t>
      </w:r>
      <w:r>
        <w:t xml:space="preserve"> </w:t>
      </w:r>
      <w:r>
        <w:t xml:space="preserve">“</w:t>
      </w:r>
      <w:r>
        <w:t xml:space="preserve">Currency risk</w:t>
      </w:r>
      <w:r>
        <w:t xml:space="preserve">”</w:t>
      </w:r>
      <w:r>
        <w:t xml:space="preserve"> </w:t>
      </w:r>
      <w:r>
        <w:t xml:space="preserve">as a label is unmanageable;</w:t>
      </w:r>
      <w:r>
        <w:t xml:space="preserve"> </w:t>
      </w:r>
      <w:r>
        <w:t xml:space="preserve">“</w:t>
      </w:r>
      <w:r>
        <w:t xml:space="preserve">thin reserves lead to peg adjustment leads to repricing</w:t>
      </w:r>
      <w:r>
        <w:t xml:space="preserve">”</w:t>
      </w:r>
      <w:r>
        <w:t xml:space="preserve"> </w:t>
      </w:r>
      <w:r>
        <w:t xml:space="preserve">is.</w:t>
      </w:r>
    </w:p>
    <w:p>
      <w:pPr>
        <w:pStyle w:val="BodyText"/>
      </w:pPr>
      <w:r>
        <w:rPr>
          <w:bCs/>
          <w:b/>
        </w:rPr>
        <w:t xml:space="preserve">Likely questions.</w:t>
      </w:r>
    </w:p>
    <w:p>
      <w:pPr>
        <w:pStyle w:val="BodyText"/>
      </w:pPr>
      <w:r>
        <w:rPr>
          <w:iCs/>
          <w:i/>
        </w:rPr>
        <w:t xml:space="preserve">Q: Which risk worries you most?</w:t>
      </w:r>
      <w:r>
        <w:t xml:space="preserve"> </w:t>
      </w:r>
      <w:r>
        <w:t xml:space="preserve">A: R2, because it is the one that touches water supply, and its levers are partly outside MWSC. That is why the buffer exists, why banking is multi-bank, and why the escalation is framed as water security, which changes how the authorities hear it.</w:t>
      </w:r>
    </w:p>
    <w:p>
      <w:pPr>
        <w:pStyle w:val="BodyText"/>
      </w:pPr>
      <w:r>
        <w:rPr>
          <w:iCs/>
          <w:i/>
        </w:rPr>
        <w:t xml:space="preserve">Q: Why does nothing in the register overturn your recommendation?</w:t>
      </w:r>
      <w:r>
        <w:t xml:space="preserve"> </w:t>
      </w:r>
      <w:r>
        <w:t xml:space="preserve">A: Only R1 to R4 could, and each carries a fallback preserving the core logic: re-baseline, buffer, indexed pricing, ring-fenced funds. The register was built to test the recommendation, and the recommendation survived it; that is what the caption states.</w:t>
      </w:r>
    </w:p>
    <w:p>
      <w:r>
        <w:pict>
          <v:rect style="width:0;height:1.5pt" o:hralign="center" o:hrstd="t" o:hr="t"/>
        </w:pict>
      </w:r>
    </w:p>
    <w:bookmarkEnd w:id="32"/>
    <w:bookmarkStart w:id="33" w:name="conclusion"/>
    <w:p>
      <w:pPr>
        <w:pStyle w:val="Heading2"/>
      </w:pPr>
      <w:r>
        <w:t xml:space="preserve">6. CONCLUSION</w:t>
      </w:r>
    </w:p>
    <w:p>
      <w:pPr>
        <w:pStyle w:val="FirstParagraph"/>
      </w:pPr>
      <w:r>
        <w:rPr>
          <w:bCs/>
          <w:b/>
        </w:rPr>
        <w:t xml:space="preserve">WHAT it says.</w:t>
      </w:r>
      <w:r>
        <w:t xml:space="preserve"> </w:t>
      </w:r>
      <w:r>
        <w:t xml:space="preserve">Causes are internal and all addressed; the appraisal outperforms both alternatives on every weighting tested; the logframe and register pre-state how delivery is measured and what happens on failure; approval requested: a gated 0.3% of revenue against an exposure in the tens of millions.</w:t>
      </w:r>
    </w:p>
    <w:p>
      <w:pPr>
        <w:pStyle w:val="BodyText"/>
      </w:pPr>
      <w:r>
        <w:rPr>
          <w:bCs/>
          <w:b/>
        </w:rPr>
        <w:t xml:space="preserve">WHY it closes on the asymmetry.</w:t>
      </w:r>
      <w:r>
        <w:t xml:space="preserve"> </w:t>
      </w:r>
      <w:r>
        <w:t xml:space="preserve">The final sentence is the whole case compressed: small, controlled, reversible spend against large, unmanaged, compounding loss. If you get one sentence in the defence, it is this one.</w:t>
      </w:r>
    </w:p>
    <w:p>
      <w:r>
        <w:pict>
          <v:rect style="width:0;height:1.5pt" o:hralign="center" o:hrstd="t" o:hr="t"/>
        </w:pict>
      </w:r>
    </w:p>
    <w:bookmarkEnd w:id="33"/>
    <w:bookmarkStart w:id="34" w:name="cross-cutting-defence-preparation"/>
    <w:p>
      <w:pPr>
        <w:pStyle w:val="Heading2"/>
      </w:pPr>
      <w:r>
        <w:t xml:space="preserve">CROSS-CUTTING DEFENCE PREPARATION</w:t>
      </w:r>
    </w:p>
    <w:p>
      <w:pPr>
        <w:pStyle w:val="FirstParagraph"/>
      </w:pPr>
      <w:r>
        <w:rPr>
          <w:bCs/>
          <w:b/>
        </w:rPr>
        <w:t xml:space="preserve">The five questions most likely to open the defence, with your first lines.</w:t>
      </w:r>
      <w:r>
        <w:t xml:space="preserve"> </w:t>
      </w:r>
      <w:r>
        <w:t xml:space="preserve">1.</w:t>
      </w:r>
      <w:r>
        <w:t xml:space="preserve"> </w:t>
      </w:r>
      <w:r>
        <w:rPr>
          <w:iCs/>
          <w:i/>
        </w:rPr>
        <w:t xml:space="preserve">Summarise your proposal in a minute.</w:t>
      </w:r>
      <w:r>
        <w:t xml:space="preserve"> </w:t>
      </w:r>
      <w:r>
        <w:t xml:space="preserve">Use the intro one-liner plus the asymmetry close.</w:t>
      </w:r>
      <w:r>
        <w:t xml:space="preserve"> </w:t>
      </w:r>
      <w:r>
        <w:t xml:space="preserve">2.</w:t>
      </w:r>
      <w:r>
        <w:t xml:space="preserve"> </w:t>
      </w:r>
      <w:r>
        <w:rPr>
          <w:iCs/>
          <w:i/>
        </w:rPr>
        <w:t xml:space="preserve">What is your weakest number?</w:t>
      </w:r>
      <w:r>
        <w:t xml:space="preserve"> </w:t>
      </w:r>
      <w:r>
        <w:t xml:space="preserve">The 20 to 25% dollar-linked share; answer with the register-replaces-it, Gate-2-retests-it structure, then land the 71.5 beat: averaging my bases would give 71.5m, I modelled 55, so a quarter of the arguable benefit is already left out.</w:t>
      </w:r>
      <w:r>
        <w:t xml:space="preserve"> </w:t>
      </w:r>
      <w:r>
        <w:t xml:space="preserve">3.</w:t>
      </w:r>
      <w:r>
        <w:t xml:space="preserve"> </w:t>
      </w:r>
      <w:r>
        <w:rPr>
          <w:iCs/>
          <w:i/>
        </w:rPr>
        <w:t xml:space="preserve">Why should MWSC do this now?</w:t>
      </w:r>
      <w:r>
        <w:t xml:space="preserve"> </w:t>
      </w:r>
      <w:r>
        <w:t xml:space="preserve">Rate at a record 22.25, margins already down 7.5 points in six months, and the plan’s own goals waiting to be operationalised.</w:t>
      </w:r>
      <w:r>
        <w:t xml:space="preserve"> </w:t>
      </w:r>
      <w:r>
        <w:t xml:space="preserve">4.</w:t>
      </w:r>
      <w:r>
        <w:t xml:space="preserve"> </w:t>
      </w:r>
      <w:r>
        <w:rPr>
          <w:iCs/>
          <w:i/>
        </w:rPr>
        <w:t xml:space="preserve">What would make you stop the project?</w:t>
      </w:r>
      <w:r>
        <w:t xml:space="preserve"> </w:t>
      </w:r>
      <w:r>
        <w:t xml:space="preserve">Under 35% realisation at Gate 2: de-scope to B. Named, priced, pre-agreed.</w:t>
      </w:r>
      <w:r>
        <w:t xml:space="preserve"> </w:t>
      </w:r>
      <w:r>
        <w:t xml:space="preserve">5.</w:t>
      </w:r>
      <w:r>
        <w:t xml:space="preserve"> </w:t>
      </w:r>
      <w:r>
        <w:rPr>
          <w:iCs/>
          <w:i/>
        </w:rPr>
        <w:t xml:space="preserve">What did you learn doing this?</w:t>
      </w:r>
      <w:r>
        <w:t xml:space="preserve"> </w:t>
      </w:r>
      <w:r>
        <w:t xml:space="preserve">Have a genuine answer ready; suggested spine: the difference between evidencing a presence and evidencing an absence (the causes 2 and 3 inference), and that conservatism is a design choice, not a mood.</w:t>
      </w:r>
    </w:p>
    <w:p>
      <w:pPr>
        <w:pStyle w:val="BodyText"/>
      </w:pPr>
      <w:r>
        <w:rPr>
          <w:bCs/>
          <w:b/>
        </w:rPr>
        <w:t xml:space="preserve">Numbers to hold in memory, one line each.</w:t>
      </w:r>
      <w:r>
        <w:t xml:space="preserve"> </w:t>
      </w:r>
      <w:r>
        <w:t xml:space="preserve">22.25 and 44.3% (Adhadhu, 11 Aug 2026). 15.42 peg. Band 22.00 to 22.50 = rate ± one month’s drift (0.25/month in 2026). 935.3m opex 2024 (p.34). 187 to 234 dollar-linked base. 83 to 104 vs peg; 44 to 55 vs realised (+23.5%); 55 = ceiling of the realised base; blended midpoint 71.5, so a quarter left out. Stress ±10%: 20.03 maps to ~48% realisation, NPV ~12m; 24.48 lifts the case by half. A3: floor 25 = 45% of 55; ceiling 40 ≈ 73%; procurement 9 to 12m from the 5% goal. 4.5m + 1.2m/yr; 12%; NPV 33.43; BCR 5.84; break-even 17.1%; ramp 15/35/45; Gate 2 = 35%. Matrix 2.45 / 3.25 / 4.30; stress 4.00 / 3.40 / 3.05. Bond 111.15m at 7.5% (p.39). Cash 50.2 vs receivables 877.8; KAM 192.1 (p.40). FY2025: 1,374m and 146m. H1 2026: 749.3 vs 800.8, gap 1.9% to 10.9%. Margin 57.3 to 49.8.</w:t>
      </w:r>
    </w:p>
    <w:p>
      <w:pPr>
        <w:pStyle w:val="BodyText"/>
      </w:pPr>
      <w:r>
        <w:rPr>
          <w:bCs/>
          <w:b/>
        </w:rPr>
        <w:t xml:space="preserve">Framework one-liners, in case asked</w:t>
      </w:r>
      <w:r>
        <w:rPr>
          <w:bCs/>
          <w:b/>
        </w:rPr>
        <w:t xml:space="preserve"> </w:t>
      </w:r>
      <w:r>
        <w:rPr>
          <w:bCs/>
          <w:b/>
        </w:rPr>
        <w:t xml:space="preserve">“</w:t>
      </w:r>
      <w:r>
        <w:rPr>
          <w:bCs/>
          <w:b/>
        </w:rPr>
        <w:t xml:space="preserve">why this theory.</w:t>
      </w:r>
      <w:r>
        <w:rPr>
          <w:bCs/>
          <w:b/>
        </w:rPr>
        <w:t xml:space="preserve">”</w:t>
      </w:r>
      <w:r>
        <w:t xml:space="preserve"> </w:t>
      </w:r>
      <w:r>
        <w:t xml:space="preserve">Freeman: who matters and how much. Mitchell, Agle and Wood: urgency and legitimacy catch what the 2x2 misses. Ishikawa: structure causes so none are missed; categories adapted to the problem. Argyris: fix the governing assumption, not just the process. Barney: value comes from capabilities that are valuable, rare, inimitable. Callahan and Brooks: projects must serve the strategy mix, here its financial element. Schmidt: four questions every plan must answer. Barclay and Osei-Bryson: programme-level risk for developing-economy strategic projects. Snowden and Boone: complex domains need probe-sense-respond, hence gates. HM Treasury: NPV over IRR where IRR misleads. ISO 31000: the risk method standard.</w:t>
      </w:r>
    </w:p>
    <w:p>
      <w:pPr>
        <w:pStyle w:val="BodyText"/>
      </w:pPr>
      <w:r>
        <w:rPr>
          <w:bCs/>
          <w:b/>
        </w:rPr>
        <w:t xml:space="preserve">Housekeeping before submission.</w:t>
      </w:r>
      <w:r>
        <w:t xml:space="preserve"> </w:t>
      </w:r>
      <w:r>
        <w:t xml:space="preserve">Verify 186.9m and the share count against the source PDFs. Add the AI-use declaration in Villa College’s format if policy requires. Confirm the presentation/defence mark split with Mr. Haleem (the brief’s prose and rubric differ, 10/20 versus 5/25).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2026-08-13T14:54:31Z</dcterms:created>
  <dcterms:modified xsi:type="dcterms:W3CDTF">2026-08-13T14:54:31Z</dcterms:modified>
</cp:coreProperties>
</file>

<file path=docProps/custom.xml><?xml version="1.0" encoding="utf-8"?>
<Properties xmlns="http://schemas.openxmlformats.org/officeDocument/2006/custom-properties" xmlns:vt="http://schemas.openxmlformats.org/officeDocument/2006/docPropsVTypes"/>
</file>