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Times New Roman" w:hAnsi="Times New Roman" w:eastAsia="黑体"/>
          <w:sz w:val="28"/>
          <w:szCs w:val="28"/>
        </w:rPr>
      </w:pPr>
      <w:r>
        <w:rPr>
          <w:rFonts w:hint="eastAsia" w:ascii="Times New Roman" w:hAnsi="Times New Roman" w:eastAsia="黑体"/>
          <w:sz w:val="28"/>
          <w:szCs w:val="28"/>
        </w:rPr>
        <w:t>研究生培养环节导师抽检情况汇总表</w:t>
      </w:r>
    </w:p>
    <w:tbl>
      <w:tblPr>
        <w:tblStyle w:val="5"/>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号</w:t>
            </w:r>
          </w:p>
        </w:tc>
        <w:tc>
          <w:tcPr>
            <w:tcW w:w="1624" w:type="dxa"/>
            <w:noWrap w:val="0"/>
            <w:vAlign w:val="center"/>
          </w:tcPr>
          <w:p w14:paraId="1B759B01">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rPr>
              <w:t>2024</w:t>
            </w:r>
            <w:r>
              <w:rPr>
                <w:rFonts w:hint="eastAsia" w:ascii="Times New Roman" w:hAnsi="Times New Roman"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姓 名</w:t>
            </w:r>
          </w:p>
        </w:tc>
        <w:tc>
          <w:tcPr>
            <w:tcW w:w="2441" w:type="dxa"/>
            <w:noWrap w:val="0"/>
            <w:vAlign w:val="center"/>
          </w:tcPr>
          <w:p w14:paraId="30FA86F2">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院</w:t>
            </w:r>
          </w:p>
        </w:tc>
        <w:tc>
          <w:tcPr>
            <w:tcW w:w="2070" w:type="dxa"/>
            <w:noWrap w:val="0"/>
            <w:vAlign w:val="center"/>
          </w:tcPr>
          <w:p w14:paraId="0EAD25A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学生类别</w:t>
            </w:r>
          </w:p>
        </w:tc>
        <w:tc>
          <w:tcPr>
            <w:tcW w:w="7917" w:type="dxa"/>
            <w:gridSpan w:val="6"/>
            <w:noWrap w:val="0"/>
            <w:vAlign w:val="center"/>
          </w:tcPr>
          <w:p w14:paraId="2B45B1C6">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24"/>
                <w:szCs w:val="24"/>
                <w:lang w:eastAsia="zh-CN"/>
              </w:rPr>
              <w:t>☑</w:t>
            </w:r>
            <w:r>
              <w:rPr>
                <w:rFonts w:hint="eastAsia" w:ascii="Times New Roman" w:hAnsi="Times New Roman" w:eastAsia="微软雅黑" w:cs="微软雅黑"/>
                <w:sz w:val="24"/>
              </w:rPr>
              <w:t xml:space="preserve">学术学位硕士生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专业学位硕士生</w:t>
            </w:r>
          </w:p>
          <w:p w14:paraId="12D4E314">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 xml:space="preserve">学术学位博士生 </w:t>
            </w: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Times New Roman" w:hAnsi="Times New Roman" w:eastAsia="微软雅黑" w:cs="微软雅黑"/>
                <w:sz w:val="24"/>
              </w:rPr>
            </w:pPr>
            <w:r>
              <w:rPr>
                <w:rFonts w:hint="eastAsia" w:ascii="Times New Roman" w:hAnsi="Times New Roman" w:eastAsia="微软雅黑" w:cs="微软雅黑"/>
                <w:b w:val="0"/>
                <w:bCs w:val="0"/>
                <w:sz w:val="24"/>
                <w:u w:val="none"/>
              </w:rPr>
              <w:t>20</w:t>
            </w:r>
            <w:r>
              <w:rPr>
                <w:rFonts w:hint="eastAsia" w:ascii="Times New Roman" w:hAnsi="Times New Roman" w:eastAsia="微软雅黑" w:cs="微软雅黑"/>
                <w:b w:val="0"/>
                <w:bCs w:val="0"/>
                <w:sz w:val="24"/>
                <w:u w:val="single"/>
              </w:rPr>
              <w:t>24</w:t>
            </w:r>
            <w:r>
              <w:rPr>
                <w:rFonts w:hint="eastAsia" w:ascii="Times New Roman" w:hAnsi="Times New Roman" w:eastAsia="微软雅黑" w:cs="微软雅黑"/>
                <w:sz w:val="24"/>
              </w:rPr>
              <w:t>——</w:t>
            </w:r>
            <w:r>
              <w:rPr>
                <w:rFonts w:hint="eastAsia" w:ascii="Times New Roman" w:hAnsi="Times New Roman" w:eastAsia="微软雅黑" w:cs="微软雅黑"/>
                <w:sz w:val="24"/>
                <w:u w:val="none"/>
              </w:rPr>
              <w:t>20</w:t>
            </w:r>
            <w:r>
              <w:rPr>
                <w:rFonts w:hint="eastAsia" w:ascii="Times New Roman" w:hAnsi="Times New Roman" w:eastAsia="微软雅黑" w:cs="微软雅黑"/>
                <w:sz w:val="24"/>
                <w:u w:val="single"/>
              </w:rPr>
              <w:t>2</w:t>
            </w:r>
            <w:r>
              <w:rPr>
                <w:rFonts w:hint="eastAsia" w:ascii="Times New Roman" w:hAnsi="Times New Roman" w:eastAsia="微软雅黑" w:cs="微软雅黑"/>
                <w:sz w:val="24"/>
                <w:u w:val="single"/>
                <w:lang w:val="en-US" w:eastAsia="zh-CN"/>
              </w:rPr>
              <w:t>5</w:t>
            </w:r>
            <w:r>
              <w:rPr>
                <w:rFonts w:hint="eastAsia" w:ascii="Times New Roman" w:hAnsi="Times New Roman" w:eastAsia="微软雅黑" w:cs="微软雅黑"/>
                <w:sz w:val="24"/>
              </w:rPr>
              <w:t>学年第</w:t>
            </w:r>
            <w:r>
              <w:rPr>
                <w:rFonts w:hint="eastAsia" w:ascii="Times New Roman" w:hAnsi="Times New Roman" w:eastAsia="微软雅黑" w:cs="微软雅黑"/>
                <w:sz w:val="24"/>
                <w:u w:val="single"/>
                <w:lang w:val="en-US" w:eastAsia="zh-CN"/>
              </w:rPr>
              <w:t>2</w:t>
            </w:r>
            <w:r>
              <w:rPr>
                <w:rFonts w:hint="eastAsia" w:ascii="Times New Roman" w:hAnsi="Times New Roman" w:eastAsia="微软雅黑" w:cs="微软雅黑"/>
                <w:sz w:val="24"/>
              </w:rPr>
              <w:t xml:space="preserve">学期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 xml:space="preserve">第9周  </w:t>
            </w:r>
            <w:r>
              <w:rPr>
                <w:rFonts w:hint="eastAsia" w:ascii="Times New Roman" w:hAnsi="Times New Roman" w:eastAsia="Segoe UI Symbol" w:cs="微软雅黑"/>
                <w:sz w:val="24"/>
                <w:lang w:eastAsia="zh-CN"/>
              </w:rPr>
              <w:t>☑</w:t>
            </w:r>
            <w:r>
              <w:rPr>
                <w:rFonts w:hint="eastAsia" w:ascii="Times New Roman" w:hAnsi="Times New Roman"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2D3253B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学术报告题目</w:t>
            </w:r>
          </w:p>
        </w:tc>
        <w:tc>
          <w:tcPr>
            <w:tcW w:w="2173" w:type="dxa"/>
            <w:gridSpan w:val="2"/>
            <w:noWrap w:val="0"/>
            <w:vAlign w:val="center"/>
          </w:tcPr>
          <w:p w14:paraId="05850F3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6</w:t>
            </w:r>
          </w:p>
        </w:tc>
        <w:tc>
          <w:tcPr>
            <w:tcW w:w="6277" w:type="dxa"/>
            <w:gridSpan w:val="5"/>
            <w:noWrap w:val="0"/>
            <w:vAlign w:val="center"/>
          </w:tcPr>
          <w:p w14:paraId="291FE7C2">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Pathways and Solutions towards Net-Zero Whole-Life Carbon Buildings</w:t>
            </w:r>
          </w:p>
        </w:tc>
        <w:tc>
          <w:tcPr>
            <w:tcW w:w="2173" w:type="dxa"/>
            <w:gridSpan w:val="2"/>
            <w:noWrap w:val="0"/>
            <w:vAlign w:val="center"/>
          </w:tcPr>
          <w:p w14:paraId="0A1341DE">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2025.5.28</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7</w:t>
            </w:r>
          </w:p>
        </w:tc>
        <w:tc>
          <w:tcPr>
            <w:tcW w:w="6277" w:type="dxa"/>
            <w:gridSpan w:val="5"/>
            <w:noWrap w:val="0"/>
            <w:vAlign w:val="center"/>
          </w:tcPr>
          <w:p w14:paraId="6DD3584C">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CFD高精度数值格式与数据驱动的高效优化方法</w:t>
            </w:r>
          </w:p>
        </w:tc>
        <w:tc>
          <w:tcPr>
            <w:tcW w:w="2173" w:type="dxa"/>
            <w:gridSpan w:val="2"/>
            <w:noWrap w:val="0"/>
            <w:vAlign w:val="center"/>
          </w:tcPr>
          <w:p w14:paraId="71D9C7CC">
            <w:pPr>
              <w:jc w:val="center"/>
              <w:rPr>
                <w:rFonts w:hint="default" w:ascii="Times New Roman" w:hAnsi="Times New Roman" w:eastAsia="微软雅黑" w:cs="微软雅黑"/>
                <w:sz w:val="24"/>
                <w:lang w:val="en-US"/>
              </w:rPr>
            </w:pPr>
            <w:r>
              <w:rPr>
                <w:rFonts w:hint="eastAsia" w:ascii="Times New Roman" w:hAnsi="Times New Roman" w:eastAsia="微软雅黑" w:cs="微软雅黑"/>
                <w:sz w:val="24"/>
                <w:lang w:val="en-US" w:eastAsia="zh-CN"/>
              </w:rPr>
              <w:t>2025.6.27</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4FF06A7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研讨主题</w:t>
            </w:r>
          </w:p>
        </w:tc>
        <w:tc>
          <w:tcPr>
            <w:tcW w:w="2173" w:type="dxa"/>
            <w:gridSpan w:val="2"/>
            <w:noWrap w:val="0"/>
            <w:vAlign w:val="center"/>
          </w:tcPr>
          <w:p w14:paraId="12104D27">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9</w:t>
            </w:r>
          </w:p>
        </w:tc>
        <w:tc>
          <w:tcPr>
            <w:tcW w:w="6277" w:type="dxa"/>
            <w:gridSpan w:val="5"/>
            <w:noWrap w:val="0"/>
            <w:vAlign w:val="center"/>
          </w:tcPr>
          <w:p w14:paraId="26C8DEC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3C901E3B">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2025.6.20</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10</w:t>
            </w:r>
          </w:p>
        </w:tc>
        <w:tc>
          <w:tcPr>
            <w:tcW w:w="6277" w:type="dxa"/>
            <w:gridSpan w:val="5"/>
            <w:noWrap w:val="0"/>
            <w:vAlign w:val="center"/>
          </w:tcPr>
          <w:p w14:paraId="7DB5D79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68E3F14A">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2025.6.27</w:t>
            </w:r>
          </w:p>
        </w:tc>
      </w:tr>
      <w:tr w14:paraId="177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6" w:hRule="atLeast"/>
          <w:jc w:val="center"/>
        </w:trPr>
        <w:tc>
          <w:tcPr>
            <w:tcW w:w="827" w:type="dxa"/>
            <w:noWrap w:val="0"/>
            <w:vAlign w:val="center"/>
          </w:tcPr>
          <w:p w14:paraId="4C63212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11</w:t>
            </w:r>
          </w:p>
        </w:tc>
        <w:tc>
          <w:tcPr>
            <w:tcW w:w="6277" w:type="dxa"/>
            <w:gridSpan w:val="5"/>
            <w:noWrap w:val="0"/>
            <w:vAlign w:val="center"/>
          </w:tcPr>
          <w:p w14:paraId="34D77422">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3D2E59C7">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2025.7.4</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8450" w:type="dxa"/>
            <w:gridSpan w:val="7"/>
            <w:noWrap w:val="0"/>
            <w:vAlign w:val="center"/>
          </w:tcPr>
          <w:p w14:paraId="5F02C4C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rPr>
              <w:t>1</w:t>
            </w:r>
            <w:r>
              <w:rPr>
                <w:rFonts w:hint="eastAsia" w:ascii="Times New Roman" w:hAnsi="Times New Roman" w:eastAsia="微软雅黑" w:cs="微软雅黑"/>
                <w:sz w:val="24"/>
                <w:lang w:val="en-US" w:eastAsia="zh-CN"/>
              </w:rPr>
              <w:t>6</w:t>
            </w:r>
          </w:p>
        </w:tc>
        <w:tc>
          <w:tcPr>
            <w:tcW w:w="8450" w:type="dxa"/>
            <w:gridSpan w:val="7"/>
            <w:noWrap w:val="0"/>
            <w:vAlign w:val="center"/>
          </w:tcPr>
          <w:p w14:paraId="0606D5F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Not All Pixels Are Equal: Learning Pixel Hardness for Semantic Segmentation</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17</w:t>
            </w:r>
          </w:p>
        </w:tc>
        <w:tc>
          <w:tcPr>
            <w:tcW w:w="8450" w:type="dxa"/>
            <w:gridSpan w:val="7"/>
            <w:noWrap w:val="0"/>
            <w:vAlign w:val="center"/>
          </w:tcPr>
          <w:p w14:paraId="21111584">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Microsurgical Instrument Segmentation for Robot-Assisted Surgery</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18</w:t>
            </w:r>
          </w:p>
        </w:tc>
        <w:tc>
          <w:tcPr>
            <w:tcW w:w="8450" w:type="dxa"/>
            <w:gridSpan w:val="7"/>
            <w:noWrap w:val="0"/>
            <w:vAlign w:val="center"/>
          </w:tcPr>
          <w:p w14:paraId="528EAECF">
            <w:pPr>
              <w:jc w:val="center"/>
              <w:rPr>
                <w:rFonts w:ascii="Times New Roman" w:hAnsi="Times New Roman" w:eastAsia="微软雅黑" w:cs="微软雅黑"/>
                <w:sz w:val="24"/>
              </w:rPr>
            </w:pPr>
            <w:r>
              <w:rPr>
                <w:rFonts w:hint="eastAsia" w:ascii="Times New Roman" w:hAnsi="Times New Roman" w:eastAsia="微软雅黑" w:cs="微软雅黑"/>
                <w:sz w:val="24"/>
              </w:rPr>
              <w:t>Boltzmann Attention Sampling for Image Analysis with Small Objects</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19</w:t>
            </w:r>
          </w:p>
        </w:tc>
        <w:tc>
          <w:tcPr>
            <w:tcW w:w="8450" w:type="dxa"/>
            <w:gridSpan w:val="7"/>
            <w:noWrap w:val="0"/>
            <w:vAlign w:val="center"/>
          </w:tcPr>
          <w:p w14:paraId="2E1583F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QiGSAN: A Novel Probability-Informed Approach for Small Object Segmentation in the Case of Limited Image Datasets</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w:t>
            </w:r>
            <w:bookmarkStart w:id="0" w:name="_GoBack"/>
            <w:bookmarkEnd w:id="0"/>
          </w:p>
        </w:tc>
        <w:tc>
          <w:tcPr>
            <w:tcW w:w="8450" w:type="dxa"/>
            <w:gridSpan w:val="7"/>
            <w:noWrap w:val="0"/>
            <w:vAlign w:val="center"/>
          </w:tcPr>
          <w:p w14:paraId="0CBF2C0E">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CaraNet：Context Axial Reverse Attention Network for Segmentation of Small Medical Objects</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Times New Roman" w:hAnsi="Times New Roman" w:eastAsia="微软雅黑" w:cs="微软雅黑"/>
                <w:sz w:val="24"/>
              </w:rPr>
            </w:pPr>
            <w:r>
              <w:rPr>
                <w:rFonts w:hint="eastAsia" w:ascii="Times New Roman" w:hAnsi="Times New Roman" w:eastAsia="微软雅黑" w:cs="微软雅黑"/>
                <w:sz w:val="24"/>
              </w:rPr>
              <w:t xml:space="preserve">本人承诺：上述内容为本人根据导师抽查评阅情况如实填写。                           </w:t>
            </w:r>
          </w:p>
          <w:p w14:paraId="354112D2">
            <w:pPr>
              <w:ind w:firstLine="3840" w:firstLineChars="1600"/>
              <w:rPr>
                <w:rFonts w:hint="eastAsia" w:ascii="Times New Roman" w:hAnsi="Times New Roman" w:eastAsia="微软雅黑" w:cs="微软雅黑"/>
                <w:sz w:val="24"/>
              </w:rPr>
            </w:pPr>
            <w:r>
              <w:rPr>
                <w:rFonts w:hint="eastAsia" w:ascii="Times New Roman" w:hAnsi="Times New Roman" w:eastAsia="微软雅黑" w:cs="微软雅黑"/>
                <w:sz w:val="24"/>
              </w:rPr>
              <w:t xml:space="preserve"> 研究生本人签字：</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u w:val="single"/>
                <w:lang w:val="en-US" w:eastAsia="zh-CN"/>
              </w:rPr>
              <w:t>胡仕超</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rPr>
              <w:t xml:space="preserve">   </w:t>
            </w:r>
          </w:p>
          <w:p w14:paraId="1BE45DC6">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 xml:space="preserve">                                      </w:t>
            </w:r>
            <w:r>
              <w:rPr>
                <w:rFonts w:hint="eastAsia" w:ascii="Times New Roman" w:hAnsi="Times New Roman" w:eastAsia="微软雅黑" w:cs="微软雅黑"/>
                <w:sz w:val="24"/>
                <w:lang w:val="en-US" w:eastAsia="zh-CN"/>
              </w:rPr>
              <w:t>2025</w:t>
            </w:r>
            <w:r>
              <w:rPr>
                <w:rFonts w:hint="eastAsia" w:ascii="Times New Roman" w:hAnsi="Times New Roman" w:eastAsia="微软雅黑" w:cs="微软雅黑"/>
                <w:sz w:val="24"/>
              </w:rPr>
              <w:t xml:space="preserve">年 </w:t>
            </w:r>
            <w:r>
              <w:rPr>
                <w:rFonts w:hint="eastAsia" w:ascii="Times New Roman" w:hAnsi="Times New Roman" w:eastAsia="微软雅黑" w:cs="微软雅黑"/>
                <w:sz w:val="24"/>
                <w:lang w:val="en-US" w:eastAsia="zh-CN"/>
              </w:rPr>
              <w:t>8</w:t>
            </w:r>
            <w:r>
              <w:rPr>
                <w:rFonts w:hint="eastAsia" w:ascii="Times New Roman" w:hAnsi="Times New Roman" w:eastAsia="微软雅黑" w:cs="微软雅黑"/>
                <w:sz w:val="24"/>
              </w:rPr>
              <w:t xml:space="preserve"> 月 </w:t>
            </w:r>
            <w:r>
              <w:rPr>
                <w:rFonts w:hint="eastAsia" w:ascii="Times New Roman" w:hAnsi="Times New Roman" w:eastAsia="微软雅黑" w:cs="微软雅黑"/>
                <w:sz w:val="24"/>
                <w:lang w:val="en-US" w:eastAsia="zh-CN"/>
              </w:rPr>
              <w:t>25</w:t>
            </w:r>
            <w:r>
              <w:rPr>
                <w:rFonts w:hint="eastAsia" w:ascii="Times New Roman" w:hAnsi="Times New Roman" w:eastAsia="微软雅黑" w:cs="微软雅黑"/>
                <w:sz w:val="24"/>
              </w:rPr>
              <w:t>日</w:t>
            </w:r>
          </w:p>
        </w:tc>
      </w:tr>
    </w:tbl>
    <w:p w14:paraId="4B0A9DC5">
      <w:pPr>
        <w:ind w:firstLine="480" w:firstLineChars="200"/>
        <w:jc w:val="center"/>
        <w:rPr>
          <w:rFonts w:hint="eastAsia" w:ascii="Times New Roman" w:hAnsi="Times New Roman" w:eastAsia="黑体" w:cs="黑体"/>
          <w:b/>
          <w:bCs/>
          <w:sz w:val="30"/>
          <w:szCs w:val="30"/>
        </w:rPr>
      </w:pPr>
      <w:r>
        <w:rPr>
          <w:rFonts w:hint="eastAsia" w:ascii="Times New Roman" w:hAnsi="Times New Roman" w:eastAsia="微软雅黑" w:cs="微软雅黑"/>
          <w:sz w:val="24"/>
        </w:rPr>
        <w:t xml:space="preserve">                 </w:t>
      </w:r>
    </w:p>
    <w:p w14:paraId="15F115EC">
      <w:pPr>
        <w:ind w:firstLine="602" w:firstLineChars="200"/>
        <w:jc w:val="center"/>
        <w:rPr>
          <w:rFonts w:hint="eastAsia" w:ascii="Times New Roman" w:hAnsi="Times New Roman" w:eastAsia="黑体" w:cs="黑体"/>
          <w:b/>
          <w:bCs/>
          <w:sz w:val="30"/>
          <w:szCs w:val="30"/>
        </w:rPr>
      </w:pPr>
    </w:p>
    <w:p w14:paraId="1C3A117A">
      <w:pPr>
        <w:ind w:firstLine="602" w:firstLineChars="200"/>
        <w:jc w:val="center"/>
        <w:rPr>
          <w:rFonts w:hint="eastAsia" w:ascii="Times New Roman" w:hAnsi="Times New Roman" w:eastAsia="黑体" w:cs="黑体"/>
          <w:b/>
          <w:bCs/>
          <w:sz w:val="30"/>
          <w:szCs w:val="30"/>
        </w:rPr>
      </w:pPr>
    </w:p>
    <w:p w14:paraId="6F0D276F">
      <w:pPr>
        <w:ind w:firstLine="602" w:firstLineChars="200"/>
        <w:jc w:val="center"/>
        <w:rPr>
          <w:rFonts w:hint="eastAsia" w:ascii="Times New Roman" w:hAnsi="Times New Roman" w:eastAsia="黑体" w:cs="黑体"/>
          <w:b/>
          <w:bCs/>
          <w:sz w:val="30"/>
          <w:szCs w:val="30"/>
        </w:rPr>
      </w:pPr>
    </w:p>
    <w:p w14:paraId="53A87C94">
      <w:pPr>
        <w:ind w:firstLine="602" w:firstLineChars="200"/>
        <w:jc w:val="center"/>
        <w:rPr>
          <w:rFonts w:hint="eastAsia" w:ascii="Times New Roman" w:hAnsi="Times New Roman" w:eastAsia="黑体" w:cs="黑体"/>
          <w:b/>
          <w:bCs/>
          <w:sz w:val="30"/>
          <w:szCs w:val="30"/>
        </w:rPr>
      </w:pPr>
    </w:p>
    <w:p w14:paraId="61F529B9">
      <w:pPr>
        <w:ind w:firstLine="602" w:firstLineChars="200"/>
        <w:jc w:val="center"/>
        <w:rPr>
          <w:rFonts w:hint="eastAsia" w:ascii="Times New Roman" w:hAnsi="Times New Roman" w:eastAsia="黑体" w:cs="黑体"/>
          <w:b/>
          <w:bCs/>
          <w:sz w:val="30"/>
          <w:szCs w:val="30"/>
        </w:rPr>
      </w:pPr>
    </w:p>
    <w:p w14:paraId="0E737793">
      <w:pPr>
        <w:ind w:firstLine="602" w:firstLineChars="200"/>
        <w:jc w:val="center"/>
        <w:rPr>
          <w:rFonts w:hint="eastAsia" w:ascii="Times New Roman" w:hAnsi="Times New Roman" w:eastAsia="黑体" w:cs="黑体"/>
          <w:b/>
          <w:bCs/>
          <w:sz w:val="30"/>
          <w:szCs w:val="30"/>
        </w:rPr>
      </w:pPr>
    </w:p>
    <w:p w14:paraId="1C05E4FA">
      <w:pPr>
        <w:ind w:firstLine="602" w:firstLineChars="200"/>
        <w:jc w:val="center"/>
        <w:rPr>
          <w:rFonts w:hint="eastAsia" w:ascii="Times New Roman" w:hAnsi="Times New Roman" w:eastAsia="黑体" w:cs="黑体"/>
          <w:b/>
          <w:bCs/>
          <w:sz w:val="30"/>
          <w:szCs w:val="30"/>
        </w:rPr>
      </w:pPr>
    </w:p>
    <w:p w14:paraId="1361CD5B">
      <w:pPr>
        <w:ind w:firstLine="602" w:firstLineChars="200"/>
        <w:jc w:val="center"/>
        <w:rPr>
          <w:rFonts w:hint="eastAsia" w:ascii="Times New Roman" w:hAnsi="Times New Roman" w:eastAsia="黑体" w:cs="黑体"/>
          <w:b/>
          <w:bCs/>
          <w:sz w:val="30"/>
          <w:szCs w:val="30"/>
        </w:rPr>
      </w:pPr>
    </w:p>
    <w:p w14:paraId="283AC97D">
      <w:pPr>
        <w:ind w:firstLine="602" w:firstLineChars="200"/>
        <w:jc w:val="center"/>
        <w:rPr>
          <w:rFonts w:hint="eastAsia" w:ascii="Times New Roman" w:hAnsi="Times New Roman" w:eastAsia="黑体" w:cs="黑体"/>
          <w:b/>
          <w:bCs/>
          <w:sz w:val="30"/>
          <w:szCs w:val="30"/>
        </w:rPr>
      </w:pPr>
    </w:p>
    <w:p w14:paraId="3942BEA1">
      <w:pPr>
        <w:ind w:firstLine="602" w:firstLineChars="200"/>
        <w:jc w:val="center"/>
        <w:rPr>
          <w:rFonts w:hint="eastAsia" w:ascii="Times New Roman" w:hAnsi="Times New Roman" w:eastAsia="黑体" w:cs="黑体"/>
          <w:b/>
          <w:bCs/>
          <w:sz w:val="30"/>
          <w:szCs w:val="30"/>
        </w:rPr>
      </w:pPr>
    </w:p>
    <w:p w14:paraId="6D0D7894">
      <w:pPr>
        <w:ind w:firstLine="602" w:firstLineChars="200"/>
        <w:jc w:val="center"/>
        <w:rPr>
          <w:rFonts w:hint="eastAsia" w:ascii="Times New Roman" w:hAnsi="Times New Roman" w:eastAsia="黑体" w:cs="黑体"/>
          <w:b/>
          <w:bCs/>
          <w:sz w:val="30"/>
          <w:szCs w:val="30"/>
        </w:rPr>
      </w:pPr>
    </w:p>
    <w:p w14:paraId="585B76CB">
      <w:pPr>
        <w:ind w:firstLine="602" w:firstLineChars="200"/>
        <w:jc w:val="center"/>
        <w:rPr>
          <w:rFonts w:hint="eastAsia" w:ascii="Times New Roman" w:hAnsi="Times New Roman" w:eastAsia="黑体" w:cs="黑体"/>
          <w:b/>
          <w:bCs/>
          <w:sz w:val="30"/>
          <w:szCs w:val="30"/>
        </w:rPr>
      </w:pPr>
    </w:p>
    <w:p w14:paraId="2A56D84C">
      <w:pPr>
        <w:ind w:firstLine="602" w:firstLineChars="200"/>
        <w:jc w:val="center"/>
        <w:rPr>
          <w:rFonts w:hint="eastAsia" w:ascii="Times New Roman" w:hAnsi="Times New Roman" w:eastAsia="黑体" w:cs="黑体"/>
          <w:b/>
          <w:bCs/>
          <w:sz w:val="30"/>
          <w:szCs w:val="30"/>
        </w:rPr>
      </w:pPr>
    </w:p>
    <w:p w14:paraId="6A5CCC2B">
      <w:pPr>
        <w:ind w:firstLine="602" w:firstLineChars="200"/>
        <w:jc w:val="center"/>
        <w:rPr>
          <w:rFonts w:hint="eastAsia" w:ascii="Times New Roman" w:hAnsi="Times New Roman" w:eastAsia="黑体" w:cs="黑体"/>
          <w:b/>
          <w:bCs/>
          <w:sz w:val="30"/>
          <w:szCs w:val="30"/>
        </w:rPr>
      </w:pPr>
    </w:p>
    <w:p w14:paraId="31E7EC47">
      <w:pPr>
        <w:ind w:firstLine="602" w:firstLineChars="200"/>
        <w:jc w:val="center"/>
        <w:rPr>
          <w:rFonts w:hint="eastAsia" w:ascii="Times New Roman" w:hAnsi="Times New Roman" w:eastAsia="黑体" w:cs="黑体"/>
          <w:b/>
          <w:bCs/>
          <w:sz w:val="30"/>
          <w:szCs w:val="30"/>
        </w:rPr>
      </w:pPr>
    </w:p>
    <w:p w14:paraId="6FD5FDC2">
      <w:pPr>
        <w:spacing w:line="360" w:lineRule="auto"/>
        <w:jc w:val="center"/>
        <w:rPr>
          <w:rFonts w:hint="eastAsia" w:ascii="Times New Roman" w:hAnsi="Times New Roman" w:eastAsia="黑体"/>
          <w:sz w:val="28"/>
          <w:szCs w:val="28"/>
        </w:rPr>
      </w:pPr>
    </w:p>
    <w:p w14:paraId="37BAEA68">
      <w:pPr>
        <w:spacing w:line="360" w:lineRule="auto"/>
        <w:jc w:val="center"/>
        <w:rPr>
          <w:rFonts w:hint="eastAsia" w:ascii="Times New Roman" w:hAnsi="Times New Roman" w:eastAsia="黑体"/>
          <w:sz w:val="28"/>
          <w:szCs w:val="28"/>
        </w:rPr>
      </w:pPr>
    </w:p>
    <w:p w14:paraId="34ED8E3C">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ascii="Times New Roman" w:hAnsi="Times New Roman"/>
                <w:szCs w:val="21"/>
              </w:rPr>
            </w:pPr>
            <w:r>
              <w:rPr>
                <w:rFonts w:hint="eastAsia" w:ascii="Times New Roman" w:hAnsi="Times New Roman"/>
                <w:szCs w:val="21"/>
              </w:rPr>
              <w:t>学  号</w:t>
            </w:r>
          </w:p>
        </w:tc>
        <w:tc>
          <w:tcPr>
            <w:tcW w:w="981" w:type="pct"/>
            <w:noWrap w:val="0"/>
            <w:vAlign w:val="center"/>
          </w:tcPr>
          <w:p w14:paraId="3C6E6C28">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656" w:type="pct"/>
            <w:noWrap w:val="0"/>
            <w:vAlign w:val="center"/>
          </w:tcPr>
          <w:p w14:paraId="4F0140AC">
            <w:pPr>
              <w:jc w:val="center"/>
              <w:rPr>
                <w:rFonts w:hint="eastAsia" w:ascii="Times New Roman" w:hAnsi="Times New Roman"/>
                <w:szCs w:val="21"/>
              </w:rPr>
            </w:pPr>
            <w:r>
              <w:rPr>
                <w:rFonts w:hint="eastAsia" w:ascii="Times New Roman" w:hAnsi="Times New Roman"/>
                <w:szCs w:val="21"/>
              </w:rPr>
              <w:t>姓 名</w:t>
            </w:r>
          </w:p>
        </w:tc>
        <w:tc>
          <w:tcPr>
            <w:tcW w:w="2746" w:type="pct"/>
            <w:gridSpan w:val="3"/>
            <w:noWrap w:val="0"/>
            <w:vAlign w:val="center"/>
          </w:tcPr>
          <w:p w14:paraId="700A0699">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6</w:t>
            </w:r>
            <w:r>
              <w:rPr>
                <w:rFonts w:hint="eastAsia" w:ascii="Times New Roman" w:hAnsi="Times New Roman"/>
                <w:szCs w:val="21"/>
                <w:u w:val="single"/>
              </w:rPr>
              <w:t xml:space="preserve"> </w:t>
            </w:r>
            <w:r>
              <w:rPr>
                <w:rFonts w:hint="eastAsia" w:ascii="Times New Roman" w:hAnsi="Times New Roman"/>
                <w:szCs w:val="21"/>
              </w:rPr>
              <w:t>次</w:t>
            </w:r>
          </w:p>
        </w:tc>
        <w:tc>
          <w:tcPr>
            <w:tcW w:w="981" w:type="pct"/>
            <w:noWrap w:val="0"/>
            <w:vAlign w:val="center"/>
          </w:tcPr>
          <w:p w14:paraId="372E2EAE">
            <w:pPr>
              <w:jc w:val="center"/>
              <w:rPr>
                <w:rFonts w:hint="eastAsia" w:ascii="Times New Roman" w:hAnsi="Times New Roman"/>
                <w:szCs w:val="21"/>
              </w:rPr>
            </w:pPr>
            <w:r>
              <w:rPr>
                <w:rFonts w:hint="eastAsia" w:ascii="Times New Roman" w:hAnsi="Times New Roman"/>
                <w:szCs w:val="21"/>
              </w:rPr>
              <w:t>学术报告题目</w:t>
            </w:r>
          </w:p>
        </w:tc>
        <w:tc>
          <w:tcPr>
            <w:tcW w:w="3402" w:type="pct"/>
            <w:gridSpan w:val="4"/>
            <w:noWrap w:val="0"/>
            <w:vAlign w:val="center"/>
          </w:tcPr>
          <w:p w14:paraId="51BB8758">
            <w:pPr>
              <w:jc w:val="center"/>
              <w:rPr>
                <w:rFonts w:hint="eastAsia" w:ascii="Times New Roman" w:hAnsi="Times New Roman"/>
                <w:szCs w:val="21"/>
              </w:rPr>
            </w:pPr>
            <w:r>
              <w:rPr>
                <w:rFonts w:hint="eastAsia" w:ascii="Times New Roman" w:hAnsi="Times New Roman" w:eastAsia="微软雅黑" w:cs="微软雅黑"/>
                <w:sz w:val="24"/>
                <w:lang w:val="en-US" w:eastAsia="zh-CN"/>
              </w:rPr>
              <w:t>Pathways and Solutions towards Net-Zero Whole-Life Carbon Buildings</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ascii="Times New Roman" w:hAnsi="Times New Roman"/>
                <w:szCs w:val="21"/>
              </w:rPr>
            </w:pPr>
            <w:r>
              <w:rPr>
                <w:rFonts w:hint="eastAsia" w:ascii="Times New Roman" w:hAnsi="Times New Roman"/>
                <w:szCs w:val="21"/>
              </w:rPr>
              <w:t>主讲人</w:t>
            </w:r>
          </w:p>
        </w:tc>
        <w:tc>
          <w:tcPr>
            <w:tcW w:w="981" w:type="pct"/>
            <w:noWrap w:val="0"/>
            <w:vAlign w:val="center"/>
          </w:tcPr>
          <w:p w14:paraId="3D5736FC">
            <w:pPr>
              <w:ind w:firstLine="210" w:firstLineChars="100"/>
              <w:rPr>
                <w:rFonts w:hint="eastAsia" w:ascii="Times New Roman" w:hAnsi="Times New Roman"/>
                <w:szCs w:val="21"/>
                <w:lang w:val="en-US" w:eastAsia="zh-CN"/>
              </w:rPr>
            </w:pPr>
            <w:r>
              <w:rPr>
                <w:rFonts w:hint="eastAsia" w:ascii="Times New Roman" w:hAnsi="Times New Roman"/>
                <w:szCs w:val="21"/>
              </w:rPr>
              <w:t xml:space="preserve">  </w:t>
            </w:r>
            <w:r>
              <w:rPr>
                <w:rFonts w:hint="eastAsia" w:ascii="Times New Roman" w:hAnsi="Times New Roman"/>
                <w:szCs w:val="21"/>
                <w:lang w:val="en-US" w:eastAsia="zh-CN"/>
              </w:rPr>
              <w:t>Prof.Dr.</w:t>
            </w:r>
          </w:p>
          <w:p w14:paraId="073671B4">
            <w:pPr>
              <w:ind w:firstLine="210" w:firstLineChars="100"/>
              <w:rPr>
                <w:rFonts w:hint="default" w:ascii="Times New Roman" w:hAnsi="Times New Roman"/>
                <w:szCs w:val="21"/>
                <w:lang w:val="en-US" w:eastAsia="zh-CN"/>
              </w:rPr>
            </w:pPr>
            <w:r>
              <w:rPr>
                <w:rFonts w:hint="eastAsia" w:ascii="Times New Roman" w:hAnsi="Times New Roman"/>
                <w:szCs w:val="21"/>
                <w:lang w:val="en-US" w:eastAsia="zh-CN"/>
              </w:rPr>
              <w:t>Shady Attia</w:t>
            </w:r>
          </w:p>
        </w:tc>
        <w:tc>
          <w:tcPr>
            <w:tcW w:w="656" w:type="pct"/>
            <w:noWrap w:val="0"/>
            <w:vAlign w:val="center"/>
          </w:tcPr>
          <w:p w14:paraId="63CBF380">
            <w:pPr>
              <w:jc w:val="center"/>
              <w:rPr>
                <w:rFonts w:hint="eastAsia" w:ascii="Times New Roman" w:hAnsi="Times New Roman"/>
                <w:szCs w:val="21"/>
              </w:rPr>
            </w:pPr>
            <w:r>
              <w:rPr>
                <w:rFonts w:hint="eastAsia" w:ascii="Times New Roman" w:hAnsi="Times New Roman"/>
                <w:szCs w:val="21"/>
              </w:rPr>
              <w:t>时 间</w:t>
            </w:r>
          </w:p>
        </w:tc>
        <w:tc>
          <w:tcPr>
            <w:tcW w:w="1203" w:type="pct"/>
            <w:noWrap w:val="0"/>
            <w:vAlign w:val="center"/>
          </w:tcPr>
          <w:p w14:paraId="3B0A87FD">
            <w:pPr>
              <w:jc w:val="center"/>
              <w:rPr>
                <w:rFonts w:hint="eastAsia" w:ascii="Times New Roman" w:hAnsi="Times New Roman"/>
                <w:szCs w:val="21"/>
              </w:rPr>
            </w:pPr>
            <w:r>
              <w:rPr>
                <w:rFonts w:hint="eastAsia" w:ascii="Times New Roman" w:hAnsi="Times New Roman"/>
                <w:szCs w:val="21"/>
              </w:rPr>
              <w:t>202</w:t>
            </w:r>
            <w:r>
              <w:rPr>
                <w:rFonts w:hint="eastAsia" w:ascii="Times New Roman" w:hAnsi="Times New Roman"/>
                <w:szCs w:val="21"/>
                <w:lang w:val="en-US" w:eastAsia="zh-CN"/>
              </w:rPr>
              <w:t>5</w:t>
            </w:r>
            <w:r>
              <w:rPr>
                <w:rFonts w:hint="eastAsia" w:ascii="Times New Roman" w:hAnsi="Times New Roman"/>
                <w:szCs w:val="21"/>
              </w:rPr>
              <w:t>年</w:t>
            </w:r>
            <w:r>
              <w:rPr>
                <w:rFonts w:hint="eastAsia" w:ascii="Times New Roman" w:hAnsi="Times New Roman"/>
                <w:szCs w:val="21"/>
                <w:lang w:val="en-US" w:eastAsia="zh-CN"/>
              </w:rPr>
              <w:t>5</w:t>
            </w:r>
            <w:r>
              <w:rPr>
                <w:rFonts w:hint="eastAsia" w:ascii="Times New Roman" w:hAnsi="Times New Roman"/>
                <w:szCs w:val="21"/>
              </w:rPr>
              <w:t xml:space="preserve">月 </w:t>
            </w:r>
            <w:r>
              <w:rPr>
                <w:rFonts w:hint="eastAsia" w:ascii="Times New Roman" w:hAnsi="Times New Roman"/>
                <w:szCs w:val="21"/>
                <w:lang w:val="en-US" w:eastAsia="zh-CN"/>
              </w:rPr>
              <w:t>28</w:t>
            </w:r>
            <w:r>
              <w:rPr>
                <w:rFonts w:hint="eastAsia" w:ascii="Times New Roman" w:hAnsi="Times New Roman"/>
                <w:szCs w:val="21"/>
              </w:rPr>
              <w:t>日</w:t>
            </w:r>
          </w:p>
        </w:tc>
        <w:tc>
          <w:tcPr>
            <w:tcW w:w="493" w:type="pct"/>
            <w:noWrap w:val="0"/>
            <w:vAlign w:val="center"/>
          </w:tcPr>
          <w:p w14:paraId="67E2421C">
            <w:pPr>
              <w:jc w:val="center"/>
              <w:rPr>
                <w:rFonts w:hint="eastAsia" w:ascii="Times New Roman" w:hAnsi="Times New Roman"/>
                <w:b/>
                <w:bCs/>
                <w:sz w:val="24"/>
                <w:szCs w:val="24"/>
              </w:rPr>
            </w:pPr>
            <w:r>
              <w:rPr>
                <w:rFonts w:hint="eastAsia" w:ascii="Times New Roman" w:hAnsi="Times New Roman"/>
                <w:szCs w:val="21"/>
              </w:rPr>
              <w:t>地 点</w:t>
            </w:r>
          </w:p>
        </w:tc>
        <w:tc>
          <w:tcPr>
            <w:tcW w:w="1048" w:type="pct"/>
            <w:noWrap w:val="0"/>
            <w:vAlign w:val="center"/>
          </w:tcPr>
          <w:p w14:paraId="7F4CB958">
            <w:pPr>
              <w:jc w:val="both"/>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机械馆2530</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D211299">
            <w:pPr>
              <w:jc w:val="center"/>
              <w:rPr>
                <w:rFonts w:ascii="Times New Roman" w:hAnsi="Times New Roman"/>
                <w:b/>
                <w:bCs/>
                <w:szCs w:val="21"/>
              </w:rPr>
            </w:pPr>
            <w:r>
              <w:rPr>
                <w:rFonts w:hint="eastAsia" w:ascii="Times New Roman" w:hAnsi="Times New Roman"/>
                <w:b/>
                <w:bCs/>
                <w:szCs w:val="21"/>
              </w:rPr>
              <w:t>小结报告</w:t>
            </w:r>
          </w:p>
          <w:p w14:paraId="41179EE3">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随着全球气候变化问题的加剧，建筑行业作为温室气体排放的主要来源之一，已成为实现碳中和目标的关键领域。报告《Pathways and Solutions towards Net-Zero Whole-Life Carbon Buildings》探讨了如何通过有效路径和策略，实现建筑全生命周期的零碳排放。</w:t>
            </w:r>
          </w:p>
          <w:p w14:paraId="43076675">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报告指出，建筑的碳排放来自其全生命周期，包括设计、建造、运营和拆除等各个阶段。为了实现净零碳建筑，必须采取全面的策略来减少各阶段的碳排放。在设计阶段，建筑外立面的优化、热隔离设计和能源管理系统的应用能够显著提高建筑能效，减少能耗。此外，选用低碳建筑材料也是关键，使用可回收或低碳材料能够有效降低建筑的嵌入碳。</w:t>
            </w:r>
          </w:p>
          <w:p w14:paraId="35E62570">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可再生能源的集成是实现净零碳建筑目标的核心措施。报告强调，建筑应当充分利用太阳能、风能等可再生能源，通过安装光伏板、地源热泵等设施，减少建筑的运营碳排放，实现能源的自给自足。同时，建筑的智能化管理系统可以优化能源使用，降低运营阶段的碳排放。</w:t>
            </w:r>
          </w:p>
          <w:p w14:paraId="7D5B6728">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此外，建筑运营过程中的能源管理同样至关重要。通过智能调控空调、照明等系统，能够最大限度减少能源浪费，进一步降低碳排放。在建筑拆除阶段，选择可拆卸、可回收的建筑材料，有助于减少拆解过程中产生的碳排放，推动材料的循环利用。</w:t>
            </w:r>
          </w:p>
          <w:p w14:paraId="4926EEA5">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报告最后指出，净零碳建筑的实现离不开政府政策和行业标准的支持。政府应出台有力的法规和激励措施，推动建筑行业的绿色转型。行业标准的制定也为建筑项目提供了明确的碳排放控制目标和实施路径。</w:t>
            </w:r>
          </w:p>
          <w:p w14:paraId="0A900A83">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总体而言，报告为实现净零碳建筑提供了全面的解决方案。通过从建筑设计、材料选择、能源利用等多方面进行优化，建筑行业能够有效减少碳排放，为实现全球碳中和目标做出贡献。</w:t>
            </w:r>
          </w:p>
          <w:p w14:paraId="5D9469CC">
            <w:pPr>
              <w:jc w:val="left"/>
              <w:rPr>
                <w:rFonts w:hint="eastAsia" w:ascii="Times New Roman" w:hAnsi="Times New Roman"/>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7F551571">
            <w:pPr>
              <w:ind w:firstLine="420" w:firstLineChars="200"/>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本报告深入探讨了净零碳建筑的路径与解决方案，涵盖设计优化、低碳材料、可再生能源集成等方面，内容清晰、层次分明。报告紧扣行业需求，提供了可行的减排策略，具有较强的理论和实践价值。建议进一步深化技术应用分析，并补充政策层面的具体建议。</w:t>
            </w:r>
          </w:p>
          <w:p w14:paraId="5ECBAC5F">
            <w:pPr>
              <w:ind w:firstLine="420" w:firstLineChars="200"/>
              <w:rPr>
                <w:rFonts w:hint="eastAsia" w:ascii="Times New Roman" w:hAnsi="Times New Roman" w:eastAsia="宋体" w:cs="Times New Roman"/>
                <w:snapToGrid w:val="0"/>
                <w:kern w:val="0"/>
                <w:sz w:val="21"/>
                <w:szCs w:val="21"/>
                <w:lang w:val="en-US" w:eastAsia="zh-CN" w:bidi="ar-SA"/>
              </w:rPr>
            </w:pPr>
          </w:p>
          <w:p w14:paraId="4618C1AA">
            <w:pPr>
              <w:ind w:firstLine="420" w:firstLineChars="200"/>
              <w:rPr>
                <w:rFonts w:hint="eastAsia" w:ascii="Times New Roman" w:hAnsi="Times New Roman" w:eastAsia="宋体" w:cs="Times New Roman"/>
                <w:snapToGrid w:val="0"/>
                <w:kern w:val="0"/>
                <w:sz w:val="21"/>
                <w:szCs w:val="21"/>
                <w:lang w:val="en-US" w:eastAsia="zh-CN" w:bidi="ar-SA"/>
              </w:rPr>
            </w:pPr>
          </w:p>
          <w:p w14:paraId="434AFE77">
            <w:pPr>
              <w:ind w:firstLine="420" w:firstLineChars="200"/>
              <w:rPr>
                <w:rFonts w:hint="default" w:ascii="Times New Roman" w:hAnsi="Times New Roman" w:eastAsia="宋体"/>
                <w:szCs w:val="21"/>
                <w:lang w:val="en-US" w:eastAsia="zh-CN"/>
              </w:rPr>
            </w:pPr>
            <w:r>
              <w:rPr>
                <w:rFonts w:hint="eastAsia" w:ascii="Times New Roman" w:hAnsi="Times New Roman"/>
                <w:szCs w:val="21"/>
                <w:lang w:val="en-US" w:eastAsia="zh-CN"/>
              </w:rPr>
              <w:t xml:space="preserve">                                         </w:t>
            </w:r>
            <w:r>
              <w:rPr>
                <w:rFonts w:hint="eastAsia" w:ascii="Times New Roman" w:hAnsi="Times New Roman"/>
                <w:szCs w:val="21"/>
              </w:rPr>
              <w:t xml:space="preserve">导师签字： </w:t>
            </w:r>
            <w:r>
              <w:rPr>
                <w:rFonts w:ascii="Times New Roman" w:hAnsi="Times New Roman"/>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8</w:t>
            </w:r>
            <w:r>
              <w:rPr>
                <w:rFonts w:hint="eastAsia" w:ascii="Times New Roman" w:hAnsi="Times New Roman"/>
                <w:szCs w:val="21"/>
              </w:rPr>
              <w:t>月</w:t>
            </w:r>
            <w:r>
              <w:rPr>
                <w:rFonts w:hint="eastAsia" w:ascii="Times New Roman" w:hAnsi="Times New Roman"/>
                <w:szCs w:val="21"/>
                <w:lang w:val="en-US" w:eastAsia="zh-CN"/>
              </w:rPr>
              <w:t>25</w:t>
            </w:r>
            <w:r>
              <w:rPr>
                <w:rFonts w:hint="eastAsia" w:ascii="Times New Roman" w:hAnsi="Times New Roman"/>
                <w:szCs w:val="21"/>
              </w:rPr>
              <w:t>日</w:t>
            </w:r>
          </w:p>
        </w:tc>
      </w:tr>
    </w:tbl>
    <w:p w14:paraId="75B4E653">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5"/>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rPr>
        <w:tc>
          <w:tcPr>
            <w:tcW w:w="1048" w:type="dxa"/>
            <w:noWrap w:val="0"/>
            <w:vAlign w:val="center"/>
          </w:tcPr>
          <w:p w14:paraId="70631FED">
            <w:pPr>
              <w:jc w:val="center"/>
              <w:rPr>
                <w:rFonts w:hint="eastAsia" w:ascii="Times New Roman" w:hAnsi="Times New Roman"/>
                <w:szCs w:val="21"/>
              </w:rPr>
            </w:pPr>
            <w:r>
              <w:rPr>
                <w:rFonts w:hint="eastAsia" w:ascii="Times New Roman" w:hAnsi="Times New Roman"/>
                <w:szCs w:val="21"/>
              </w:rPr>
              <w:t>学  号</w:t>
            </w:r>
          </w:p>
        </w:tc>
        <w:tc>
          <w:tcPr>
            <w:tcW w:w="1670" w:type="dxa"/>
            <w:noWrap w:val="0"/>
            <w:vAlign w:val="center"/>
          </w:tcPr>
          <w:p w14:paraId="752FDD4C">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1117" w:type="dxa"/>
            <w:noWrap w:val="0"/>
            <w:vAlign w:val="center"/>
          </w:tcPr>
          <w:p w14:paraId="21028955">
            <w:pPr>
              <w:jc w:val="center"/>
              <w:rPr>
                <w:rFonts w:hint="eastAsia" w:ascii="Times New Roman" w:hAnsi="Times New Roman"/>
                <w:szCs w:val="21"/>
              </w:rPr>
            </w:pPr>
            <w:r>
              <w:rPr>
                <w:rFonts w:hint="eastAsia" w:ascii="Times New Roman" w:hAnsi="Times New Roman"/>
                <w:szCs w:val="21"/>
              </w:rPr>
              <w:t>姓 名</w:t>
            </w:r>
          </w:p>
        </w:tc>
        <w:tc>
          <w:tcPr>
            <w:tcW w:w="4673" w:type="dxa"/>
            <w:gridSpan w:val="3"/>
            <w:noWrap w:val="0"/>
            <w:vAlign w:val="center"/>
          </w:tcPr>
          <w:p w14:paraId="1B9F39FA">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7</w:t>
            </w:r>
            <w:r>
              <w:rPr>
                <w:rFonts w:hint="eastAsia" w:ascii="Times New Roman" w:hAnsi="Times New Roman"/>
                <w:szCs w:val="21"/>
                <w:u w:val="single"/>
              </w:rPr>
              <w:t xml:space="preserve"> </w:t>
            </w:r>
            <w:r>
              <w:rPr>
                <w:rFonts w:hint="eastAsia" w:ascii="Times New Roman" w:hAnsi="Times New Roman"/>
                <w:szCs w:val="21"/>
              </w:rPr>
              <w:t>次</w:t>
            </w:r>
          </w:p>
        </w:tc>
        <w:tc>
          <w:tcPr>
            <w:tcW w:w="1670" w:type="dxa"/>
            <w:noWrap w:val="0"/>
            <w:vAlign w:val="center"/>
          </w:tcPr>
          <w:p w14:paraId="19740876">
            <w:pPr>
              <w:jc w:val="center"/>
              <w:rPr>
                <w:rFonts w:hint="eastAsia" w:ascii="Times New Roman" w:hAnsi="Times New Roman"/>
                <w:szCs w:val="21"/>
              </w:rPr>
            </w:pPr>
            <w:r>
              <w:rPr>
                <w:rFonts w:hint="eastAsia" w:ascii="Times New Roman" w:hAnsi="Times New Roman"/>
                <w:szCs w:val="21"/>
              </w:rPr>
              <w:t>学术报告题目</w:t>
            </w:r>
          </w:p>
        </w:tc>
        <w:tc>
          <w:tcPr>
            <w:tcW w:w="5790" w:type="dxa"/>
            <w:gridSpan w:val="4"/>
            <w:noWrap w:val="0"/>
            <w:vAlign w:val="center"/>
          </w:tcPr>
          <w:p w14:paraId="7EB9895E">
            <w:pPr>
              <w:jc w:val="center"/>
              <w:rPr>
                <w:rFonts w:hint="eastAsia" w:ascii="Times New Roman" w:hAnsi="Times New Roman"/>
                <w:szCs w:val="21"/>
              </w:rPr>
            </w:pPr>
            <w:r>
              <w:rPr>
                <w:rFonts w:hint="eastAsia" w:ascii="Times New Roman" w:hAnsi="Times New Roman"/>
                <w:sz w:val="21"/>
                <w:szCs w:val="21"/>
                <w:lang w:val="en-US" w:eastAsia="zh-CN"/>
              </w:rPr>
              <w:t>CFD高精度数值格式与数据驱动的高效优化方法</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ascii="Times New Roman" w:hAnsi="Times New Roman"/>
                <w:szCs w:val="21"/>
              </w:rPr>
            </w:pPr>
            <w:r>
              <w:rPr>
                <w:rFonts w:hint="eastAsia" w:ascii="Times New Roman" w:hAnsi="Times New Roman"/>
                <w:szCs w:val="21"/>
              </w:rPr>
              <w:t>主讲人</w:t>
            </w:r>
          </w:p>
        </w:tc>
        <w:tc>
          <w:tcPr>
            <w:tcW w:w="1670" w:type="dxa"/>
            <w:noWrap w:val="0"/>
            <w:vAlign w:val="center"/>
          </w:tcPr>
          <w:p w14:paraId="66AD99A9">
            <w:pPr>
              <w:ind w:firstLine="210" w:firstLineChars="100"/>
              <w:rPr>
                <w:rFonts w:hint="default" w:ascii="Times New Roman" w:hAnsi="Times New Roman" w:eastAsia="宋体"/>
                <w:szCs w:val="21"/>
                <w:lang w:val="en-US" w:eastAsia="zh-CN"/>
              </w:rPr>
            </w:pPr>
            <w:r>
              <w:rPr>
                <w:rFonts w:hint="eastAsia" w:ascii="Times New Roman" w:hAnsi="Times New Roman"/>
                <w:szCs w:val="21"/>
              </w:rPr>
              <w:t xml:space="preserve">  </w:t>
            </w:r>
            <w:r>
              <w:rPr>
                <w:rFonts w:hint="eastAsia" w:ascii="Times New Roman" w:hAnsi="Times New Roman"/>
                <w:szCs w:val="21"/>
                <w:lang w:val="en-US" w:eastAsia="zh-CN"/>
              </w:rPr>
              <w:t>冯一琦</w:t>
            </w:r>
          </w:p>
        </w:tc>
        <w:tc>
          <w:tcPr>
            <w:tcW w:w="1117" w:type="dxa"/>
            <w:noWrap w:val="0"/>
            <w:vAlign w:val="center"/>
          </w:tcPr>
          <w:p w14:paraId="44BDB654">
            <w:pPr>
              <w:jc w:val="center"/>
              <w:rPr>
                <w:rFonts w:hint="eastAsia" w:ascii="Times New Roman" w:hAnsi="Times New Roman"/>
                <w:szCs w:val="21"/>
              </w:rPr>
            </w:pPr>
            <w:r>
              <w:rPr>
                <w:rFonts w:hint="eastAsia" w:ascii="Times New Roman" w:hAnsi="Times New Roman"/>
                <w:szCs w:val="21"/>
              </w:rPr>
              <w:t>时 间</w:t>
            </w:r>
          </w:p>
        </w:tc>
        <w:tc>
          <w:tcPr>
            <w:tcW w:w="2048" w:type="dxa"/>
            <w:noWrap w:val="0"/>
            <w:vAlign w:val="center"/>
          </w:tcPr>
          <w:p w14:paraId="0E0CC3DA">
            <w:pPr>
              <w:jc w:val="center"/>
              <w:rPr>
                <w:rFonts w:hint="eastAsia" w:ascii="Times New Roman" w:hAnsi="Times New Roman"/>
                <w:szCs w:val="21"/>
              </w:rPr>
            </w:pPr>
            <w:r>
              <w:rPr>
                <w:rFonts w:hint="eastAsia" w:ascii="Times New Roman" w:hAnsi="Times New Roman"/>
                <w:szCs w:val="21"/>
              </w:rPr>
              <w:t>202</w:t>
            </w:r>
            <w:r>
              <w:rPr>
                <w:rFonts w:hint="eastAsia" w:ascii="Times New Roman" w:hAnsi="Times New Roman"/>
                <w:szCs w:val="21"/>
                <w:lang w:val="en-US" w:eastAsia="zh-CN"/>
              </w:rPr>
              <w:t>5</w:t>
            </w:r>
            <w:r>
              <w:rPr>
                <w:rFonts w:hint="eastAsia" w:ascii="Times New Roman" w:hAnsi="Times New Roman"/>
                <w:szCs w:val="21"/>
              </w:rPr>
              <w:t>年</w:t>
            </w:r>
            <w:r>
              <w:rPr>
                <w:rFonts w:hint="eastAsia" w:ascii="Times New Roman" w:hAnsi="Times New Roman"/>
                <w:szCs w:val="21"/>
                <w:lang w:val="en-US" w:eastAsia="zh-CN"/>
              </w:rPr>
              <w:t>6</w:t>
            </w:r>
            <w:r>
              <w:rPr>
                <w:rFonts w:hint="eastAsia" w:ascii="Times New Roman" w:hAnsi="Times New Roman"/>
                <w:szCs w:val="21"/>
              </w:rPr>
              <w:t>月</w:t>
            </w:r>
            <w:r>
              <w:rPr>
                <w:rFonts w:hint="eastAsia" w:ascii="Times New Roman" w:hAnsi="Times New Roman"/>
                <w:szCs w:val="21"/>
                <w:lang w:val="en-US" w:eastAsia="zh-CN"/>
              </w:rPr>
              <w:t>27</w:t>
            </w:r>
            <w:r>
              <w:rPr>
                <w:rFonts w:hint="eastAsia" w:ascii="Times New Roman" w:hAnsi="Times New Roman"/>
                <w:szCs w:val="21"/>
              </w:rPr>
              <w:t>日</w:t>
            </w:r>
          </w:p>
        </w:tc>
        <w:tc>
          <w:tcPr>
            <w:tcW w:w="840" w:type="dxa"/>
            <w:noWrap w:val="0"/>
            <w:vAlign w:val="center"/>
          </w:tcPr>
          <w:p w14:paraId="1E977C0E">
            <w:pPr>
              <w:jc w:val="center"/>
              <w:rPr>
                <w:rFonts w:hint="eastAsia" w:ascii="Times New Roman" w:hAnsi="Times New Roman"/>
                <w:b/>
                <w:bCs/>
                <w:sz w:val="24"/>
                <w:szCs w:val="24"/>
              </w:rPr>
            </w:pPr>
            <w:r>
              <w:rPr>
                <w:rFonts w:hint="eastAsia" w:ascii="Times New Roman" w:hAnsi="Times New Roman"/>
                <w:szCs w:val="21"/>
              </w:rPr>
              <w:t>地 点</w:t>
            </w:r>
          </w:p>
        </w:tc>
        <w:tc>
          <w:tcPr>
            <w:tcW w:w="1785" w:type="dxa"/>
            <w:noWrap w:val="0"/>
            <w:vAlign w:val="center"/>
          </w:tcPr>
          <w:p w14:paraId="197519A5">
            <w:pPr>
              <w:jc w:val="center"/>
              <w:rPr>
                <w:rFonts w:hint="default" w:ascii="Times New Roman" w:hAnsi="Times New Roman" w:eastAsia="宋体"/>
                <w:sz w:val="24"/>
                <w:szCs w:val="24"/>
                <w:lang w:val="en-US" w:eastAsia="zh-CN"/>
              </w:rPr>
            </w:pPr>
            <w:r>
              <w:rPr>
                <w:rFonts w:hint="eastAsia" w:ascii="Times New Roman" w:hAnsi="Times New Roman"/>
                <w:szCs w:val="21"/>
                <w:lang w:val="en-US" w:eastAsia="zh-CN"/>
              </w:rPr>
              <w:t>机械馆2417</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ascii="Times New Roman" w:hAnsi="Times New Roman"/>
                <w:b/>
                <w:bCs/>
                <w:szCs w:val="21"/>
              </w:rPr>
            </w:pPr>
            <w:r>
              <w:rPr>
                <w:rFonts w:hint="eastAsia" w:ascii="Times New Roman" w:hAnsi="Times New Roman"/>
                <w:b/>
                <w:bCs/>
                <w:szCs w:val="21"/>
              </w:rPr>
              <w:t>小结报告</w:t>
            </w:r>
          </w:p>
          <w:p w14:paraId="043D1B1F">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随着计算流体力学（CFD）技术的不断发展，流体动力学仿真在工程领域的应用越来越广泛。然而，随着模拟问题的复杂性增加，传统的数值格式在精度与计算效率之间的平衡面临着挑战。报告《CFD高精度数值格式与数据驱动的高效优化方法》探讨了如何通过高精度数值格式与数据驱动的优化方法相结合，提升CFD仿真的精度与效率。</w:t>
            </w:r>
          </w:p>
          <w:p w14:paraId="5D128B45">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首先，报告分析了CFD仿真中高精度数值格式的关键作用。高精度数值格式能够减少数值误差，尤其是在求解复杂流动问题时，提高结果的准确性。例如，采用高阶有限差分、有限体积方法（FVM）以及谱方法等先进的数值格式，可以有效减少数值扩散，提升仿真精度。报告指出，这些方法在处理湍流、激波等非线性流动问题时，尤其展现出其优越性。</w:t>
            </w:r>
          </w:p>
          <w:p w14:paraId="6D5EF4E1">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然而，随着问题规模的增大和仿真精度的提高，计算成本也呈现出显著的增长。为了解决这一问题，报告进一步提出了数据驱动的高效优化方法。利用机器学习与数据挖掘技术，可以通过历史数据和仿真结果训练模型，从而在多维参数空间中快速找到最优解。这种基于数据的优化方法可以显著减少计算时间，同时提高优化过程的效率。</w:t>
            </w:r>
          </w:p>
          <w:p w14:paraId="16078304">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报告还讨论了高精度CFD仿真与数据驱动方法结合的实际应用案例。在航空航天、汽车工程和能源领域，通过集成这两种技术，能够大幅提升设计效率和仿真精度。例如，在飞行器外形设计中，结合高精度CFD分析与机器学习模型，可以加速优化过程，减少物理试验的需求，缩短产品研发周期。</w:t>
            </w:r>
          </w:p>
          <w:p w14:paraId="2EAA4FE4">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总结来说，报告提出的高精度数值格式与数据驱动优化方法相结合的技术路径，为CFD仿真提供了新的思路和解决方案。通过这些方法的应用，不仅能提高仿真精度，还能显著提升计算效率，对工程设计和优化具有重要的现实意义。</w:t>
            </w:r>
          </w:p>
          <w:p w14:paraId="42375188">
            <w:pPr>
              <w:spacing w:line="360" w:lineRule="auto"/>
              <w:ind w:firstLine="360" w:firstLineChars="200"/>
              <w:jc w:val="left"/>
              <w:rPr>
                <w:rFonts w:hint="eastAsia" w:ascii="Times New Roman" w:hAnsi="Times New Roman"/>
                <w:sz w:val="18"/>
                <w:szCs w:val="18"/>
              </w:rPr>
            </w:pP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445D2C3">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54D715A1">
            <w:pPr>
              <w:ind w:firstLine="420" w:firstLineChars="200"/>
              <w:rPr>
                <w:rFonts w:hint="eastAsia" w:ascii="Times New Roman" w:hAnsi="Times New Roman"/>
                <w:szCs w:val="21"/>
              </w:rPr>
            </w:pPr>
            <w:r>
              <w:rPr>
                <w:rFonts w:hint="eastAsia" w:ascii="Times New Roman" w:hAnsi="Times New Roman"/>
                <w:szCs w:val="21"/>
              </w:rPr>
              <w:t>本报告对CFD高精度数值格式与数据驱动优化方法进行了深入分析，内容全面且具有前瞻性。报告清晰阐述了高精度数值格式在CFD仿真中的重要性，并结合数据驱动方法探讨了如何提高计算效率，具有较强的理论深度与实践价值。报告中对技术应用的案例分析增强了理论的实用性。</w:t>
            </w:r>
          </w:p>
          <w:p w14:paraId="2E36D54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w:t>
            </w:r>
            <w:r>
              <w:rPr>
                <w:rFonts w:ascii="Times New Roman" w:hAnsi="Times New Roman"/>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ascii="Times New Roman" w:hAnsi="Times New Roman"/>
                <w:szCs w:val="21"/>
              </w:rPr>
              <w:t xml:space="preserve"> </w:t>
            </w:r>
          </w:p>
          <w:p w14:paraId="5BB24BBB">
            <w:pPr>
              <w:ind w:firstLine="4725" w:firstLineChars="2250"/>
              <w:rPr>
                <w:rFonts w:hint="eastAsia" w:ascii="Times New Roman" w:hAnsi="Times New Roman"/>
                <w:szCs w:val="21"/>
              </w:rPr>
            </w:pPr>
            <w:r>
              <w:rPr>
                <w:rFonts w:hint="eastAsia" w:ascii="Times New Roman" w:hAnsi="Times New Roman"/>
                <w:szCs w:val="21"/>
                <w:lang w:val="en-US" w:eastAsia="zh-CN"/>
              </w:rPr>
              <w:t>2025</w:t>
            </w:r>
            <w:r>
              <w:rPr>
                <w:rFonts w:hint="eastAsia" w:ascii="Times New Roman" w:hAnsi="Times New Roman"/>
                <w:szCs w:val="21"/>
              </w:rPr>
              <w:t>年</w:t>
            </w:r>
            <w:r>
              <w:rPr>
                <w:rFonts w:hint="eastAsia" w:ascii="Times New Roman" w:hAnsi="Times New Roman"/>
                <w:szCs w:val="21"/>
                <w:lang w:val="en-US" w:eastAsia="zh-CN"/>
              </w:rPr>
              <w:t>8</w:t>
            </w:r>
            <w:r>
              <w:rPr>
                <w:rFonts w:hint="eastAsia" w:ascii="Times New Roman" w:hAnsi="Times New Roman"/>
                <w:szCs w:val="21"/>
              </w:rPr>
              <w:t>月</w:t>
            </w:r>
            <w:r>
              <w:rPr>
                <w:rFonts w:hint="eastAsia" w:ascii="Times New Roman" w:hAnsi="Times New Roman"/>
                <w:szCs w:val="21"/>
                <w:lang w:val="en-US" w:eastAsia="zh-CN"/>
              </w:rPr>
              <w:t>25</w:t>
            </w:r>
            <w:r>
              <w:rPr>
                <w:rFonts w:hint="eastAsia" w:ascii="Times New Roman" w:hAnsi="Times New Roman"/>
                <w:szCs w:val="21"/>
              </w:rPr>
              <w:t>日</w:t>
            </w:r>
          </w:p>
        </w:tc>
      </w:tr>
    </w:tbl>
    <w:p w14:paraId="3B3E3714">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Times New Roman" w:hAnsi="Times New Roman" w:eastAsia="宋体"/>
                <w:sz w:val="24"/>
                <w:szCs w:val="24"/>
                <w:lang w:val="en-US" w:eastAsia="zh-CN"/>
              </w:rPr>
            </w:pPr>
            <w:r>
              <w:rPr>
                <w:rFonts w:hint="eastAsia" w:ascii="Times New Roman" w:hAnsi="Times New Roman"/>
                <w:sz w:val="24"/>
                <w:szCs w:val="24"/>
              </w:rPr>
              <w:t>20242</w:t>
            </w:r>
            <w:r>
              <w:rPr>
                <w:rFonts w:hint="eastAsia" w:ascii="Times New Roman" w:hAnsi="Times New Roman"/>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9</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6</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20</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w:t>
            </w:r>
            <w:r>
              <w:rPr>
                <w:rFonts w:hint="eastAsia" w:ascii="Times New Roman" w:hAnsi="Times New Roman"/>
                <w:sz w:val="24"/>
                <w:szCs w:val="24"/>
              </w:rPr>
              <w:t>2</w:t>
            </w:r>
            <w:r>
              <w:rPr>
                <w:rFonts w:hint="eastAsia" w:ascii="Times New Roman" w:hAnsi="Times New Roman"/>
                <w:sz w:val="24"/>
                <w:szCs w:val="24"/>
                <w:lang w:val="en-US" w:eastAsia="zh-CN"/>
              </w:rPr>
              <w:t>338</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2AAFFAA5">
            <w:pPr>
              <w:jc w:val="center"/>
              <w:rPr>
                <w:rFonts w:hint="eastAsia" w:ascii="Times New Roman" w:hAnsi="Times New Roman" w:eastAsia="黑体"/>
                <w:sz w:val="24"/>
                <w:szCs w:val="24"/>
              </w:rPr>
            </w:pPr>
            <w:r>
              <w:rPr>
                <w:rFonts w:hint="eastAsia" w:ascii="Times New Roman" w:hAnsi="Times New Roman" w:eastAsia="黑体"/>
                <w:sz w:val="24"/>
                <w:szCs w:val="24"/>
              </w:rPr>
              <w:t>孟祥印 田怀文 肖世德 熊鹰 路鹭 王慕帅</w:t>
            </w:r>
          </w:p>
          <w:p w14:paraId="6DF23C62">
            <w:pPr>
              <w:jc w:val="center"/>
              <w:rPr>
                <w:rFonts w:hint="eastAsia" w:ascii="Times New Roman" w:hAnsi="Times New Roman" w:eastAsia="黑体"/>
                <w:sz w:val="24"/>
                <w:szCs w:val="24"/>
              </w:rPr>
            </w:pPr>
            <w:r>
              <w:rPr>
                <w:rFonts w:hint="eastAsia" w:ascii="Times New Roman" w:hAnsi="Times New Roman" w:eastAsia="黑体"/>
                <w:sz w:val="24"/>
                <w:szCs w:val="24"/>
              </w:rPr>
              <w:t>江海峰 文杰 李高展 王淏博 杜虹岑 易文坚</w:t>
            </w:r>
          </w:p>
          <w:p w14:paraId="57A9DDA6">
            <w:pPr>
              <w:jc w:val="center"/>
              <w:rPr>
                <w:rFonts w:hint="eastAsia" w:ascii="Times New Roman" w:hAnsi="Times New Roman" w:eastAsia="黑体"/>
                <w:sz w:val="24"/>
                <w:szCs w:val="24"/>
              </w:rPr>
            </w:pPr>
            <w:r>
              <w:rPr>
                <w:rFonts w:hint="eastAsia" w:ascii="Times New Roman" w:hAnsi="Times New Roman" w:eastAsia="黑体"/>
                <w:sz w:val="24"/>
                <w:szCs w:val="24"/>
              </w:rPr>
              <w:t>刘科 兰旭 马哲 彭修源 胡仕超 孙双巧 孟令旭</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Times New Roman" w:hAnsi="Times New Roman" w:eastAsia="黑体"/>
                <w:sz w:val="28"/>
                <w:szCs w:val="28"/>
              </w:rPr>
            </w:pPr>
          </w:p>
          <w:p w14:paraId="6C43A9AD">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7AD14A08">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1B63D43D">
            <w:pPr>
              <w:numPr>
                <w:ilvl w:val="0"/>
                <w:numId w:val="1"/>
              </w:numPr>
              <w:ind w:left="1895" w:leftChars="0" w:hanging="425" w:firstLineChars="0"/>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各项目小组进度汇报</w:t>
            </w:r>
          </w:p>
          <w:p w14:paraId="7CCBE70A">
            <w:pPr>
              <w:numPr>
                <w:ilvl w:val="0"/>
                <w:numId w:val="1"/>
              </w:numPr>
              <w:ind w:left="1895" w:leftChars="0" w:hanging="425" w:firstLineChars="0"/>
              <w:jc w:val="left"/>
              <w:rPr>
                <w:rFonts w:ascii="Times New Roman" w:hAnsi="Times New Roman" w:eastAsiaTheme="minorEastAsia"/>
                <w:sz w:val="24"/>
                <w:szCs w:val="24"/>
              </w:rPr>
            </w:pPr>
            <w:r>
              <w:rPr>
                <w:rFonts w:hint="eastAsia" w:asciiTheme="majorEastAsia" w:hAnsiTheme="majorEastAsia" w:eastAsiaTheme="majorEastAsia" w:cstheme="majorEastAsia"/>
                <w:sz w:val="24"/>
              </w:rPr>
              <w:t>项目方案细节讨论</w:t>
            </w:r>
            <w:r>
              <w:rPr>
                <w:rFonts w:hint="eastAsia" w:asciiTheme="majorEastAsia" w:hAnsiTheme="majorEastAsia" w:eastAsiaTheme="majorEastAsia" w:cstheme="majorEastAsia"/>
                <w:sz w:val="24"/>
                <w:lang w:val="en-US" w:eastAsia="zh-CN"/>
              </w:rPr>
              <w:t>以及修改意见</w:t>
            </w:r>
          </w:p>
          <w:p w14:paraId="74C19364">
            <w:pPr>
              <w:numPr>
                <w:ilvl w:val="0"/>
                <w:numId w:val="1"/>
              </w:numPr>
              <w:ind w:left="1895" w:leftChars="0" w:hanging="425" w:firstLineChars="0"/>
              <w:jc w:val="left"/>
              <w:rPr>
                <w:rFonts w:ascii="Times New Roman" w:hAnsi="Times New Roman" w:eastAsiaTheme="minorEastAsia"/>
                <w:sz w:val="24"/>
                <w:szCs w:val="24"/>
              </w:rPr>
            </w:pPr>
            <w:r>
              <w:rPr>
                <w:rFonts w:hint="eastAsia" w:asciiTheme="majorEastAsia" w:hAnsiTheme="majorEastAsia" w:eastAsiaTheme="majorEastAsia" w:cstheme="majorEastAsia"/>
                <w:sz w:val="24"/>
              </w:rPr>
              <w:t>项目后续安排</w:t>
            </w:r>
          </w:p>
          <w:p w14:paraId="5229AE9A">
            <w:pPr>
              <w:jc w:val="both"/>
              <w:rPr>
                <w:rFonts w:ascii="Times New Roman" w:hAnsi="Times New Roman"/>
                <w:sz w:val="24"/>
                <w:szCs w:val="24"/>
              </w:rPr>
            </w:pP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1BCAD042">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0F5E607F">
            <w:pPr>
              <w:ind w:firstLine="480" w:firstLineChars="200"/>
              <w:jc w:val="both"/>
              <w:rPr>
                <w:rFonts w:hint="eastAsia" w:ascii="Times New Roman" w:hAnsi="Times New Roman"/>
                <w:sz w:val="24"/>
                <w:szCs w:val="24"/>
              </w:rPr>
            </w:pPr>
            <w:r>
              <w:rPr>
                <w:rFonts w:hint="eastAsia" w:ascii="Times New Roman" w:hAnsi="Times New Roman"/>
                <w:sz w:val="24"/>
                <w:szCs w:val="24"/>
              </w:rPr>
              <w:t>通过本次设计讨论，团队在多个方面获得了重要启发。在钻孔末端设计中，如何平衡传感器体积与行程控制，特别是在横向钻孔时缺乏重力支持的问题，让我们深入思考了推力选择与气缸选型。振动控制方面的设计强化了我们对机械系统稳定性的关注。</w:t>
            </w:r>
          </w:p>
          <w:p w14:paraId="765D4C9D">
            <w:pPr>
              <w:ind w:firstLine="480" w:firstLineChars="200"/>
              <w:jc w:val="both"/>
              <w:rPr>
                <w:rFonts w:hint="eastAsia" w:ascii="Times New Roman" w:hAnsi="Times New Roman"/>
                <w:sz w:val="24"/>
                <w:szCs w:val="24"/>
              </w:rPr>
            </w:pPr>
            <w:r>
              <w:rPr>
                <w:rFonts w:hint="eastAsia" w:ascii="Times New Roman" w:hAnsi="Times New Roman"/>
                <w:sz w:val="24"/>
                <w:szCs w:val="24"/>
              </w:rPr>
              <w:t>在钢筋探测仪和控制组的讨论中，选型与成本、灵敏度的平衡问题促使我们更加关注传感器数据的准确性与系统优化。尤其是在自动化流程的细化中，定量数据的使用与异常处理机制为我们提供了更加精确的操作流程。对于激光测距的精度问题，视觉组的讨论提醒我们需特别注意误差控制，确保高精度定位。</w:t>
            </w:r>
          </w:p>
          <w:p w14:paraId="060AB0AF">
            <w:pPr>
              <w:ind w:firstLine="480" w:firstLineChars="200"/>
              <w:jc w:val="both"/>
              <w:rPr>
                <w:rFonts w:hint="eastAsia" w:ascii="Times New Roman" w:hAnsi="Times New Roman" w:eastAsia="黑体"/>
                <w:sz w:val="24"/>
                <w:szCs w:val="24"/>
              </w:rPr>
            </w:pPr>
            <w:r>
              <w:rPr>
                <w:rFonts w:hint="eastAsia" w:ascii="Times New Roman" w:hAnsi="Times New Roman"/>
                <w:sz w:val="24"/>
                <w:szCs w:val="24"/>
              </w:rPr>
              <w:t>整体来说，讨论加深了我们对各子系统的理解，并促使我们在设备选型、系统优化和精度控制上提出了新的思路，推动了设计的进一步完善。</w:t>
            </w: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Times New Roman" w:hAnsi="Times New Roman"/>
                <w:sz w:val="24"/>
                <w:szCs w:val="24"/>
              </w:rPr>
            </w:pPr>
          </w:p>
          <w:p w14:paraId="224C27FE">
            <w:pPr>
              <w:jc w:val="center"/>
              <w:rPr>
                <w:rFonts w:ascii="Times New Roman" w:hAnsi="Times New Roman"/>
                <w:sz w:val="24"/>
                <w:szCs w:val="24"/>
              </w:rPr>
            </w:pPr>
          </w:p>
          <w:p w14:paraId="5EA6F0F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按照讨论结果，各小组进行下一步准备。</w:t>
            </w:r>
          </w:p>
          <w:p w14:paraId="4578498B">
            <w:pPr>
              <w:jc w:val="center"/>
              <w:rPr>
                <w:rFonts w:ascii="Times New Roman" w:hAnsi="Times New Roman"/>
                <w:sz w:val="24"/>
                <w:szCs w:val="24"/>
              </w:rPr>
            </w:pPr>
          </w:p>
          <w:p w14:paraId="0B0D60D4">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34612170">
      <w:pPr>
        <w:rPr>
          <w:rFonts w:ascii="Times New Roman" w:hAnsi="Times New Roman"/>
        </w:r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10</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6</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27</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机械馆2338</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E47F297">
            <w:pPr>
              <w:jc w:val="center"/>
              <w:rPr>
                <w:rFonts w:hint="eastAsia" w:ascii="Times New Roman" w:hAnsi="Times New Roman" w:eastAsia="黑体"/>
                <w:sz w:val="24"/>
                <w:szCs w:val="24"/>
              </w:rPr>
            </w:pPr>
            <w:r>
              <w:rPr>
                <w:rFonts w:hint="eastAsia" w:ascii="Times New Roman" w:hAnsi="Times New Roman" w:eastAsia="黑体"/>
                <w:sz w:val="24"/>
                <w:szCs w:val="24"/>
              </w:rPr>
              <w:t>孟祥印 田怀文 路鹭 王慕帅 江海峰 文杰 李高展 王淏博 杜虹岑 易文坚 刘科 兰旭 马哲 彭修源 胡仕超 孙双巧 孟令旭 王佩瑶等</w:t>
            </w:r>
          </w:p>
        </w:tc>
      </w:tr>
      <w:tr w14:paraId="1FB4D051">
        <w:tblPrEx>
          <w:tblCellMar>
            <w:top w:w="0" w:type="dxa"/>
            <w:left w:w="108" w:type="dxa"/>
            <w:bottom w:w="0" w:type="dxa"/>
            <w:right w:w="108" w:type="dxa"/>
          </w:tblCellMar>
        </w:tblPrEx>
        <w:trPr>
          <w:trHeight w:val="2251"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Times New Roman" w:hAnsi="Times New Roman" w:eastAsia="黑体"/>
                <w:sz w:val="28"/>
                <w:szCs w:val="28"/>
              </w:rPr>
            </w:pPr>
          </w:p>
          <w:p w14:paraId="026E195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54CDD19A">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FD4E03F">
            <w:pPr>
              <w:numPr>
                <w:ilvl w:val="0"/>
                <w:numId w:val="2"/>
              </w:numPr>
              <w:ind w:left="2315"/>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各项目小组进度汇报</w:t>
            </w:r>
          </w:p>
          <w:p w14:paraId="0A7FFA50">
            <w:pPr>
              <w:numPr>
                <w:ilvl w:val="0"/>
                <w:numId w:val="2"/>
              </w:numPr>
              <w:ind w:left="2315"/>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项目方案细节讨论</w:t>
            </w:r>
          </w:p>
          <w:p w14:paraId="76686709">
            <w:pPr>
              <w:numPr>
                <w:ilvl w:val="0"/>
                <w:numId w:val="2"/>
              </w:numPr>
              <w:ind w:left="2315"/>
              <w:jc w:val="left"/>
              <w:rPr>
                <w:rFonts w:hint="default" w:ascii="Times New Roman" w:hAnsi="Times New Roman"/>
                <w:sz w:val="24"/>
                <w:szCs w:val="24"/>
                <w:lang w:val="en-US" w:eastAsia="zh-CN"/>
              </w:rPr>
            </w:pPr>
            <w:r>
              <w:rPr>
                <w:rFonts w:hint="eastAsia" w:asciiTheme="majorEastAsia" w:hAnsiTheme="majorEastAsia" w:eastAsiaTheme="majorEastAsia" w:cstheme="majorEastAsia"/>
                <w:sz w:val="24"/>
                <w:lang w:val="en-US" w:eastAsia="zh-CN"/>
              </w:rPr>
              <w:t xml:space="preserve">  </w:t>
            </w:r>
            <w:r>
              <w:rPr>
                <w:rFonts w:hint="eastAsia" w:asciiTheme="majorEastAsia" w:hAnsiTheme="majorEastAsia" w:eastAsiaTheme="majorEastAsia" w:cstheme="majorEastAsia"/>
                <w:sz w:val="24"/>
              </w:rPr>
              <w:t>项目后续安排</w:t>
            </w: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35D3D9D7">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5631D05D">
            <w:pPr>
              <w:ind w:firstLine="480" w:firstLineChars="200"/>
              <w:rPr>
                <w:rFonts w:hint="eastAsia" w:ascii="Times New Roman" w:hAnsi="Times New Roman"/>
                <w:sz w:val="24"/>
                <w:szCs w:val="24"/>
              </w:rPr>
            </w:pPr>
            <w:r>
              <w:rPr>
                <w:rFonts w:hint="eastAsia" w:ascii="Times New Roman" w:hAnsi="Times New Roman"/>
                <w:sz w:val="24"/>
                <w:szCs w:val="24"/>
              </w:rPr>
              <w:t>钻孔锤钉机构的气压系统提高了安全性，但带来了气缸强度和振动控制的问题。我们优化了结构材料的选择，通过橡胶块和传感器减少振动，提升了系统的稳定性和精确度。</w:t>
            </w:r>
          </w:p>
          <w:p w14:paraId="2BE9C786">
            <w:pPr>
              <w:ind w:firstLine="480" w:firstLineChars="200"/>
              <w:rPr>
                <w:rFonts w:hint="eastAsia" w:ascii="Times New Roman" w:hAnsi="Times New Roman"/>
                <w:sz w:val="24"/>
                <w:szCs w:val="24"/>
              </w:rPr>
            </w:pPr>
            <w:r>
              <w:rPr>
                <w:rFonts w:hint="eastAsia" w:ascii="Times New Roman" w:hAnsi="Times New Roman"/>
                <w:sz w:val="24"/>
                <w:szCs w:val="24"/>
              </w:rPr>
              <w:t>钢筋探测仪的铝合金外壳和封闭式防护设计强化了其强度和防护性，而托架安装部分的设计优化了锤击力与平移动作的协调性，提高了操作效率。</w:t>
            </w:r>
          </w:p>
          <w:p w14:paraId="5698FF87">
            <w:pPr>
              <w:ind w:firstLine="480" w:firstLineChars="200"/>
              <w:rPr>
                <w:rFonts w:hint="eastAsia" w:ascii="Times New Roman" w:hAnsi="Times New Roman"/>
                <w:sz w:val="24"/>
                <w:szCs w:val="24"/>
              </w:rPr>
            </w:pPr>
            <w:r>
              <w:rPr>
                <w:rFonts w:hint="eastAsia" w:ascii="Times New Roman" w:hAnsi="Times New Roman"/>
                <w:sz w:val="24"/>
                <w:szCs w:val="24"/>
              </w:rPr>
              <w:t>在管箱搬运方面，传感器和防掉落装置的设计提高了安全性和稳定性，强调了与生产厂家的沟通，确保设备符合实际需求。</w:t>
            </w:r>
          </w:p>
          <w:p w14:paraId="17DE60A8">
            <w:pPr>
              <w:ind w:firstLine="480" w:firstLineChars="200"/>
              <w:rPr>
                <w:rFonts w:hint="eastAsia" w:ascii="Times New Roman" w:hAnsi="Times New Roman" w:eastAsia="黑体"/>
                <w:sz w:val="24"/>
                <w:szCs w:val="24"/>
              </w:rPr>
            </w:pPr>
            <w:r>
              <w:rPr>
                <w:rFonts w:hint="eastAsia" w:ascii="Times New Roman" w:hAnsi="Times New Roman"/>
                <w:sz w:val="24"/>
                <w:szCs w:val="24"/>
              </w:rPr>
              <w:t>总体而言，本次讨论帮助我们在结构优化、振动控制、传感器精度和安全性方面提出了新的设计思路，推动了整个项目的优化。</w:t>
            </w:r>
          </w:p>
          <w:p w14:paraId="492EC108">
            <w:pPr>
              <w:jc w:val="center"/>
              <w:rPr>
                <w:rFonts w:hint="eastAsia" w:ascii="Times New Roman" w:hAnsi="Times New Roman"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5E99AA7D">
            <w:pPr>
              <w:jc w:val="center"/>
              <w:rPr>
                <w:rFonts w:ascii="Times New Roman" w:hAnsi="Times New Roman"/>
                <w:sz w:val="24"/>
                <w:szCs w:val="24"/>
              </w:rPr>
            </w:pPr>
          </w:p>
          <w:p w14:paraId="482E599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352F1FEA">
            <w:pPr>
              <w:jc w:val="center"/>
              <w:rPr>
                <w:rFonts w:ascii="Times New Roman" w:hAnsi="Times New Roman"/>
                <w:sz w:val="24"/>
                <w:szCs w:val="24"/>
              </w:rPr>
            </w:pPr>
          </w:p>
          <w:p w14:paraId="09A9D522">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32A06DE8">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1D0EAC84">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D095680">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7EB4D3A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6F13E063">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C0E5A2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C1B06C6">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3619CC2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57D5F3BB">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11</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0388321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5C4449B">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65AF29E0">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69156F05">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0F93D5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0EED4EB3">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7</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4</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4E91D628">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41CE99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w:t>
            </w:r>
            <w:r>
              <w:rPr>
                <w:rFonts w:hint="eastAsia" w:ascii="Times New Roman" w:hAnsi="Times New Roman"/>
                <w:sz w:val="24"/>
                <w:szCs w:val="24"/>
              </w:rPr>
              <w:t>2</w:t>
            </w:r>
            <w:r>
              <w:rPr>
                <w:rFonts w:hint="eastAsia" w:ascii="Times New Roman" w:hAnsi="Times New Roman"/>
                <w:sz w:val="24"/>
                <w:szCs w:val="24"/>
                <w:lang w:val="en-US" w:eastAsia="zh-CN"/>
              </w:rPr>
              <w:t>338</w:t>
            </w:r>
          </w:p>
        </w:tc>
      </w:tr>
      <w:tr w14:paraId="021EE00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4B8EF57">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2EF9D75A">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孟祥印 肖世德 熊鹰 路鹭 王慕帅 江海峰 文杰 </w:t>
            </w:r>
          </w:p>
          <w:p w14:paraId="57356EB2">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李高展 王淏博 杜虹岑 易文坚 刘科 兰旭 </w:t>
            </w:r>
          </w:p>
          <w:p w14:paraId="02316BE5">
            <w:pPr>
              <w:jc w:val="center"/>
              <w:rPr>
                <w:rFonts w:hint="eastAsia" w:ascii="Times New Roman" w:hAnsi="Times New Roman" w:eastAsia="黑体"/>
                <w:sz w:val="24"/>
                <w:szCs w:val="24"/>
              </w:rPr>
            </w:pPr>
            <w:r>
              <w:rPr>
                <w:rFonts w:hint="eastAsia" w:ascii="Times New Roman" w:hAnsi="Times New Roman" w:eastAsia="黑体"/>
                <w:sz w:val="24"/>
                <w:szCs w:val="24"/>
              </w:rPr>
              <w:t>马哲 彭修源 王佩瑶 胡仕超 孙双巧 孟令旭</w:t>
            </w:r>
          </w:p>
        </w:tc>
      </w:tr>
      <w:tr w14:paraId="584665F3">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0F93F19E">
            <w:pPr>
              <w:jc w:val="center"/>
              <w:rPr>
                <w:rFonts w:hint="eastAsia" w:ascii="Times New Roman" w:hAnsi="Times New Roman" w:eastAsia="黑体"/>
                <w:sz w:val="28"/>
                <w:szCs w:val="28"/>
              </w:rPr>
            </w:pPr>
          </w:p>
          <w:p w14:paraId="3FA95E0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41582B25">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2C29194F">
            <w:pPr>
              <w:numPr>
                <w:ilvl w:val="0"/>
                <w:numId w:val="3"/>
              </w:numPr>
              <w:ind w:left="2315"/>
              <w:jc w:val="left"/>
              <w:rPr>
                <w:rFonts w:hint="eastAsia" w:asciiTheme="majorEastAsia" w:hAnsiTheme="majorEastAsia" w:eastAsiaTheme="majorEastAsia" w:cstheme="majorEastAsia"/>
                <w:snapToGrid/>
                <w:kern w:val="2"/>
                <w:sz w:val="24"/>
                <w:szCs w:val="24"/>
              </w:rPr>
            </w:pPr>
            <w:r>
              <w:rPr>
                <w:rFonts w:hint="eastAsia" w:asciiTheme="majorEastAsia" w:hAnsiTheme="majorEastAsia" w:eastAsiaTheme="majorEastAsia" w:cstheme="majorEastAsia"/>
                <w:snapToGrid/>
                <w:kern w:val="2"/>
                <w:sz w:val="24"/>
                <w:szCs w:val="24"/>
              </w:rPr>
              <w:t>各项目小组进度汇报</w:t>
            </w:r>
          </w:p>
          <w:p w14:paraId="7FCD5506">
            <w:pPr>
              <w:numPr>
                <w:ilvl w:val="0"/>
                <w:numId w:val="3"/>
              </w:numPr>
              <w:ind w:left="2315"/>
              <w:jc w:val="left"/>
              <w:rPr>
                <w:rFonts w:hint="eastAsia" w:asciiTheme="majorEastAsia" w:hAnsiTheme="majorEastAsia" w:eastAsiaTheme="majorEastAsia" w:cstheme="majorEastAsia"/>
                <w:snapToGrid/>
                <w:kern w:val="2"/>
                <w:sz w:val="24"/>
                <w:szCs w:val="24"/>
              </w:rPr>
            </w:pPr>
            <w:r>
              <w:rPr>
                <w:rFonts w:hint="eastAsia" w:asciiTheme="majorEastAsia" w:hAnsiTheme="majorEastAsia" w:eastAsiaTheme="majorEastAsia" w:cstheme="majorEastAsia"/>
                <w:snapToGrid/>
                <w:kern w:val="2"/>
                <w:sz w:val="24"/>
                <w:szCs w:val="24"/>
              </w:rPr>
              <w:t>项目方案细节讨论</w:t>
            </w:r>
            <w:r>
              <w:rPr>
                <w:rFonts w:hint="eastAsia" w:asciiTheme="majorEastAsia" w:hAnsiTheme="majorEastAsia" w:eastAsiaTheme="majorEastAsia" w:cstheme="majorEastAsia"/>
                <w:snapToGrid/>
                <w:kern w:val="2"/>
                <w:sz w:val="24"/>
                <w:szCs w:val="24"/>
                <w:lang w:val="en-US" w:eastAsia="zh-CN"/>
              </w:rPr>
              <w:t>以及修改意见</w:t>
            </w:r>
          </w:p>
          <w:p w14:paraId="2AB9382A">
            <w:pPr>
              <w:numPr>
                <w:ilvl w:val="0"/>
                <w:numId w:val="3"/>
              </w:numPr>
              <w:ind w:left="2315"/>
              <w:jc w:val="left"/>
              <w:rPr>
                <w:rFonts w:hint="default" w:asciiTheme="majorEastAsia" w:hAnsiTheme="majorEastAsia" w:eastAsiaTheme="majorEastAsia" w:cstheme="majorEastAsia"/>
                <w:snapToGrid/>
                <w:kern w:val="2"/>
                <w:sz w:val="24"/>
                <w:szCs w:val="24"/>
                <w:lang w:val="en-US" w:eastAsia="zh-CN"/>
              </w:rPr>
            </w:pPr>
            <w:r>
              <w:rPr>
                <w:rFonts w:hint="eastAsia" w:asciiTheme="majorEastAsia" w:hAnsiTheme="majorEastAsia" w:eastAsiaTheme="majorEastAsia" w:cstheme="majorEastAsia"/>
                <w:snapToGrid/>
                <w:kern w:val="2"/>
                <w:sz w:val="24"/>
                <w:szCs w:val="24"/>
              </w:rPr>
              <w:t>项目后续安排</w:t>
            </w:r>
          </w:p>
          <w:p w14:paraId="0BFCADAF">
            <w:pPr>
              <w:widowControl w:val="0"/>
              <w:numPr>
                <w:ilvl w:val="0"/>
                <w:numId w:val="0"/>
              </w:numPr>
              <w:jc w:val="both"/>
              <w:rPr>
                <w:rFonts w:hint="default" w:ascii="Times New Roman" w:hAnsi="Times New Roman"/>
                <w:sz w:val="24"/>
                <w:szCs w:val="24"/>
                <w:lang w:val="en-US" w:eastAsia="zh-CN"/>
              </w:rPr>
            </w:pPr>
          </w:p>
        </w:tc>
      </w:tr>
      <w:tr w14:paraId="52AB4305">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020C595F">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7CFADC39">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28CACBCB">
            <w:pPr>
              <w:jc w:val="center"/>
              <w:rPr>
                <w:rFonts w:hint="eastAsia" w:ascii="Times New Roman" w:hAnsi="Times New Roman"/>
                <w:sz w:val="24"/>
                <w:szCs w:val="24"/>
              </w:rPr>
            </w:pPr>
            <w:r>
              <w:rPr>
                <w:rFonts w:hint="eastAsia" w:ascii="Times New Roman" w:hAnsi="Times New Roman"/>
                <w:sz w:val="24"/>
                <w:szCs w:val="24"/>
              </w:rPr>
              <w:t>策略讨论：按照目前设计的小车整体式方案进行工作，骑墙式作为备选方案。后续的流程应该为：做出能完成核心任务的样机，然后解决细节问题，最后考虑怎样提升工作效率。</w:t>
            </w:r>
          </w:p>
          <w:p w14:paraId="796F0C4A">
            <w:pPr>
              <w:jc w:val="center"/>
              <w:rPr>
                <w:rFonts w:hint="eastAsia" w:ascii="Times New Roman" w:hAnsi="Times New Roman"/>
                <w:sz w:val="24"/>
                <w:szCs w:val="24"/>
              </w:rPr>
            </w:pPr>
            <w:r>
              <w:rPr>
                <w:rFonts w:hint="eastAsia" w:ascii="Times New Roman" w:hAnsi="Times New Roman"/>
                <w:sz w:val="24"/>
                <w:szCs w:val="24"/>
              </w:rPr>
              <w:t>钻孔机构的测距，可将激光传感器安装在移动钻头滑轨上，实现钻孔深度的控制；气缸选用三位五通阀门，实现钻头的双向控制；除尘结构对安装膨胀螺栓影响不大，可取消；钢筋探测仪数据可以通讯，但是首先需要人工操作，可设计结构控制启停或进行二次小开发。三个孔位的直线度决定了托架能否安装成功，进行激光孔洞定位时，可以控制机械臂的行走轨迹来得到孔洞中心点。</w:t>
            </w:r>
          </w:p>
          <w:p w14:paraId="3E158851">
            <w:pPr>
              <w:jc w:val="center"/>
              <w:rPr>
                <w:rFonts w:hint="eastAsia" w:ascii="Times New Roman" w:hAnsi="Times New Roman"/>
                <w:sz w:val="24"/>
                <w:szCs w:val="24"/>
              </w:rPr>
            </w:pPr>
          </w:p>
        </w:tc>
      </w:tr>
      <w:tr w14:paraId="5D7470AB">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3CDE826A">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39AF9637">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76A9785E">
            <w:pPr>
              <w:jc w:val="center"/>
              <w:rPr>
                <w:rFonts w:ascii="Times New Roman" w:hAnsi="Times New Roman"/>
                <w:sz w:val="24"/>
                <w:szCs w:val="24"/>
              </w:rPr>
            </w:pPr>
          </w:p>
          <w:p w14:paraId="0AA68C0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2390F181">
            <w:pPr>
              <w:jc w:val="center"/>
              <w:rPr>
                <w:rFonts w:ascii="Times New Roman" w:hAnsi="Times New Roman"/>
                <w:sz w:val="24"/>
                <w:szCs w:val="24"/>
              </w:rPr>
            </w:pPr>
          </w:p>
          <w:p w14:paraId="6773CD86">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3385B3F">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28B8DEEA">
      <w:pPr>
        <w:ind w:firstLine="602" w:firstLineChars="200"/>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西南交通大学博（硕）研究生文献阅读与评述记录</w:t>
      </w:r>
    </w:p>
    <w:tbl>
      <w:tblPr>
        <w:tblStyle w:val="5"/>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16</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Times New Roman" w:hAnsi="Times New Roman"/>
                <w:sz w:val="24"/>
                <w:szCs w:val="24"/>
              </w:rPr>
            </w:pPr>
            <w:r>
              <w:rPr>
                <w:rFonts w:hint="default" w:ascii="Times New Roman" w:hAnsi="Times New Roman"/>
                <w:vertAlign w:val="baseline"/>
                <w:lang w:val="en-US" w:eastAsia="zh-CN"/>
              </w:rPr>
              <w:t>Not All Pixels Are Equal: Learning Pixel Hardness for Semantic Segmentation</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Xiao X, Zhou D, Hu J, et al. Not all pixels are equal: Learning pixel hardness for semantic segmentation[J]. International Journal of Computer Vision, 2025: 1-21.</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Times New Roman" w:hAnsi="Times New Roman" w:eastAsia="黑体"/>
                <w:sz w:val="24"/>
                <w:szCs w:val="24"/>
              </w:rPr>
            </w:pPr>
            <w:r>
              <w:rPr>
                <w:rFonts w:hint="eastAsia" w:ascii="Times New Roman" w:hAnsi="Times New Roman"/>
              </w:rPr>
              <w:t>Xiao X, Zhou D, Hu J, et al</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0EEA09AB">
            <w:pPr>
              <w:ind w:firstLine="420" w:firstLineChars="200"/>
              <w:jc w:val="both"/>
              <w:rPr>
                <w:rFonts w:hint="eastAsia" w:ascii="Times New Roman" w:hAnsi="Times New Roman" w:cs="宋体"/>
              </w:rPr>
            </w:pPr>
            <w:r>
              <w:rPr>
                <w:rFonts w:hint="eastAsia" w:ascii="Times New Roman" w:hAnsi="Times New Roman" w:cs="宋体"/>
                <w:lang w:val="en-US" w:eastAsia="zh-CN"/>
              </w:rPr>
              <w:t>论文</w:t>
            </w:r>
            <w:r>
              <w:rPr>
                <w:rFonts w:hint="eastAsia" w:ascii="Times New Roman" w:hAnsi="Times New Roman" w:cs="宋体"/>
              </w:rPr>
              <w:t>提出了一种针对语义分割任务的创新训练机制。作者指出，尽管当前分割模型在整体精度上表现良好，但在一些结构复杂、边缘模糊或目标较小的区域仍然容易出错。传统的困难像素挖掘方法通常依赖像素的即时 loss 值来判断难度，但这种方式会随训练过程波动，无法稳定反映像素本身的复杂性。</w:t>
            </w:r>
          </w:p>
          <w:p w14:paraId="06A1559C">
            <w:pPr>
              <w:ind w:firstLine="420" w:firstLineChars="200"/>
              <w:jc w:val="both"/>
              <w:rPr>
                <w:rFonts w:hint="eastAsia" w:ascii="Times New Roman" w:hAnsi="Times New Roman" w:cs="宋体"/>
              </w:rPr>
            </w:pPr>
            <w:r>
              <w:rPr>
                <w:rFonts w:hint="eastAsia" w:ascii="Times New Roman" w:hAnsi="Times New Roman" w:cs="宋体"/>
              </w:rPr>
              <w:t>为了解决这一问题，作者提出了一个“像素硬度分支”（Hardness Level Branch，HL 分支），用于预测每个像素的固有难度。模型在训练时通过一个“难度加权损失函数”实现双向博弈：HL 分支被鼓励识别出困难像素并赋予更高权重，而主分割分支则重点优化这些高难度区域。这样，模型能自动把学习重点放在更具挑战性的像素上，从而提升整体分割性能与泛化能力。实验结果显示，该方法在 Cityscapes 等数据集上显著提高了 mIoU，且几乎不增加额外计算量。</w:t>
            </w:r>
          </w:p>
          <w:p w14:paraId="253ADFAD">
            <w:pPr>
              <w:ind w:firstLine="420" w:firstLineChars="200"/>
              <w:jc w:val="both"/>
              <w:rPr>
                <w:rFonts w:hint="eastAsia" w:ascii="Times New Roman" w:hAnsi="Times New Roman" w:cs="宋体"/>
              </w:rPr>
            </w:pPr>
          </w:p>
          <w:p w14:paraId="1BE1B0B7">
            <w:pPr>
              <w:ind w:firstLine="420" w:firstLineChars="200"/>
              <w:jc w:val="both"/>
              <w:rPr>
                <w:rFonts w:hint="eastAsia" w:ascii="Times New Roman" w:hAnsi="Times New Roman" w:cs="宋体"/>
              </w:rPr>
            </w:pPr>
          </w:p>
          <w:p w14:paraId="1FF8A2B7">
            <w:pPr>
              <w:ind w:firstLine="420" w:firstLineChars="200"/>
              <w:jc w:val="both"/>
              <w:rPr>
                <w:rFonts w:hint="eastAsia" w:ascii="Times New Roman" w:hAnsi="Times New Roman" w:cs="宋体"/>
              </w:rPr>
            </w:pP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Times New Roman" w:hAnsi="Times New Roman"/>
                <w:sz w:val="24"/>
                <w:szCs w:val="24"/>
              </w:rPr>
            </w:pPr>
          </w:p>
          <w:p w14:paraId="7952F9A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015AEED0">
            <w:pPr>
              <w:ind w:firstLine="420" w:firstLineChars="200"/>
              <w:jc w:val="both"/>
              <w:rPr>
                <w:rFonts w:hint="eastAsia" w:ascii="Times New Roman" w:hAnsi="Times New Roman" w:cs="宋体"/>
                <w:lang w:val="en-US" w:eastAsia="zh-CN"/>
              </w:rPr>
            </w:pPr>
          </w:p>
          <w:p w14:paraId="0D2D03C5">
            <w:pPr>
              <w:ind w:firstLine="420" w:firstLineChars="200"/>
              <w:jc w:val="both"/>
              <w:rPr>
                <w:rFonts w:hint="eastAsia" w:ascii="Times New Roman" w:hAnsi="Times New Roman" w:cs="宋体"/>
                <w:lang w:val="en-US" w:eastAsia="zh-CN"/>
              </w:rPr>
            </w:pPr>
          </w:p>
          <w:p w14:paraId="04E9812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的核心启发在于：训练过程中不应把所有像素或样本一视同仁，而应让模型具备识别并强化“困难样本”的能力。对于动物个体识别等任务，这一思想同样适用。例如，可以让模型自动识别出姿态特殊、光照不均或背景复杂的个体图像，并在这些难样本上加大训练力度，从而提高识别的鲁棒性与准确性。这种“难度自适应学习”的思路为提升模型对复杂场景的理解能力提供了新的方向。</w:t>
            </w:r>
          </w:p>
          <w:p w14:paraId="1057D3A4">
            <w:pPr>
              <w:ind w:firstLine="420" w:firstLineChars="200"/>
              <w:jc w:val="both"/>
              <w:rPr>
                <w:rFonts w:hint="eastAsia" w:ascii="Times New Roman" w:hAnsi="Times New Roman" w:cs="宋体"/>
                <w:lang w:val="en-US" w:eastAsia="zh-CN"/>
              </w:rPr>
            </w:pP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Pr>
              <w:rPr>
                <w:rFonts w:ascii="Times New Roman" w:hAnsi="Times New Roman"/>
              </w:rPr>
            </w:pPr>
          </w:p>
          <w:p w14:paraId="611772FD">
            <w:pPr>
              <w:rPr>
                <w:rFonts w:ascii="Times New Roman" w:hAnsi="Times New Roman"/>
              </w:rPr>
            </w:pPr>
          </w:p>
          <w:p w14:paraId="0C0F7F94">
            <w:pPr>
              <w:rPr>
                <w:rFonts w:ascii="Times New Roman" w:hAnsi="Times New Roman"/>
              </w:rPr>
            </w:pPr>
          </w:p>
          <w:p w14:paraId="3E0FA6F3">
            <w:pPr>
              <w:rPr>
                <w:rFonts w:ascii="Times New Roman" w:hAnsi="Times New Roman"/>
              </w:rPr>
            </w:pPr>
          </w:p>
          <w:p w14:paraId="1F75566B">
            <w:pPr>
              <w:ind w:firstLine="2310" w:firstLineChars="1100"/>
              <w:jc w:val="both"/>
              <w:rPr>
                <w:rFonts w:hint="eastAsia" w:ascii="Times New Roman" w:hAnsi="Times New Roman" w:cs="宋体"/>
                <w:lang w:val="en-US" w:eastAsia="zh-CN"/>
              </w:rPr>
            </w:pPr>
            <w:r>
              <w:rPr>
                <w:rFonts w:hint="eastAsia" w:ascii="Times New Roman" w:hAnsi="Times New Roman" w:cs="宋体"/>
                <w:lang w:val="en-US" w:eastAsia="zh-CN"/>
              </w:rPr>
              <w:t>已阅</w:t>
            </w:r>
          </w:p>
          <w:p w14:paraId="6C8ECAD6">
            <w:pPr>
              <w:jc w:val="center"/>
              <w:rPr>
                <w:rFonts w:ascii="Times New Roman" w:hAnsi="Times New Roman"/>
              </w:rPr>
            </w:pPr>
            <w:r>
              <w:rPr>
                <w:rFonts w:hint="eastAsia" w:ascii="Times New Roman" w:hAnsi="Times New Roman" w:cs="宋体"/>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02C5380F">
      <w:pPr>
        <w:spacing w:line="360" w:lineRule="auto"/>
        <w:jc w:val="both"/>
        <w:rPr>
          <w:rFonts w:hint="eastAsia" w:ascii="Times New Roman" w:hAnsi="Times New Roman" w:eastAsia="黑体"/>
          <w:sz w:val="28"/>
          <w:szCs w:val="28"/>
        </w:rPr>
      </w:pPr>
    </w:p>
    <w:tbl>
      <w:tblPr>
        <w:tblStyle w:val="5"/>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17</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Times New Roman" w:hAnsi="Times New Roman"/>
                <w:sz w:val="24"/>
                <w:szCs w:val="24"/>
              </w:rPr>
            </w:pPr>
            <w:r>
              <w:rPr>
                <w:rFonts w:hint="default" w:ascii="Times New Roman" w:hAnsi="Times New Roman"/>
                <w:vertAlign w:val="baseline"/>
                <w:lang w:val="en-US" w:eastAsia="zh-CN"/>
              </w:rPr>
              <w:t>Microsurgical Instrument Segmentation for Robot-Assisted Surgery</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rPr>
              <w:t xml:space="preserve"> Jeong T K, Kim G, Park J. Microsurgical Instrument Segmentation for Robot-Assisted Surgery[J]. arXiv preprint arXiv:2509.11727, 2025.</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Times New Roman" w:hAnsi="Times New Roman" w:eastAsia="黑体"/>
                <w:sz w:val="24"/>
                <w:szCs w:val="24"/>
              </w:rPr>
            </w:pPr>
            <w:r>
              <w:rPr>
                <w:rFonts w:hint="eastAsia" w:ascii="Times New Roman" w:hAnsi="Times New Roman"/>
              </w:rPr>
              <w:t>Jeong T K, Kim G, Park J</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2ADA1B5B">
            <w:pPr>
              <w:ind w:firstLine="420" w:firstLineChars="200"/>
              <w:jc w:val="both"/>
              <w:rPr>
                <w:rFonts w:hint="eastAsia" w:ascii="Times New Roman" w:hAnsi="Times New Roman" w:cs="宋体"/>
                <w:lang w:val="en-US" w:eastAsia="zh-CN"/>
              </w:rPr>
            </w:pPr>
          </w:p>
          <w:p w14:paraId="149BE71E">
            <w:pPr>
              <w:ind w:firstLine="420" w:firstLineChars="200"/>
              <w:jc w:val="both"/>
              <w:rPr>
                <w:rFonts w:hint="eastAsia" w:ascii="Times New Roman" w:hAnsi="Times New Roman" w:cs="宋体"/>
                <w:lang w:val="en-US" w:eastAsia="zh-CN"/>
              </w:rPr>
            </w:pPr>
          </w:p>
          <w:p w14:paraId="2E8C8164">
            <w:pPr>
              <w:ind w:firstLine="420" w:firstLineChars="200"/>
              <w:jc w:val="both"/>
              <w:rPr>
                <w:rFonts w:hint="eastAsia" w:ascii="Times New Roman" w:hAnsi="Times New Roman" w:cs="宋体"/>
                <w:lang w:val="en-US" w:eastAsia="zh-CN"/>
              </w:rPr>
            </w:pPr>
          </w:p>
          <w:p w14:paraId="308F1FB1">
            <w:pPr>
              <w:ind w:firstLine="420" w:firstLineChars="200"/>
              <w:jc w:val="both"/>
              <w:rPr>
                <w:rFonts w:hint="eastAsia" w:ascii="Times New Roman" w:hAnsi="Times New Roman" w:cs="宋体"/>
              </w:rPr>
            </w:pPr>
            <w:r>
              <w:rPr>
                <w:rFonts w:hint="eastAsia" w:ascii="Times New Roman" w:hAnsi="Times New Roman" w:cs="宋体"/>
                <w:lang w:val="en-US" w:eastAsia="zh-CN"/>
              </w:rPr>
              <w:t>论文</w:t>
            </w:r>
            <w:r>
              <w:rPr>
                <w:rFonts w:hint="eastAsia" w:ascii="Times New Roman" w:hAnsi="Times New Roman" w:cs="宋体"/>
              </w:rPr>
              <w:t>主要研究如何在机器人辅助手术中精确分割显微手术器械。由于手术场景下器械极细、背景复杂、光照反射强烈，传统分割方法常出现边界模糊、误检漏检等问题。作者提出了一种结合深度卷积网络与注意力机制的分割框架，通过多尺度特征融合和空间注意力引导，使模型更好地区分手术器械与组织背景。此外，论文还构建了高质量的显微手术图像数据集，用于验证算法性能，结果显示该方法在精度与鲁棒性上均优于以往方法。</w:t>
            </w:r>
          </w:p>
          <w:p w14:paraId="4034E3DC">
            <w:pPr>
              <w:ind w:firstLine="420" w:firstLineChars="200"/>
              <w:jc w:val="both"/>
              <w:rPr>
                <w:rFonts w:hint="eastAsia" w:ascii="Times New Roman" w:hAnsi="Times New Roman" w:cs="宋体"/>
              </w:rPr>
            </w:pPr>
          </w:p>
          <w:p w14:paraId="175F6399">
            <w:pPr>
              <w:ind w:firstLine="420" w:firstLineChars="200"/>
              <w:jc w:val="both"/>
              <w:rPr>
                <w:rFonts w:hint="eastAsia" w:ascii="Times New Roman" w:hAnsi="Times New Roman" w:cs="宋体"/>
              </w:rPr>
            </w:pPr>
          </w:p>
          <w:p w14:paraId="5EDFA9E9">
            <w:pPr>
              <w:ind w:firstLine="420" w:firstLineChars="200"/>
              <w:jc w:val="both"/>
              <w:rPr>
                <w:rFonts w:hint="eastAsia" w:ascii="Times New Roman" w:hAnsi="Times New Roman" w:cs="宋体"/>
              </w:rPr>
            </w:pPr>
          </w:p>
          <w:p w14:paraId="60CA4A51">
            <w:pPr>
              <w:ind w:firstLine="420" w:firstLineChars="200"/>
              <w:jc w:val="both"/>
              <w:rPr>
                <w:rFonts w:hint="eastAsia" w:ascii="Times New Roman" w:hAnsi="Times New Roman" w:cs="宋体"/>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Times New Roman" w:hAnsi="Times New Roman"/>
                <w:sz w:val="24"/>
                <w:szCs w:val="24"/>
              </w:rPr>
            </w:pPr>
          </w:p>
          <w:p w14:paraId="565251D3">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60F08C1B">
            <w:pPr>
              <w:ind w:firstLine="420" w:firstLineChars="200"/>
              <w:jc w:val="both"/>
              <w:rPr>
                <w:rFonts w:hint="eastAsia" w:ascii="Times New Roman" w:hAnsi="Times New Roman" w:cs="宋体"/>
                <w:lang w:val="en-US" w:eastAsia="zh-CN"/>
              </w:rPr>
            </w:pPr>
          </w:p>
          <w:p w14:paraId="45673D86">
            <w:pPr>
              <w:ind w:firstLine="420" w:firstLineChars="200"/>
              <w:jc w:val="both"/>
              <w:rPr>
                <w:rFonts w:hint="eastAsia" w:ascii="Times New Roman" w:hAnsi="Times New Roman" w:cs="宋体"/>
                <w:lang w:val="en-US" w:eastAsia="zh-CN"/>
              </w:rPr>
            </w:pPr>
          </w:p>
          <w:p w14:paraId="0DFDAC8A">
            <w:pPr>
              <w:ind w:firstLine="420" w:firstLineChars="200"/>
              <w:jc w:val="both"/>
              <w:rPr>
                <w:rFonts w:hint="eastAsia" w:ascii="Times New Roman" w:hAnsi="Times New Roman" w:cs="宋体"/>
                <w:lang w:val="en-US" w:eastAsia="zh-CN"/>
              </w:rPr>
            </w:pPr>
          </w:p>
          <w:p w14:paraId="1004EF1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的启发在于：在高精度场景下，分割模型不仅需要全局语义理解，还应特别关注细节边界与微小目标。对于动物个体识别、结构缺陷检测等任务，也可借鉴这种思路，通过引入多尺度特征提取与注意力模块，强化模型对小目标与边缘区域的感知能力，从而获得更加精细与稳定的识别结果。</w:t>
            </w:r>
          </w:p>
          <w:p w14:paraId="3BB76EED">
            <w:pPr>
              <w:ind w:firstLine="420" w:firstLineChars="200"/>
              <w:jc w:val="both"/>
              <w:rPr>
                <w:rFonts w:hint="eastAsia" w:ascii="Times New Roman" w:hAnsi="Times New Roman" w:cs="宋体"/>
                <w:lang w:val="en-US" w:eastAsia="zh-CN"/>
              </w:rPr>
            </w:pPr>
          </w:p>
          <w:p w14:paraId="780E0DE3">
            <w:pPr>
              <w:ind w:firstLine="420" w:firstLineChars="200"/>
              <w:jc w:val="both"/>
              <w:rPr>
                <w:rFonts w:hint="eastAsia" w:ascii="Times New Roman" w:hAnsi="Times New Roman" w:cs="宋体"/>
                <w:lang w:val="en-US" w:eastAsia="zh-CN"/>
              </w:rPr>
            </w:pPr>
          </w:p>
          <w:p w14:paraId="5137759A">
            <w:pPr>
              <w:ind w:firstLine="420" w:firstLineChars="200"/>
              <w:jc w:val="both"/>
              <w:rPr>
                <w:rFonts w:hint="eastAsia" w:ascii="Times New Roman" w:hAnsi="Times New Roman"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Times New Roman" w:hAnsi="Times New Roman"/>
                <w:sz w:val="24"/>
                <w:szCs w:val="24"/>
              </w:rPr>
            </w:pPr>
          </w:p>
          <w:p w14:paraId="3E22799E">
            <w:pPr>
              <w:rPr>
                <w:rFonts w:ascii="Times New Roman" w:hAnsi="Times New Roman"/>
              </w:rPr>
            </w:pPr>
          </w:p>
          <w:p w14:paraId="6764BD43">
            <w:pPr>
              <w:rPr>
                <w:rFonts w:ascii="Times New Roman" w:hAnsi="Times New Roman"/>
              </w:rPr>
            </w:pPr>
          </w:p>
          <w:p w14:paraId="44FF13D7">
            <w:pPr>
              <w:ind w:firstLine="420" w:firstLineChars="200"/>
              <w:jc w:val="both"/>
              <w:rPr>
                <w:rFonts w:hint="eastAsia" w:ascii="Times New Roman" w:hAnsi="Times New Roman" w:cs="宋体"/>
                <w:lang w:eastAsia="zh-CN"/>
              </w:rPr>
            </w:pPr>
            <w:r>
              <w:rPr>
                <w:rFonts w:hint="eastAsia" w:ascii="Times New Roman" w:hAnsi="Times New Roman" w:cs="宋体"/>
                <w:lang w:eastAsia="zh-CN"/>
              </w:rPr>
              <w:t>你准确地描述了文献的研究背景和意义，可以进一步展开对文献中关键概念的解释，以确保你对其含义的透彻理解。</w:t>
            </w:r>
          </w:p>
          <w:p w14:paraId="7309886E">
            <w:pPr>
              <w:rPr>
                <w:rFonts w:ascii="Times New Roman" w:hAnsi="Times New Roman"/>
              </w:rPr>
            </w:pPr>
          </w:p>
          <w:p w14:paraId="038269C1">
            <w:pPr>
              <w:rPr>
                <w:rFonts w:ascii="Times New Roman" w:hAnsi="Times New Roman"/>
              </w:rPr>
            </w:pPr>
          </w:p>
          <w:p w14:paraId="2713CC18">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71E038D3">
      <w:pPr>
        <w:spacing w:line="360" w:lineRule="auto"/>
        <w:jc w:val="center"/>
        <w:rPr>
          <w:rFonts w:hint="eastAsia" w:ascii="Times New Roman" w:hAnsi="Times New Roman" w:eastAsia="黑体"/>
          <w:sz w:val="28"/>
          <w:szCs w:val="28"/>
        </w:rPr>
      </w:pPr>
    </w:p>
    <w:tbl>
      <w:tblPr>
        <w:tblStyle w:val="5"/>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7BF86E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5EE0E3D">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63329C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AFC92">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066E3AF6">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75B7693">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B185D9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18</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BB00F1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11A371B0">
            <w:pPr>
              <w:jc w:val="center"/>
              <w:rPr>
                <w:rFonts w:ascii="Times New Roman" w:hAnsi="Times New Roman"/>
                <w:sz w:val="24"/>
                <w:szCs w:val="24"/>
              </w:rPr>
            </w:pPr>
            <w:r>
              <w:rPr>
                <w:rFonts w:hint="eastAsia" w:ascii="Times New Roman" w:hAnsi="Times New Roman" w:cs="Times New Roman"/>
                <w:vertAlign w:val="baseline"/>
                <w:lang w:val="en-US" w:eastAsia="zh-CN"/>
              </w:rPr>
              <w:t>Boltzmann Attention Sampling for Image Analysis with Small Objects</w:t>
            </w:r>
          </w:p>
        </w:tc>
      </w:tr>
      <w:tr w14:paraId="03007D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2E37674">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066C25D5">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Zhao T, Kiblawi S, Usuyama N, et al. Boltzmann Attention Sampling for Image Analysis with Small Objects[C]//Proceedings of the Computer Vision and Pattern Recognition Conference. 2025: 25950-25959.</w:t>
            </w:r>
          </w:p>
        </w:tc>
      </w:tr>
      <w:tr w14:paraId="5647A9D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2B2FDEC">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4FE6A09B">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619DF83A">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5B144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Zhao T, Kiblawi S, Usuyama N, et al </w:t>
            </w:r>
          </w:p>
        </w:tc>
      </w:tr>
      <w:tr w14:paraId="123C43CB">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1D46E5D3">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1A1A3943">
            <w:pPr>
              <w:ind w:firstLine="420" w:firstLineChars="200"/>
              <w:jc w:val="both"/>
              <w:rPr>
                <w:rFonts w:hint="eastAsia" w:ascii="Times New Roman" w:hAnsi="Times New Roman" w:cs="宋体"/>
              </w:rPr>
            </w:pPr>
          </w:p>
          <w:p w14:paraId="60921AE4">
            <w:pPr>
              <w:ind w:firstLine="420" w:firstLineChars="200"/>
              <w:jc w:val="both"/>
              <w:rPr>
                <w:rFonts w:hint="eastAsia" w:ascii="Times New Roman" w:hAnsi="Times New Roman" w:cs="宋体"/>
              </w:rPr>
            </w:pPr>
          </w:p>
          <w:p w14:paraId="4F4D7922">
            <w:pPr>
              <w:ind w:firstLine="420" w:firstLineChars="200"/>
              <w:jc w:val="both"/>
              <w:rPr>
                <w:rFonts w:hint="eastAsia" w:ascii="Times New Roman" w:hAnsi="Times New Roman" w:cs="宋体"/>
              </w:rPr>
            </w:pPr>
            <w:r>
              <w:rPr>
                <w:rFonts w:hint="eastAsia" w:ascii="Times New Roman" w:hAnsi="Times New Roman" w:cs="宋体"/>
              </w:rPr>
              <w:t>论文《Boltzmann Attention Sampling for Image Analysis with Small Objects》提出了一种针对小目标图像分析的高效注意力机制。作者发现，传统 transformer 模型常将注意力分散在无关区域，导致对面积小但语义重要的目标关注不足。为此，论文设计了可插拔的玻尔兹曼注意力采样机制，通过基于能量分布的概率化采样和温度退火过程，让模型从广泛关注逐步收敛到关键区域。模型在多尺度特征层中仅对采样位置计算注意力，大幅降低计算量。为弥补稀疏采样造成的信息缺失，作者提出了像素级掩膜融合模块（PiGMA），融合不同层和查询的局部响应，生成更稳定的分割结果。实验表明，该方法在小目标数据集上显著提升了精度，同时减少了注意力计算开销。</w:t>
            </w:r>
          </w:p>
          <w:p w14:paraId="7795FB37">
            <w:pPr>
              <w:ind w:firstLine="420" w:firstLineChars="200"/>
              <w:jc w:val="both"/>
              <w:rPr>
                <w:rFonts w:hint="eastAsia" w:ascii="Times New Roman" w:hAnsi="Times New Roman" w:cs="宋体"/>
              </w:rPr>
            </w:pPr>
          </w:p>
          <w:p w14:paraId="7D075BFD">
            <w:pPr>
              <w:ind w:firstLine="420" w:firstLineChars="200"/>
              <w:jc w:val="both"/>
              <w:rPr>
                <w:rFonts w:hint="eastAsia" w:ascii="Times New Roman" w:hAnsi="Times New Roman" w:cs="宋体"/>
                <w:lang w:eastAsia="zh-CN"/>
              </w:rPr>
            </w:pPr>
          </w:p>
        </w:tc>
      </w:tr>
      <w:tr w14:paraId="72A75071">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1E03A9">
            <w:pPr>
              <w:jc w:val="center"/>
              <w:rPr>
                <w:rFonts w:ascii="Times New Roman" w:hAnsi="Times New Roman"/>
                <w:sz w:val="24"/>
                <w:szCs w:val="24"/>
              </w:rPr>
            </w:pPr>
          </w:p>
          <w:p w14:paraId="314492A6">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4E9C9CAB">
            <w:pPr>
              <w:ind w:firstLine="420" w:firstLineChars="200"/>
              <w:jc w:val="both"/>
              <w:rPr>
                <w:rFonts w:hint="eastAsia" w:ascii="Times New Roman" w:hAnsi="Times New Roman" w:cs="宋体"/>
                <w:lang w:val="en-US" w:eastAsia="zh-CN"/>
              </w:rPr>
            </w:pPr>
          </w:p>
          <w:p w14:paraId="5D2CA29B">
            <w:pPr>
              <w:ind w:firstLine="420" w:firstLineChars="200"/>
              <w:jc w:val="both"/>
              <w:rPr>
                <w:rFonts w:hint="eastAsia" w:ascii="Times New Roman" w:hAnsi="Times New Roman" w:cs="宋体"/>
                <w:lang w:val="en-US" w:eastAsia="zh-CN"/>
              </w:rPr>
            </w:pPr>
          </w:p>
          <w:p w14:paraId="20D96ABD">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这项研究对动物个体识别等任务具有启发意义。其“概率采样 + 退火聚焦”的策略表明，模型应将有限的计算资源优先分配给关键特征区域，如被遮挡的身体部分或细微斑纹。PiGMA 式多源融合也启示我们在多尺度或多视角信息中应使用稳健的像素级整合机制，以降低局部不确定性。在实际应用中，可借鉴此思路，在去背景后加入轻量化注意力采样模块，专注处理难样本区域，从而在不显著增加计算量的情况下提升小体型或远距个体的识别精度。总体而言，该方法以概率化方式将计算集中于重要像素，为小目标检测与高效视觉分析提供了新的方向。</w:t>
            </w:r>
          </w:p>
          <w:p w14:paraId="52D226DF">
            <w:pPr>
              <w:ind w:firstLine="420" w:firstLineChars="200"/>
              <w:jc w:val="both"/>
              <w:rPr>
                <w:rFonts w:hint="eastAsia" w:ascii="Times New Roman" w:hAnsi="Times New Roman" w:cs="宋体"/>
                <w:lang w:val="en-US" w:eastAsia="zh-CN"/>
              </w:rPr>
            </w:pPr>
          </w:p>
        </w:tc>
      </w:tr>
      <w:tr w14:paraId="6260AA18">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7D7ADE3">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761E7125">
            <w:pPr>
              <w:jc w:val="both"/>
              <w:rPr>
                <w:rFonts w:ascii="Times New Roman" w:hAnsi="Times New Roman"/>
                <w:sz w:val="24"/>
                <w:szCs w:val="24"/>
              </w:rPr>
            </w:pPr>
          </w:p>
          <w:p w14:paraId="7CFD68D1">
            <w:pPr>
              <w:rPr>
                <w:rFonts w:ascii="Times New Roman" w:hAnsi="Times New Roman"/>
              </w:rPr>
            </w:pPr>
          </w:p>
          <w:p w14:paraId="183399D2">
            <w:pPr>
              <w:rPr>
                <w:rFonts w:ascii="Times New Roman" w:hAnsi="Times New Roman"/>
              </w:rPr>
            </w:pPr>
          </w:p>
          <w:p w14:paraId="603433DC">
            <w:pPr>
              <w:rPr>
                <w:rFonts w:hint="eastAsia" w:ascii="Times New Roman" w:hAnsi="Times New Roman" w:eastAsia="宋体"/>
                <w:lang w:eastAsia="zh-CN"/>
              </w:rPr>
            </w:pPr>
            <w:r>
              <w:rPr>
                <w:rFonts w:hint="eastAsia" w:ascii="Times New Roman" w:hAnsi="Times New Roman"/>
              </w:rPr>
              <w:t>你的评述很好地梳理了文献的结构和逻辑，尤其是分步骤介绍了研究方法</w:t>
            </w:r>
            <w:r>
              <w:rPr>
                <w:rFonts w:hint="eastAsia" w:ascii="Times New Roman" w:hAnsi="Times New Roman"/>
                <w:lang w:eastAsia="zh-CN"/>
              </w:rPr>
              <w:t>。你可以进一步探讨研究方法的缺陷或不足之处</w:t>
            </w:r>
          </w:p>
          <w:p w14:paraId="558E6A38">
            <w:pPr>
              <w:rPr>
                <w:rFonts w:ascii="Times New Roman" w:hAnsi="Times New Roman"/>
              </w:rPr>
            </w:pPr>
          </w:p>
          <w:p w14:paraId="65862564">
            <w:pPr>
              <w:rPr>
                <w:rFonts w:ascii="Times New Roman" w:hAnsi="Times New Roman"/>
              </w:rPr>
            </w:pPr>
          </w:p>
          <w:p w14:paraId="5958BE2C">
            <w:pPr>
              <w:rPr>
                <w:rFonts w:ascii="Times New Roman" w:hAnsi="Times New Roman"/>
              </w:rPr>
            </w:pPr>
          </w:p>
          <w:p w14:paraId="721FB641">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A644C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r w14:paraId="598E6C15">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828EB09">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3A4FCC37">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6C32194E">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245F12A9">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B721CD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BEFAFBF">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19</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44D2F07E">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2EFD47C">
            <w:pPr>
              <w:jc w:val="center"/>
              <w:rPr>
                <w:rFonts w:ascii="Times New Roman" w:hAnsi="Times New Roman"/>
                <w:sz w:val="24"/>
                <w:szCs w:val="24"/>
              </w:rPr>
            </w:pPr>
            <w:r>
              <w:rPr>
                <w:rFonts w:hint="default" w:ascii="Times New Roman" w:hAnsi="Times New Roman" w:cs="Times New Roman"/>
                <w:vertAlign w:val="baseline"/>
                <w:lang w:val="en-US" w:eastAsia="zh-CN"/>
              </w:rPr>
              <w:t>QiGSAN: A Novel Probability-Informed Approach for Small Object Segmentation in the Case of Limited Image Datasets</w:t>
            </w:r>
          </w:p>
        </w:tc>
      </w:tr>
      <w:tr w14:paraId="5B0C74FF">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3D7337B">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141345A3">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Gorshenin A, Dostovalova A. QiGSAN: A Novel Probability-Informed Approach for Small Object Segmentation in the Case of Limited Image Datasets[J]. Big Data and Cognitive Computing, 2025, 9(9): 239.</w:t>
            </w:r>
          </w:p>
        </w:tc>
      </w:tr>
      <w:tr w14:paraId="29261A5E">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A8DF5B0">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A0EAB4E">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002E2DD5">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48392C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Gorshenin A, Dostovalova A </w:t>
            </w:r>
          </w:p>
        </w:tc>
      </w:tr>
      <w:tr w14:paraId="1D9903B9">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01F6AF0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3E6F8AC5">
            <w:pPr>
              <w:ind w:firstLine="420" w:firstLineChars="200"/>
              <w:jc w:val="both"/>
              <w:rPr>
                <w:rFonts w:hint="eastAsia" w:ascii="Times New Roman" w:hAnsi="Times New Roman" w:cs="宋体"/>
              </w:rPr>
            </w:pPr>
          </w:p>
          <w:p w14:paraId="740E391D">
            <w:pPr>
              <w:ind w:firstLine="420" w:firstLineChars="200"/>
              <w:jc w:val="both"/>
              <w:rPr>
                <w:rFonts w:hint="eastAsia" w:ascii="Times New Roman" w:hAnsi="Times New Roman" w:cs="宋体"/>
              </w:rPr>
            </w:pPr>
            <w:r>
              <w:rPr>
                <w:rFonts w:hint="eastAsia" w:ascii="Times New Roman" w:hAnsi="Times New Roman" w:cs="宋体"/>
              </w:rPr>
              <w:t>论文《QiGSAN: A Novel Probability-Informed Approach for Small Object Segmentation in the Case of Limited Image Datasets》提出了在高分辨率影像中、小目标样本稀缺和类别严重不平衡条件下，利用概率模型增强语义分割的一种方法。作者基于四叉树结构构建了一个“概率知情”图神经网络体系，将传统卷积或 transformer 编码器与一个四叉树-超像素图自注意力网络结合，实现了对不同空间分辨率下的特征关联建模。具体而言，图中的超像素被组织成四叉树层次，以构建有更佳层次关系的邻接关系矩阵，图卷积与自注意力机制在此基础上运作，从而比标准卷积架构更快地降低损失。实验使用两套合成孔径雷达（SAR）小目标分割数据集（HRSID／SSDD），结果显示与最先进的 transformer 与卷积网络相比，QiGSAN 在 F₁-分数上可提升最多 63.93%，在 mIoU 上提升最多 35.79%。</w:t>
            </w:r>
          </w:p>
          <w:p w14:paraId="5F89E0ED">
            <w:pPr>
              <w:ind w:firstLine="420" w:firstLineChars="200"/>
              <w:jc w:val="both"/>
              <w:rPr>
                <w:rFonts w:hint="eastAsia" w:ascii="Times New Roman" w:hAnsi="Times New Roman" w:cs="宋体"/>
                <w:lang w:eastAsia="zh-CN"/>
              </w:rPr>
            </w:pPr>
          </w:p>
        </w:tc>
      </w:tr>
      <w:tr w14:paraId="61E0F5D1">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EF6A883">
            <w:pPr>
              <w:jc w:val="center"/>
              <w:rPr>
                <w:rFonts w:ascii="Times New Roman" w:hAnsi="Times New Roman"/>
                <w:sz w:val="24"/>
                <w:szCs w:val="24"/>
              </w:rPr>
            </w:pPr>
          </w:p>
          <w:p w14:paraId="1571DCD9">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09FB4D62">
            <w:pPr>
              <w:ind w:firstLine="420" w:firstLineChars="200"/>
              <w:jc w:val="both"/>
              <w:rPr>
                <w:rFonts w:hint="eastAsia" w:ascii="Times New Roman" w:hAnsi="Times New Roman" w:cs="宋体"/>
                <w:lang w:val="en-US" w:eastAsia="zh-CN"/>
              </w:rPr>
            </w:pPr>
          </w:p>
          <w:p w14:paraId="0A52594A">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这项研究对动物个体识别与小样本视觉任务具有重要启发。其核心在于：面对样本量少、目标体积小、背景复杂的情景，单纯增加网络规模或数据增强并不能根本解决问题；相反，引入模型先验（如四叉树分割、图结构建模）将空间结构知识与概率知识嵌入网络，可显著提高学习效率与泛化能力。对于你的动物识别任务，类似思路可转化为：将识别难的个体或姿态用超像素或局部图结构方式抽象，用图神经或注意力模块增强其表示，再在个体识别网络中给予更高训练权重。通过这种“结构＋概率知情”的方式，你可以在样本稀少、背景复杂的条件下仍然提升识别鲁棒性与精度。</w:t>
            </w:r>
          </w:p>
        </w:tc>
      </w:tr>
      <w:tr w14:paraId="2C8D7984">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C594436">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47DB4861">
            <w:pPr>
              <w:rPr>
                <w:rFonts w:ascii="Times New Roman" w:hAnsi="Times New Roman"/>
              </w:rPr>
            </w:pPr>
          </w:p>
          <w:p w14:paraId="5CAE23C2">
            <w:pPr>
              <w:rPr>
                <w:rFonts w:hint="eastAsia" w:ascii="Times New Roman" w:hAnsi="Times New Roman"/>
                <w:lang w:val="en-US" w:eastAsia="zh-CN"/>
              </w:rPr>
            </w:pPr>
            <w:r>
              <w:rPr>
                <w:rFonts w:hint="eastAsia" w:ascii="Times New Roman" w:hAnsi="Times New Roman"/>
                <w:lang w:val="en-US" w:eastAsia="zh-CN"/>
              </w:rPr>
              <w:t xml:space="preserve">   </w:t>
            </w:r>
          </w:p>
          <w:p w14:paraId="1C7BC0F6">
            <w:pPr>
              <w:rPr>
                <w:rFonts w:hint="eastAsia" w:ascii="Times New Roman" w:hAnsi="Times New Roman"/>
                <w:lang w:val="en-US" w:eastAsia="zh-CN"/>
              </w:rPr>
            </w:pPr>
          </w:p>
          <w:p w14:paraId="23BBE8C2">
            <w:pPr>
              <w:rPr>
                <w:rFonts w:hint="eastAsia" w:ascii="Times New Roman" w:hAnsi="Times New Roman"/>
                <w:lang w:val="en-US" w:eastAsia="zh-CN"/>
              </w:rPr>
            </w:pPr>
            <w:r>
              <w:rPr>
                <w:rFonts w:hint="eastAsia" w:ascii="Times New Roman" w:hAnsi="Times New Roman"/>
                <w:lang w:val="en-US" w:eastAsia="zh-CN"/>
              </w:rPr>
              <w:t>你对文献的理论框架有不错的概括，建议加入该文献与其他相似研究的对比分析。</w:t>
            </w:r>
          </w:p>
          <w:p w14:paraId="2AD8E364">
            <w:pPr>
              <w:rPr>
                <w:rFonts w:hint="eastAsia" w:ascii="Times New Roman" w:hAnsi="Times New Roman"/>
                <w:lang w:val="en-US" w:eastAsia="zh-CN"/>
              </w:rPr>
            </w:pPr>
          </w:p>
          <w:p w14:paraId="27CA1887">
            <w:pPr>
              <w:rPr>
                <w:rFonts w:hint="eastAsia" w:ascii="Times New Roman" w:hAnsi="Times New Roman"/>
                <w:lang w:val="en-US" w:eastAsia="zh-CN"/>
              </w:rPr>
            </w:pPr>
          </w:p>
          <w:p w14:paraId="346D565C">
            <w:pPr>
              <w:rPr>
                <w:rFonts w:hint="default" w:ascii="Times New Roman" w:hAnsi="Times New Roman"/>
                <w:lang w:val="en-US" w:eastAsia="zh-CN"/>
              </w:rPr>
            </w:pPr>
          </w:p>
          <w:p w14:paraId="592D4AA3">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87413ED">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r w14:paraId="57C8FB8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F051CD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FAA373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5772FAB2">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439F0DDE">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1E7ED7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7F684C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20</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72C01A9F">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1D4D596D">
            <w:pPr>
              <w:jc w:val="center"/>
              <w:rPr>
                <w:rFonts w:ascii="Times New Roman" w:hAnsi="Times New Roman"/>
                <w:sz w:val="24"/>
                <w:szCs w:val="24"/>
              </w:rPr>
            </w:pPr>
            <w:r>
              <w:rPr>
                <w:rFonts w:hint="default" w:ascii="Times New Roman" w:hAnsi="Times New Roman" w:cs="Times New Roman"/>
                <w:vertAlign w:val="baseline"/>
                <w:lang w:val="en-US" w:eastAsia="zh-CN"/>
              </w:rPr>
              <w:t>CaraNet：Context Axial Reverse Attention Network for Segmentation of Small Medical Objects</w:t>
            </w:r>
          </w:p>
        </w:tc>
      </w:tr>
      <w:tr w14:paraId="1595DE03">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5295F7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3365DA28">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Lou A, Guan S, Ko H, et al. CaraNet: context axial reverse attention network for segmentation of small medical objects[C]//Medical Imaging 2022: Image Processing. SPIE, 2022, 12032: 81-92.</w:t>
            </w:r>
          </w:p>
        </w:tc>
      </w:tr>
      <w:tr w14:paraId="4D41CB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FBCB445">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34A5E0">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2EFF31C8">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31CC071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Lou A, Guan S, Ko H, et al</w:t>
            </w:r>
          </w:p>
        </w:tc>
      </w:tr>
      <w:tr w14:paraId="11FC7341">
        <w:tblPrEx>
          <w:tblCellMar>
            <w:top w:w="0" w:type="dxa"/>
            <w:left w:w="108" w:type="dxa"/>
            <w:bottom w:w="0" w:type="dxa"/>
            <w:right w:w="108" w:type="dxa"/>
          </w:tblCellMar>
        </w:tblPrEx>
        <w:trPr>
          <w:cantSplit/>
          <w:trHeight w:val="2779" w:hRule="atLeast"/>
        </w:trPr>
        <w:tc>
          <w:tcPr>
            <w:tcW w:w="1906" w:type="dxa"/>
            <w:gridSpan w:val="2"/>
            <w:tcBorders>
              <w:top w:val="single" w:color="auto" w:sz="4" w:space="0"/>
              <w:left w:val="single" w:color="auto" w:sz="4" w:space="0"/>
              <w:right w:val="single" w:color="auto" w:sz="4" w:space="0"/>
            </w:tcBorders>
            <w:vAlign w:val="center"/>
          </w:tcPr>
          <w:p w14:paraId="06476A2A">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076C7347">
            <w:pPr>
              <w:ind w:firstLine="420" w:firstLineChars="200"/>
              <w:jc w:val="both"/>
              <w:rPr>
                <w:rFonts w:hint="eastAsia" w:ascii="Times New Roman" w:hAnsi="Times New Roman" w:cs="宋体"/>
                <w:lang w:val="en-US" w:eastAsia="zh-CN"/>
              </w:rPr>
            </w:pPr>
          </w:p>
          <w:p w14:paraId="679208D8">
            <w:pPr>
              <w:ind w:firstLine="420" w:firstLineChars="200"/>
              <w:jc w:val="both"/>
              <w:rPr>
                <w:rFonts w:hint="eastAsia" w:ascii="Times New Roman" w:hAnsi="Times New Roman" w:cs="宋体"/>
                <w:lang w:val="en-US" w:eastAsia="zh-CN"/>
              </w:rPr>
            </w:pPr>
          </w:p>
          <w:p w14:paraId="1D2968A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论文《CaraNet：Context Axial Reverse Attention Network for Segmentation of Small Medical Objects》提出了一种新型的医学图像分割网络，旨在解决小目标（如小型脑肿瘤和息肉）分割中的挑战。作者设计了一个名为“Context Axial Reverse Attention”（CARA）的模块，结合了轴向注意力机制和反向注意力机制，以增强对小目标的关注。该网络还引入了通道级特征金字塔（CFP）模块，用于提取多尺度特征，从而提高分割精度。实验结果表明，CaraNet在多个数据集上表现优异，尤其在小目标分割任务中，优于现有的主流模型。</w:t>
            </w:r>
          </w:p>
          <w:p w14:paraId="3D2769CF">
            <w:pPr>
              <w:ind w:firstLine="420" w:firstLineChars="200"/>
              <w:jc w:val="both"/>
              <w:rPr>
                <w:rFonts w:hint="eastAsia" w:ascii="Times New Roman" w:hAnsi="Times New Roman" w:cs="宋体"/>
                <w:lang w:val="en-US" w:eastAsia="zh-CN"/>
              </w:rPr>
            </w:pPr>
          </w:p>
          <w:p w14:paraId="74BB4CC4">
            <w:pPr>
              <w:ind w:firstLine="420" w:firstLineChars="200"/>
              <w:jc w:val="both"/>
              <w:rPr>
                <w:rFonts w:hint="eastAsia" w:ascii="Times New Roman" w:hAnsi="Times New Roman" w:cs="宋体"/>
                <w:lang w:val="en-US" w:eastAsia="zh-CN"/>
              </w:rPr>
            </w:pPr>
          </w:p>
        </w:tc>
      </w:tr>
      <w:tr w14:paraId="7367513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D9F3C54">
            <w:pPr>
              <w:jc w:val="center"/>
              <w:rPr>
                <w:rFonts w:ascii="Times New Roman" w:hAnsi="Times New Roman"/>
                <w:sz w:val="24"/>
                <w:szCs w:val="24"/>
              </w:rPr>
            </w:pPr>
          </w:p>
          <w:p w14:paraId="19404D6F">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1B11EA0E">
            <w:pPr>
              <w:ind w:firstLine="420" w:firstLineChars="200"/>
              <w:jc w:val="both"/>
              <w:rPr>
                <w:rFonts w:hint="eastAsia" w:ascii="Times New Roman" w:hAnsi="Times New Roman" w:cs="宋体"/>
                <w:lang w:val="en-US" w:eastAsia="zh-CN"/>
              </w:rPr>
            </w:pPr>
          </w:p>
          <w:p w14:paraId="6529E4FC">
            <w:pPr>
              <w:ind w:firstLine="420" w:firstLineChars="200"/>
              <w:jc w:val="both"/>
              <w:rPr>
                <w:rFonts w:hint="eastAsia" w:ascii="Times New Roman" w:hAnsi="Times New Roman" w:cs="宋体"/>
                <w:lang w:val="en-US" w:eastAsia="zh-CN"/>
              </w:rPr>
            </w:pPr>
          </w:p>
          <w:p w14:paraId="6EF265F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CaraNet的设计理念具有重要启示。首先，面对样本量少、目标体积小、背景复杂的情景，单纯增加网络规模或数据增强并不能根本解决问题；相反，引入模型先验（如四叉树分割、图结构建模）将空间结构知识与概率知识嵌入网络，可显著提高学习效率与泛化能力。对于你的动物识别任务，类似思路可转化为：将识别难的个体或姿态用超像素或局部图结构方式抽象，用图神经或注意力模块增强其表示，再在个体识别网络中给予更高训练权重。通过这种“结构＋概率知情”的方式，你可以在样本稀少、背景复杂的条件下仍然提升识别鲁棒性与精度。</w:t>
            </w:r>
          </w:p>
          <w:p w14:paraId="0D6EC7D9">
            <w:pPr>
              <w:ind w:firstLine="420" w:firstLineChars="200"/>
              <w:jc w:val="both"/>
              <w:rPr>
                <w:rFonts w:hint="eastAsia" w:ascii="Times New Roman" w:hAnsi="Times New Roman" w:cs="宋体"/>
                <w:lang w:val="en-US" w:eastAsia="zh-CN"/>
              </w:rPr>
            </w:pPr>
          </w:p>
          <w:p w14:paraId="101BF8B3">
            <w:pPr>
              <w:ind w:firstLine="420" w:firstLineChars="200"/>
              <w:jc w:val="both"/>
              <w:rPr>
                <w:rFonts w:hint="eastAsia" w:ascii="Times New Roman" w:hAnsi="Times New Roman" w:cs="宋体"/>
                <w:lang w:val="en-US" w:eastAsia="zh-CN"/>
              </w:rPr>
            </w:pPr>
          </w:p>
        </w:tc>
      </w:tr>
      <w:tr w14:paraId="6AB8DA3F">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BBC4830">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7BBE24AF">
            <w:pPr>
              <w:jc w:val="both"/>
              <w:rPr>
                <w:rFonts w:ascii="Times New Roman" w:hAnsi="Times New Roman"/>
                <w:sz w:val="24"/>
                <w:szCs w:val="24"/>
              </w:rPr>
            </w:pPr>
          </w:p>
          <w:p w14:paraId="70D45BD0">
            <w:pPr>
              <w:ind w:firstLine="420" w:firstLineChars="200"/>
              <w:rPr>
                <w:rFonts w:ascii="Times New Roman" w:hAnsi="Times New Roman"/>
              </w:rPr>
            </w:pPr>
            <w:r>
              <w:rPr>
                <w:rFonts w:hint="eastAsia" w:ascii="Times New Roman" w:hAnsi="Times New Roman"/>
              </w:rPr>
              <w:t>在文献的技术细节上，你有较为细致的描述，并且提到了该技术的优缺点</w:t>
            </w:r>
            <w:r>
              <w:rPr>
                <w:rFonts w:hint="eastAsia" w:ascii="Times New Roman" w:hAnsi="Times New Roman"/>
                <w:lang w:eastAsia="zh-CN"/>
              </w:rPr>
              <w:t>。也可以考虑提出一些潜在的改进方法。</w:t>
            </w:r>
          </w:p>
          <w:p w14:paraId="1594120C">
            <w:pPr>
              <w:rPr>
                <w:rFonts w:ascii="Times New Roman" w:hAnsi="Times New Roman"/>
              </w:rPr>
            </w:pPr>
          </w:p>
          <w:p w14:paraId="2F482688">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993992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580FD33C">
      <w:pPr>
        <w:jc w:val="left"/>
        <w:rPr>
          <w:rFonts w:hint="eastAsia" w:ascii="Times New Roman" w:hAnsi="Times New Roman" w:eastAsia="宋体"/>
          <w:vanish/>
          <w:sz w:val="21"/>
          <w:lang w:eastAsia="zh-CN"/>
        </w:rPr>
      </w:pPr>
    </w:p>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C09732"/>
    <w:multiLevelType w:val="singleLevel"/>
    <w:tmpl w:val="98C09732"/>
    <w:lvl w:ilvl="0" w:tentative="0">
      <w:start w:val="1"/>
      <w:numFmt w:val="decimal"/>
      <w:lvlText w:val="%1."/>
      <w:lvlJc w:val="left"/>
      <w:pPr>
        <w:ind w:left="1895" w:hanging="425"/>
      </w:pPr>
      <w:rPr>
        <w:rFonts w:hint="default"/>
      </w:rPr>
    </w:lvl>
  </w:abstractNum>
  <w:abstractNum w:abstractNumId="1">
    <w:nsid w:val="3585E088"/>
    <w:multiLevelType w:val="singleLevel"/>
    <w:tmpl w:val="3585E088"/>
    <w:lvl w:ilvl="0" w:tentative="0">
      <w:start w:val="1"/>
      <w:numFmt w:val="decimal"/>
      <w:lvlText w:val="%1."/>
      <w:lvlJc w:val="left"/>
      <w:pPr>
        <w:ind w:left="2945" w:hanging="425"/>
      </w:pPr>
      <w:rPr>
        <w:rFonts w:hint="default"/>
        <w:b w:val="0"/>
        <w:bCs w:val="0"/>
      </w:rPr>
    </w:lvl>
  </w:abstractNum>
  <w:abstractNum w:abstractNumId="2">
    <w:nsid w:val="759F350D"/>
    <w:multiLevelType w:val="singleLevel"/>
    <w:tmpl w:val="759F350D"/>
    <w:lvl w:ilvl="0" w:tentative="0">
      <w:start w:val="1"/>
      <w:numFmt w:val="decimal"/>
      <w:lvlText w:val="%1."/>
      <w:lvlJc w:val="left"/>
      <w:pPr>
        <w:ind w:left="2945" w:hanging="425"/>
      </w:pPr>
      <w:rPr>
        <w:rFonts w:hint="default"/>
        <w:b w:val="0"/>
        <w:bCs w:val="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00000000"/>
    <w:rsid w:val="01390A7A"/>
    <w:rsid w:val="1376071E"/>
    <w:rsid w:val="13F74935"/>
    <w:rsid w:val="2ED56C86"/>
    <w:rsid w:val="30CE0AB9"/>
    <w:rsid w:val="370D4058"/>
    <w:rsid w:val="3AC322FD"/>
    <w:rsid w:val="3D951CF8"/>
    <w:rsid w:val="42C22ADC"/>
    <w:rsid w:val="49F44DA6"/>
    <w:rsid w:val="521105B8"/>
    <w:rsid w:val="5E4D6DCF"/>
    <w:rsid w:val="6D4F4039"/>
    <w:rsid w:val="722247E9"/>
    <w:rsid w:val="748F7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page number"/>
    <w:qFormat/>
    <w:uiPriority w:val="0"/>
  </w:style>
  <w:style w:type="character" w:styleId="10">
    <w:name w:val="Hyperlink"/>
    <w:basedOn w:val="7"/>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345</Words>
  <Characters>825</Characters>
  <Lines>0</Lines>
  <Paragraphs>0</Paragraphs>
  <TotalTime>40</TotalTime>
  <ScaleCrop>false</ScaleCrop>
  <LinksUpToDate>false</LinksUpToDate>
  <CharactersWithSpaces>1004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2024-11-08T01:47:00Z</dcterms:created>
  <dc:creator>HSC</dc:creator>
  <cp:lastModifiedBy>再见</cp:lastModifiedBy>
  <dcterms:modified xsi:type="dcterms:W3CDTF">2025-10-31T03:11:08Z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A4F6206C54EF459E95B60CFAEB9514A4_12</vt:lpwstr>
  </property>
  <property fmtid="{D5CDD505-2E9C-101B-9397-08002B2CF9AE}" pid="4" name="KSOTemplateDocerSaveRecord">
    <vt:lpwstr>eyJoZGlkIjoiYjAyYTMyYTY3OTM2ZGU3YzIyNTdhMGQwOWYxNjY3YTEiLCJ1c2VySWQiOiI3NjA0NTUwOTUifQ==</vt:lpwstr>
  </property>
</Properties>
</file>