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80"/>
      </w:pPr>
      <w:r>
        <w:rPr>
          <w:rFonts w:ascii="Arial" w:cs="Arial" w:eastAsia="Arial" w:hAnsi="Arial"/>
          <w:b/>
          <w:bCs/>
          <w:color w:val="2E75B6"/>
          <w:spacing w:val="200"/>
          <w:sz w:val="24"/>
          <w:szCs w:val="24"/>
        </w:rPr>
        <w:t xml:space="preserve">CROZIER SCOTT</w:t>
      </w:r>
    </w:p>
    <w:p>
      <w:pPr>
        <w:pBdr>
          <w:bottom w:val="single" w:color="2E75B6" w:sz="8" w:space="8"/>
        </w:pBdr>
        <w:spacing w:after="40"/>
      </w:pPr>
      <w:r>
        <w:rPr>
          <w:rFonts w:ascii="Arial" w:cs="Arial" w:eastAsia="Arial" w:hAnsi="Arial"/>
          <w:b/>
          <w:bCs/>
          <w:color w:val="1B3A5C"/>
          <w:sz w:val="52"/>
          <w:szCs w:val="52"/>
        </w:rPr>
        <w:t xml:space="preserve">Compliance Orchestration Platform</w:t>
      </w:r>
    </w:p>
    <w:p>
      <w:pPr>
        <w:spacing w:after="600"/>
      </w:pPr>
      <w:r>
        <w:rPr>
          <w:rFonts w:ascii="Arial" w:cs="Arial" w:eastAsia="Arial" w:hAnsi="Arial"/>
          <w:color w:val="666666"/>
          <w:sz w:val="32"/>
          <w:szCs w:val="32"/>
        </w:rPr>
        <w:t xml:space="preserve">Domain Model &amp; Data Architecture</w:t>
      </w:r>
    </w:p>
    <w:p>
      <w:pPr>
        <w:spacing w:after="120"/>
      </w:pPr>
      <w:r>
        <w:rPr>
          <w:rFonts w:ascii="Arial" w:cs="Arial" w:eastAsia="Arial" w:hAnsi="Arial"/>
          <w:color w:val="666666"/>
          <w:sz w:val="24"/>
          <w:szCs w:val="24"/>
        </w:rPr>
        <w:t xml:space="preserve">Cross-domain compliance middleware and operational data platform for building and facilities management. Go middleware with PostgreSQL data store.</w:t>
      </w:r>
    </w:p>
    <w:p>
      <w:pPr>
        <w:spacing w:after="600"/>
      </w:pPr>
    </w:p>
    <w:p>
      <w:pPr>
        <w:spacing w:after="80"/>
      </w:pPr>
      <w:r>
        <w:rPr>
          <w:rFonts w:ascii="Arial" w:cs="Arial" w:eastAsia="Arial" w:hAnsi="Arial"/>
          <w:b/>
          <w:bCs/>
          <w:color w:val="C2410C"/>
          <w:spacing w:val="100"/>
          <w:sz w:val="18"/>
          <w:szCs w:val="18"/>
        </w:rPr>
        <w:t xml:space="preserve">CLASSIFICATION: DRAFT / DISCUSSION DOCUMENT</w:t>
      </w:r>
    </w:p>
    <w:p>
      <w:pPr>
        <w:spacing w:after="120"/>
      </w:pPr>
      <w:r>
        <w:rPr>
          <w:rFonts w:ascii="Arial" w:cs="Arial" w:eastAsia="Arial" w:hAnsi="Arial"/>
          <w:i/>
          <w:iCs/>
          <w:color w:val="666666"/>
          <w:sz w:val="20"/>
          <w:szCs w:val="20"/>
        </w:rPr>
        <w:t xml:space="preserve">v2 — Revised architecture. Prepared for discussion with prospective partner.</w:t>
      </w:r>
    </w:p>
    <w:p>
      <w:pPr>
        <w:spacing w:after="400"/>
      </w:pPr>
    </w:p>
    <w:p>
      <w:pPr>
        <w:spacing w:after="120"/>
      </w:pPr>
      <w:r>
        <w:rPr>
          <w:rFonts w:ascii="Arial" w:cs="Arial" w:eastAsia="Arial" w:hAnsi="Arial"/>
          <w:color w:val="666666"/>
          <w:sz w:val="22"/>
          <w:szCs w:val="22"/>
        </w:rPr>
        <w:t xml:space="preserve">February 2026</w:t>
      </w:r>
    </w:p>
    <w:p>
      <w:pPr>
        <w:sectPr>
          <w:pgSz w:w="12240" w:h="15840" w:orient="portrait"/>
          <w:pgMar w:top="1440" w:right="1440" w:bottom="1440" w:left="1440" w:header="708" w:footer="708" w:gutter="0"/>
          <w:pgNumType/>
          <w:docGrid w:linePitch="360"/>
        </w:sectPr>
      </w:pPr>
    </w:p>
    <w:p>
      <w:pPr>
        <w:pStyle w:val="Heading1"/>
      </w:pPr>
      <w:r>
        <w:t xml:space="preserve">1. Architecture Overview</w:t>
      </w:r>
    </w:p>
    <w:p>
      <w:pPr>
        <w:spacing w:after="120"/>
      </w:pPr>
      <w:r>
        <w:rPr>
          <w:rFonts w:ascii="Arial" w:cs="Arial" w:eastAsia="Arial" w:hAnsi="Arial"/>
          <w:color w:val="333333"/>
          <w:sz w:val="22"/>
          <w:szCs w:val="22"/>
        </w:rPr>
        <w:t xml:space="preserve">This document defines the domain model and data architecture for a cross-domain compliance orchestration platform. The architecture has two distinct components with different engineering characteristics:</w:t>
      </w:r>
    </w:p>
    <w:p>
      <w:pPr>
        <w:spacing w:after="60"/>
      </w:pPr>
    </w:p>
    <w:p>
      <w:pPr>
        <w:spacing w:after="120"/>
      </w:pPr>
      <w:r>
        <w:rPr>
          <w:rFonts w:ascii="Arial" w:cs="Arial" w:eastAsia="Arial" w:hAnsi="Arial"/>
          <w:b/>
          <w:bCs/>
          <w:color w:val="333333"/>
          <w:sz w:val="22"/>
          <w:szCs w:val="22"/>
        </w:rPr>
        <w:t xml:space="preserve">The Middleware (Go application) </w:t>
      </w:r>
      <w:r>
        <w:rPr>
          <w:rFonts w:ascii="Arial" w:cs="Arial" w:eastAsia="Arial" w:hAnsi="Arial"/>
          <w:color w:val="333333"/>
          <w:sz w:val="22"/>
          <w:szCs w:val="22"/>
        </w:rPr>
        <w:t xml:space="preserve">— an event-driven integration engine that connects source systems, evaluates cross-domain rules, and triggers actions. This is the hard engineering and the core product IP. It requires proper application development: concurrency, connection management, protocol handling, and operational resilience.</w:t>
      </w:r>
    </w:p>
    <w:p>
      <w:pPr>
        <w:spacing w:after="120"/>
      </w:pPr>
      <w:r>
        <w:rPr>
          <w:rFonts w:ascii="Arial" w:cs="Arial" w:eastAsia="Arial" w:hAnsi="Arial"/>
          <w:b/>
          <w:bCs/>
          <w:color w:val="333333"/>
          <w:sz w:val="22"/>
          <w:szCs w:val="22"/>
        </w:rPr>
        <w:t xml:space="preserve">The Data Platform (PostgreSQL) </w:t>
      </w:r>
      <w:r>
        <w:rPr>
          <w:rFonts w:ascii="Arial" w:cs="Arial" w:eastAsia="Arial" w:hAnsi="Arial"/>
          <w:color w:val="333333"/>
          <w:sz w:val="22"/>
          <w:szCs w:val="22"/>
        </w:rPr>
        <w:t xml:space="preserve">— an operational data store holding the canonical domain model. The middleware reads from and writes to this continuously. It also serves the analytical layer (dashboards, reporting, risk scoring) via materialised views. At the data volumes typical of building compliance, Postgres handles both workloads without needing a separate analytical database.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
              <w:left w:val="single" w:color="2563EB" w:sz="8"/>
              <w:bottom w:val="single" w:color="2563EB" w:sz="1"/>
              <w:right w:val="single" w:color="2563EB" w:sz="1"/>
            </w:tcBorders>
            <w:shd w:fill="EFF4FF" w:val="clear"/>
            <w:tcMar>
              <w:top w:type="dxa" w:w="100"/>
              <w:left w:type="dxa" w:w="160"/>
              <w:bottom w:type="dxa" w:w="100"/>
              <w:right w:type="dxa" w:w="160"/>
            </w:tcMar>
          </w:tcPr>
          <w:p>
            <w:pPr>
              <w:spacing w:after="60"/>
            </w:pPr>
            <w:r>
              <w:rPr>
                <w:rFonts w:ascii="Arial" w:cs="Arial" w:eastAsia="Arial" w:hAnsi="Arial"/>
                <w:b/>
                <w:bCs/>
                <w:color w:val="2563EB"/>
                <w:sz w:val="18"/>
                <w:szCs w:val="18"/>
              </w:rPr>
              <w:t xml:space="preserve">ARCHITECTURAL PRINCIPLE</w:t>
            </w:r>
          </w:p>
          <w:p>
            <w:r>
              <w:rPr>
                <w:rFonts w:ascii="Arial" w:cs="Arial" w:eastAsia="Arial" w:hAnsi="Arial"/>
                <w:color w:val="333333"/>
                <w:sz w:val="20"/>
                <w:szCs w:val="20"/>
              </w:rPr>
              <w:t xml:space="preserve">The middleware is the product. The data platform supports it. The domain model (the schema design, the entity relationships, the obligation structure) is the intellectual property. The technology choices serve these priorities, not the other way around.</w:t>
            </w:r>
          </w:p>
        </w:tc>
      </w:tr>
    </w:tbl>
    <w:p>
      <w:pPr>
        <w:spacing w:after="200"/>
      </w:pPr>
    </w:p>
    <w:p>
      <w:pPr>
        <w:pStyle w:val="Heading2"/>
      </w:pPr>
      <w:r>
        <w:t xml:space="preserve">1.1 Design Principles</w:t>
      </w:r>
    </w:p>
    <w:p>
      <w:pPr>
        <w:pStyle w:val="ListParagraph"/>
        <w:numPr>
          <w:ilvl w:val="0"/>
          <w:numId w:val="2"/>
        </w:numPr>
        <w:spacing w:after="60"/>
      </w:pPr>
      <w:r>
        <w:rPr>
          <w:rFonts w:ascii="Arial" w:cs="Arial" w:eastAsia="Arial" w:hAnsi="Arial"/>
          <w:color w:val="333333"/>
          <w:sz w:val="22"/>
          <w:szCs w:val="22"/>
        </w:rPr>
        <w:t xml:space="preserve">Source-agnostic: the domain model doesn’t know or care which CAFM, BMS, or H&amp;S system data came from</w:t>
      </w:r>
    </w:p>
    <w:p>
      <w:pPr>
        <w:pStyle w:val="ListParagraph"/>
        <w:numPr>
          <w:ilvl w:val="0"/>
          <w:numId w:val="2"/>
        </w:numPr>
        <w:spacing w:after="60"/>
      </w:pPr>
      <w:r>
        <w:rPr>
          <w:rFonts w:ascii="Arial" w:cs="Arial" w:eastAsia="Arial" w:hAnsi="Arial"/>
          <w:color w:val="333333"/>
          <w:sz w:val="22"/>
          <w:szCs w:val="22"/>
        </w:rPr>
        <w:t xml:space="preserve">Event-driven: the middleware reacts to events in real-time via NATS message broker, not batch polling</w:t>
      </w:r>
    </w:p>
    <w:p>
      <w:pPr>
        <w:pStyle w:val="ListParagraph"/>
        <w:numPr>
          <w:ilvl w:val="0"/>
          <w:numId w:val="2"/>
        </w:numPr>
        <w:spacing w:after="60"/>
      </w:pPr>
      <w:r>
        <w:rPr>
          <w:rFonts w:ascii="Arial" w:cs="Arial" w:eastAsia="Arial" w:hAnsi="Arial"/>
          <w:color w:val="333333"/>
          <w:sz w:val="22"/>
          <w:szCs w:val="22"/>
        </w:rPr>
        <w:t xml:space="preserve">Obligation-centric: compliance requirements are first-class entities, not derived from other data</w:t>
      </w:r>
    </w:p>
    <w:p>
      <w:pPr>
        <w:pStyle w:val="ListParagraph"/>
        <w:numPr>
          <w:ilvl w:val="0"/>
          <w:numId w:val="2"/>
        </w:numPr>
        <w:spacing w:after="60"/>
      </w:pPr>
      <w:r>
        <w:rPr>
          <w:rFonts w:ascii="Arial" w:cs="Arial" w:eastAsia="Arial" w:hAnsi="Arial"/>
          <w:color w:val="333333"/>
          <w:sz w:val="22"/>
          <w:szCs w:val="22"/>
        </w:rPr>
        <w:t xml:space="preserve">Bi-directional: the platform writes back to source systems, not just reads from them</w:t>
      </w:r>
    </w:p>
    <w:p>
      <w:pPr>
        <w:pStyle w:val="ListParagraph"/>
        <w:numPr>
          <w:ilvl w:val="0"/>
          <w:numId w:val="2"/>
        </w:numPr>
        <w:spacing w:after="60"/>
      </w:pPr>
      <w:r>
        <w:rPr>
          <w:rFonts w:ascii="Arial" w:cs="Arial" w:eastAsia="Arial" w:hAnsi="Arial"/>
          <w:color w:val="333333"/>
          <w:sz w:val="22"/>
          <w:szCs w:val="22"/>
        </w:rPr>
        <w:t xml:space="preserve">Transactional: Postgres provides ACID guarantees for compliance state changes — critical for audit integrity</w:t>
      </w:r>
    </w:p>
    <w:p>
      <w:pPr>
        <w:pStyle w:val="ListParagraph"/>
        <w:numPr>
          <w:ilvl w:val="0"/>
          <w:numId w:val="2"/>
        </w:numPr>
        <w:spacing w:after="60"/>
      </w:pPr>
      <w:r>
        <w:rPr>
          <w:rFonts w:ascii="Arial" w:cs="Arial" w:eastAsia="Arial" w:hAnsi="Arial"/>
          <w:color w:val="333333"/>
          <w:sz w:val="22"/>
          <w:szCs w:val="22"/>
        </w:rPr>
        <w:t xml:space="preserve">Deployable anywhere: Go binary + Postgres + NATS runs on cloud, on-prem, or customer infrastructure</w:t>
      </w:r>
    </w:p>
    <w:p>
      <w:pPr>
        <w:pStyle w:val="Heading2"/>
      </w:pPr>
      <w:r>
        <w:t xml:space="preserve">1.2 Technology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5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Middleware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Go</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High concurrency for multiple source connections and event streams. Compiled binary deploys anywhere. Strong typing catches integration errors at compile time. Go interfaces provide clean plugin architecture for source system adapters.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Message Broker</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NATS / JetStream</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Go-native, single binary, no JVM dependencies. Supports pub/sub for event fan-out and JetStream for durable exactly-once delivery. Can run embedded in the Go process for POC, scales to clustered deployment for production.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Data Platform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PostgreSQL 16</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Transactional integrity for write-back operations. Low-latency reads for real-time rule evaluation. LISTEN/NOTIFY for event signalling. JSONB for semi-structured source data. Mature, proven, runs anywhere.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Time-Series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TimescaleDB</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Postgres extension (same database, same SQL). Automatic partitioning and compression for sensor data. Continuous aggregates for pre-computed rollups. No additional infrastructure.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Development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Claude Code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Accelerates connector scaffolding, Go struct generation from schemas, test fixture creation, and mapping configuration authoring.</w:t>
            </w:r>
          </w:p>
        </w:tc>
      </w:tr>
    </w:tbl>
    <w:p>
      <w:pPr>
        <w:spacing w:after="200"/>
      </w:pPr>
    </w:p>
    <w:p>
      <w:pPr>
        <w:pStyle w:val="Heading2"/>
      </w:pPr>
      <w:r>
        <w:t xml:space="preserve">1.3 Domain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Domain</w:t>
            </w:r>
          </w:p>
        </w:tc>
        <w:tc>
          <w:tcPr>
            <w:tcW w:type="dxa" w:w="3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Scope</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POC Phase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Equipment Telemetry</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IoT/sensor data, real-time thresholds, plant monitoring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Phase 1 — primary trigger source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CAFM / Maintenance</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SFG20 schedules, PPM, work orders, contractor management</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Phase 1 — primary action target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Assessment Tracking</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FRA, condition surveys, inspections, remedial actions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Phase 2</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Health &amp; Safety</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ISO 45001, incidents, near-misses, permits, training</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Phase 2</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BIM / Digital Twin</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3D spatial model, asset-to-location mapping, building fabric</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Phase 2 (metadata only)</w:t>
            </w:r>
          </w:p>
        </w:tc>
      </w:tr>
    </w:tbl>
    <w:p>
      <w:pPr>
        <w:spacing w:after="200"/>
      </w:pPr>
    </w:p>
    <w:p>
      <w:pPr>
        <w:pStyle w:val="Heading1"/>
      </w:pPr>
      <w:r>
        <w:t xml:space="preserve">2. Domain Model</w:t>
      </w:r>
    </w:p>
    <w:p>
      <w:pPr>
        <w:spacing w:after="120"/>
      </w:pPr>
      <w:r>
        <w:rPr>
          <w:rFonts w:ascii="Arial" w:cs="Arial" w:eastAsia="Arial" w:hAnsi="Arial"/>
          <w:color w:val="333333"/>
          <w:sz w:val="22"/>
          <w:szCs w:val="22"/>
        </w:rPr>
        <w:t xml:space="preserve">The domain model defines seven core entities implemented as PostgreSQL tables. These are the canonical representations that all source systems map into. The middleware reads and writes these tables directly — there is no ETL pipeline between the middleware and the database.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A3F" w:sz="1"/>
              <w:left w:val="single" w:color="0D7A3F" w:sz="8"/>
              <w:bottom w:val="single" w:color="0D7A3F" w:sz="1"/>
              <w:right w:val="single" w:color="0D7A3F" w:sz="1"/>
            </w:tcBorders>
            <w:shd w:fill="ECFDF3" w:val="clear"/>
            <w:tcMar>
              <w:top w:type="dxa" w:w="100"/>
              <w:left w:type="dxa" w:w="160"/>
              <w:bottom w:type="dxa" w:w="100"/>
              <w:right w:type="dxa" w:w="160"/>
            </w:tcMar>
          </w:tcPr>
          <w:p>
            <w:pPr>
              <w:spacing w:after="60"/>
            </w:pPr>
            <w:r>
              <w:rPr>
                <w:rFonts w:ascii="Arial" w:cs="Arial" w:eastAsia="Arial" w:hAnsi="Arial"/>
                <w:b/>
                <w:bCs/>
                <w:color w:val="0D7A3F"/>
                <w:sz w:val="18"/>
                <w:szCs w:val="18"/>
              </w:rPr>
              <w:t xml:space="preserve">IP NOTE</w:t>
            </w:r>
          </w:p>
          <w:p>
            <w:r>
              <w:rPr>
                <w:rFonts w:ascii="Arial" w:cs="Arial" w:eastAsia="Arial" w:hAnsi="Arial"/>
                <w:color w:val="333333"/>
                <w:sz w:val="20"/>
                <w:szCs w:val="20"/>
              </w:rPr>
              <w:t xml:space="preserve">The domain model is the most defensible intellectual property asset. A well-structured compliance domain model that captures the genuine cross-domain relationships in building management is hard to replicate without deep domain expertise. The obligation-to-asset mapping logic, cross-domain correlation rules, and compliance status derivation algorithm are the specific areas worth protecting.</w:t>
            </w:r>
          </w:p>
        </w:tc>
      </w:tr>
    </w:tbl>
    <w:p>
      <w:pPr>
        <w:spacing w:after="200"/>
      </w:pPr>
    </w:p>
    <w:p>
      <w:pPr>
        <w:pStyle w:val="Heading2"/>
      </w:pPr>
      <w:r>
        <w:t xml:space="preserve">2.1 dim_assets — Unified Asset Register</w:t>
      </w:r>
    </w:p>
    <w:p>
      <w:pPr>
        <w:spacing w:after="120"/>
      </w:pPr>
      <w:r>
        <w:rPr>
          <w:rFonts w:ascii="Arial" w:cs="Arial" w:eastAsia="Arial" w:hAnsi="Arial"/>
          <w:color w:val="333333"/>
          <w:sz w:val="22"/>
          <w:szCs w:val="22"/>
        </w:rPr>
        <w:t xml:space="preserve">Single source of truth for all managed assets. Assets from different source systems are resolved to a golden record via entity resolution in the middleware’s domain mapper. The Go application reads this table for rule evaluation and writes to it when processing new data from source system connectors.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asset_id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UUID (PK)</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Platform-generated unique identifier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asset_name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VARCHAR(255)</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Canonical name for the asset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asset_type_code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VARCHAR(50) FK</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Classification code from ref_asset_types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asset_category</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VARCHAR(50)</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High-level grouping: HVAC, Fire, Lift, Electrical, Fabric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location_id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UUID FK</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Link to dim_locations (physical location)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parent_asset_id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UUID FK</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Self-referencing hierarchy (AHU → fan, motor, filter)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organisation_id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UUID FK</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Owning organisation from dim_organisations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status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VARCHAR(30)</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Active, Decommissioned, Pending Installation, Under Review</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criticality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VARCHAR(20)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Critical, High, Medium, Low — drives SLA and response priorities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install_date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DATE</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Original installation date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expected_life_years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SMALLINT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Expected useful life in years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sfg20_asset_group</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VARCHAR(50)</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SFG20 asset group classification for PPM scheduling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metadata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JSONB</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Source-specific fields that don’t fit canonical schema</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source_system</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VARCHAR(50)</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Which system this record originated from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source_system_id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VARCHAR(100)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Original ID in the source system</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created_at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TIMESTAMPTZ</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Record creation timestamp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updated_at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TIMESTAMPTZ</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Last update timestamp</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version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INTEGER</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Optimistic locking for concurrent updates</w:t>
            </w:r>
          </w:p>
        </w:tc>
      </w:tr>
    </w:tbl>
    <w:p>
      <w:pPr>
        <w:spacing w:after="60"/>
      </w:pPr>
    </w:p>
    <w:p>
      <w:pPr>
        <w:spacing w:after="120"/>
      </w:pPr>
      <w:r>
        <w:rPr>
          <w:rFonts w:ascii="Arial" w:cs="Arial" w:eastAsia="Arial" w:hAnsi="Arial"/>
          <w:i/>
          <w:iCs/>
          <w:color w:val="666666"/>
          <w:sz w:val="20"/>
          <w:szCs w:val="20"/>
        </w:rPr>
        <w:t xml:space="preserve">Indexes: unique on (source_system, source_system_id) for deduplication; partial index on status = ‘Active’ for fast asset lookups; GIN index on metadata JSONB column.</w:t>
      </w:r>
    </w:p>
    <w:p>
      <w:pPr>
        <w:spacing w:after="200"/>
      </w:pPr>
    </w:p>
    <w:p>
      <w:pPr>
        <w:pStyle w:val="Heading2"/>
      </w:pPr>
      <w:r>
        <w:t xml:space="preserve">2.2 dim_locations — Spatial Hierarchy</w:t>
      </w:r>
    </w:p>
    <w:p>
      <w:pPr>
        <w:spacing w:after="120"/>
      </w:pPr>
      <w:r>
        <w:rPr>
          <w:rFonts w:ascii="Arial" w:cs="Arial" w:eastAsia="Arial" w:hAnsi="Arial"/>
          <w:color w:val="333333"/>
          <w:sz w:val="22"/>
          <w:szCs w:val="22"/>
        </w:rPr>
        <w:t xml:space="preserve">Physical hierarchy from portfolio to individual rooms. Every asset, event, and obligation is tied to a location. Phase 2 adds PostGIS for geospatial queries and BIM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location_id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UUID (PK)</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Platform-generated unique identifier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location_name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VARCHAR(255)</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Human-readable name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location_type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VARCHAR(30)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Portfolio, Site, Building, Floor, Zone, Room, Space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parent_location_id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UUID FK</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Self-referencing hierarchy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address_line_1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VARCHAR(255)</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Physical address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postcode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VARCHAR(10)</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UK postcode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latitude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DECIMAL(10,7)</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Geolocation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longitude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DECIMAL(10,7)</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Geolocation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gross_internal_area_m2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DECIMAL(10,2)</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Floor area in square metres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building_use_class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VARCHAR(50)</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Use classification (office, residential, retail)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bim_model_ref</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VARCHAR(255)</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Reference to BIM/digital twin model (Phase 2)</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metadata</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JSONB</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Source-specific fields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source_system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VARCHAR(50)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Originating system</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created_at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TIMESTAMPTZ</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Record creation timestamp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updated_at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TIMESTAMPTZ</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Last update timestamp</w:t>
            </w:r>
          </w:p>
        </w:tc>
      </w:tr>
    </w:tbl>
    <w:p>
      <w:pPr>
        <w:spacing w:after="200"/>
      </w:pPr>
    </w:p>
    <w:p>
      <w:pPr>
        <w:pStyle w:val="Heading2"/>
      </w:pPr>
      <w:r>
        <w:t xml:space="preserve">2.3 dim_organisations — Parties &amp; Responsibilities</w:t>
      </w:r>
    </w:p>
    <w:p>
      <w:pPr>
        <w:spacing w:after="120"/>
      </w:pPr>
      <w:r>
        <w:rPr>
          <w:rFonts w:ascii="Arial" w:cs="Arial" w:eastAsia="Arial" w:hAnsi="Arial"/>
          <w:color w:val="333333"/>
          <w:sz w:val="22"/>
          <w:szCs w:val="22"/>
        </w:rPr>
        <w:t xml:space="preserve">All parties in the compliance ecosystem: property owners, managing agents, maintenance contractors, assessors, regulators. The key relationship is responsibility — which organisation is accountable for which obligations at which locations.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organisation_id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UUID (PK)</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Platform-generated unique identifier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organisation_name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VARCHAR(255)</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Legal or trading name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organisation_type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VARCHAR(30)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Owner, Managing Agent, Contractor, Assessor, Regulator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parent_org_id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UUID FK</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For contractor group structures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accreditation_status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VARCHAR(30)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Current accreditation standing</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sla_tier</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VARCHAR(20)</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Service level tier (drives response time expectations)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contact_email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VARCHAR(255)</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Primary contact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metadata</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JSONB</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Source-specific fields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source_system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VARCHAR(50)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Originating system</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created_at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TIMESTAMPTZ</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Record creation timestamp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updated_at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TIMESTAMPTZ</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Last update timestamp</w:t>
            </w:r>
          </w:p>
        </w:tc>
      </w:tr>
    </w:tbl>
    <w:p>
      <w:pPr>
        <w:spacing w:after="200"/>
      </w:pPr>
    </w:p>
    <w:p>
      <w:pPr>
        <w:pStyle w:val="Heading2"/>
      </w:pPr>
      <w:r>
        <w:t xml:space="preserve">2.4 dim_obligations — Compliance Requirements</w:t>
      </w:r>
    </w:p>
    <w:p>
      <w:pPr>
        <w:spacing w:after="120"/>
      </w:pPr>
      <w:r>
        <w:rPr>
          <w:rFonts w:ascii="Arial" w:cs="Arial" w:eastAsia="Arial" w:hAnsi="Arial"/>
          <w:color w:val="333333"/>
          <w:sz w:val="22"/>
          <w:szCs w:val="22"/>
        </w:rPr>
        <w:t xml:space="preserve">The entity that makes this a compliance platform. An obligation is a specific compliance requirement for a given asset type at a given location type. Obligations derive from regulations (Building Safety Act, Regulatory Reform (Fire Safety) Order), industry standards (SFG20), contractual requirements, or internal policies.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
              <w:left w:val="single" w:color="2563EB" w:sz="8"/>
              <w:bottom w:val="single" w:color="2563EB" w:sz="1"/>
              <w:right w:val="single" w:color="2563EB" w:sz="1"/>
            </w:tcBorders>
            <w:shd w:fill="EFF4FF" w:val="clear"/>
            <w:tcMar>
              <w:top w:type="dxa" w:w="100"/>
              <w:left w:type="dxa" w:w="160"/>
              <w:bottom w:type="dxa" w:w="100"/>
              <w:right w:type="dxa" w:w="160"/>
            </w:tcMar>
          </w:tcPr>
          <w:p>
            <w:pPr>
              <w:spacing w:after="60"/>
            </w:pPr>
            <w:r>
              <w:rPr>
                <w:rFonts w:ascii="Arial" w:cs="Arial" w:eastAsia="Arial" w:hAnsi="Arial"/>
                <w:b/>
                <w:bCs/>
                <w:color w:val="2563EB"/>
                <w:sz w:val="18"/>
                <w:szCs w:val="18"/>
              </w:rPr>
              <w:t xml:space="preserve">DESIGN DECISION</w:t>
            </w:r>
          </w:p>
          <w:p>
            <w:r>
              <w:rPr>
                <w:rFonts w:ascii="Arial" w:cs="Arial" w:eastAsia="Arial" w:hAnsi="Arial"/>
                <w:color w:val="333333"/>
                <w:sz w:val="20"/>
                <w:szCs w:val="20"/>
              </w:rPr>
              <w:t xml:space="preserve">Making obligations first-class entities means the platform can answer the fundamental question: "For this asset at this location, what are we obligated to do, and are we doing it?" This is what separates the platform from a data warehouse that merely reports on what has happened.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obligation_id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UUID (PK)</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Platform-generated unique identifier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obligation_name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VARCHAR(500)</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Human-readable description of the requirement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obligation_type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VARCHAR(30)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Statutory, Contractual, Best Practice, Internal Policy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domain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VARCHAR(30)</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Telemetry, Maintenance, Assessment, H&amp;S, BIM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regulatory_ref</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VARCHAR(100)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Reference to regulation (e.g., BSA s.89, RRFSO Art.17)</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standard_ref</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VARCHAR(100)</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Reference to standard (e.g., SFG20 task code, ISO clause)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frequency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VARCHAR(30)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Required frequency: Daily, Weekly, Monthly, Quarterly, Annual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frequency_days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INTEGER</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Frequency as days (for SLA calculation)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asset_type_scope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VARCHAR(50) FK</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Which asset types this obligation applies to</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location_type_scope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VARCHAR(30)</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Which location types this applies at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responsible_org_type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VARCHAR(30)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Which organisation type is responsible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risk_weighting</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DECIMAL(5,2)</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Relative risk weight for scoring and prioritisation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effective_from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When this obligation became active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effective_to</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DATE</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Null if still active; populated when superseded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metadata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JSONB</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Additional context (guidance notes, evidence requirements)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created_at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TIMESTAMPTZ</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Record creation timestamp</w:t>
            </w:r>
          </w:p>
        </w:tc>
      </w:tr>
    </w:tbl>
    <w:p>
      <w:pPr>
        <w:spacing w:after="200"/>
      </w:pPr>
    </w:p>
    <w:p>
      <w:pPr>
        <w:pStyle w:val="Heading2"/>
      </w:pPr>
      <w:r>
        <w:t xml:space="preserve">2.5 fct_events — Observations &amp; Occurrences</w:t>
      </w:r>
    </w:p>
    <w:p>
      <w:pPr>
        <w:spacing w:after="120"/>
      </w:pPr>
      <w:r>
        <w:rPr>
          <w:rFonts w:ascii="Arial" w:cs="Arial" w:eastAsia="Arial" w:hAnsi="Arial"/>
          <w:color w:val="333333"/>
          <w:sz w:val="22"/>
          <w:szCs w:val="22"/>
        </w:rPr>
        <w:t xml:space="preserve">The unified event stream. Sensor readings, inspection findings, incident reports, and threshold alerts are all events with a common structure. This is the highest-volume table and the primary input to the rules engine. For telemetry data, this table is backed by a TimescaleDB hypertable with automatic time-based partitioning.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event_id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UUID (PK)</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Platform-generated unique identifier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event_type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VARCHAR(30)</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Reading, Alert, Finding, Incident, Near Miss, Observation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event_domain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VARCHAR(30)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Telemetry, Maintenance, Assessment, H&amp;S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asset_id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UUID FK</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Which asset this event relates to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location_id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UUID FK</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Where this event occurred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obligation_id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UUID FK</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Which obligation this relates to (nullable)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event_timestamp</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TIMESTAMPTZ</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When the event occurred (partition key for TimescaleDB)</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severity</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VARCHAR(20)</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Critical, High, Medium, Low, Informational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value_numeric</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DECIMAL(18,6)</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For sensor readings: the measured value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value_text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For findings/incidents: descriptive text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threshold_upper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DECIMAL(18,6)</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Upper limit breached (if alert)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threshold_lower</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DECIMAL(18,6)</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Lower limit breached (if alert)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unit_of_measure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VARCHAR(20)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Degrees C, PSI, %, PPM, etc.</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reported_by</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VARCHAR(100)</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Person or system that generated this event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metadata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JSONB</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Source-specific fields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source_system</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VARCHAR(50)</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Originating system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created_at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TIMESTAMPTZ</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Record ingestion timestamp</w:t>
            </w:r>
          </w:p>
        </w:tc>
      </w:tr>
    </w:tbl>
    <w:p>
      <w:pPr>
        <w:spacing w:after="60"/>
      </w:pPr>
    </w:p>
    <w:p>
      <w:pPr>
        <w:spacing w:after="120"/>
      </w:pPr>
      <w:r>
        <w:rPr>
          <w:rFonts w:ascii="Arial" w:cs="Arial" w:eastAsia="Arial" w:hAnsi="Arial"/>
          <w:i/>
          <w:iCs/>
          <w:color w:val="666666"/>
          <w:sz w:val="20"/>
          <w:szCs w:val="20"/>
        </w:rPr>
        <w:t xml:space="preserve">TimescaleDB: events with event_domain = ‘Telemetry’ are stored in a hypertable partitioned by event_timestamp. Compression enabled for data older than 30 days. Continuous aggregates provide hourly and daily rollups for dashboard queries.</w:t>
      </w:r>
    </w:p>
    <w:p>
      <w:pPr>
        <w:spacing w:after="200"/>
      </w:pPr>
    </w:p>
    <w:p>
      <w:pPr>
        <w:pStyle w:val="Heading2"/>
      </w:pPr>
      <w:r>
        <w:t xml:space="preserve">2.6 fct_work_items — Actions &amp; Tasks</w:t>
      </w:r>
    </w:p>
    <w:p>
      <w:pPr>
        <w:spacing w:after="120"/>
      </w:pPr>
      <w:r>
        <w:rPr>
          <w:rFonts w:ascii="Arial" w:cs="Arial" w:eastAsia="Arial" w:hAnsi="Arial"/>
          <w:color w:val="333333"/>
          <w:sz w:val="22"/>
          <w:szCs w:val="22"/>
        </w:rPr>
        <w:t xml:space="preserve">Work items are actions taken in response to obligations, events, or direct instructions. This includes PPM work orders, reactive work orders triggered by alerts, remedial actions from assessments, and corrective actions from incident investigations.</w:t>
      </w:r>
    </w:p>
    <w:p>
      <w:pPr>
        <w:spacing w:after="120"/>
      </w:pPr>
      <w:r>
        <w:rPr>
          <w:rFonts w:ascii="Arial" w:cs="Arial" w:eastAsia="Arial" w:hAnsi="Arial"/>
          <w:color w:val="333333"/>
          <w:sz w:val="22"/>
          <w:szCs w:val="22"/>
        </w:rPr>
        <w:t xml:space="preserve">Critically, fct_work_items isn’t just a passive record. The middleware creates and updates work items in source systems via the write-back capability, and syncs status changes bi-directionally. The write_back_status column tracks the synchronisation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work_item_id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UUID (PK)</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Platform-generated unique identifier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work_item_type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VARCHAR(30)</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PPM, Reactive, Remedial, Corrective, Inspection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work_item_domain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VARCHAR(30)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Maintenance, Assessment, H&amp;S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asset_id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UUID FK</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Target asset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location_id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UUID FK</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Target location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obligation_id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UUID FK</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Which obligation this fulfils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triggered_by_event_id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UUID FK</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The event that caused this (if reactive)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assigned_org_id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UUID FK</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Contractor or team assigned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priority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VARCHAR(20)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Emergency, Urgent, Routine, Planned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status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VARCHAR(20)</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Open, In Progress, On Hold, Completed, Cancelled, Overdue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sla_target_date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TIMESTAMPTZ</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When this must be completed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created_at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TIMESTAMPTZ</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When created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completed_at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TIMESTAMPTZ</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When completed (null if outstanding)</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completion_evidence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VARCHAR(500)</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Reference to evidence (photo, cert, sign-off)</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source_system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VARCHAR(50)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Which system holds the master record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source_system_id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VARCHAR(100)</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Work order ID in the source system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write_back_status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VARCHAR(20)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Pending, Synced, Failed, Conflict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write_back_at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TIMESTAMPTZ</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Last sync attempt timestamp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metadata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JSONB</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Source-specific fields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updated_at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TIMESTAMPTZ</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Last update timestamp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version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INTEGER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Optimistic locking</w:t>
            </w:r>
          </w:p>
        </w:tc>
      </w:tr>
    </w:tbl>
    <w:p>
      <w:pPr>
        <w:spacing w:after="200"/>
      </w:pPr>
    </w:p>
    <w:p>
      <w:pPr>
        <w:pStyle w:val="Heading2"/>
      </w:pPr>
      <w:r>
        <w:t xml:space="preserve">2.7 fct_compliance_status — Current Compliance State</w:t>
      </w:r>
    </w:p>
    <w:p>
      <w:pPr>
        <w:spacing w:after="120"/>
      </w:pPr>
      <w:r>
        <w:rPr>
          <w:rFonts w:ascii="Arial" w:cs="Arial" w:eastAsia="Arial" w:hAnsi="Arial"/>
          <w:color w:val="333333"/>
          <w:sz w:val="22"/>
          <w:szCs w:val="22"/>
        </w:rPr>
        <w:t xml:space="preserve">Derived table representing current compliance status for each obligation at each asset/location. This powers the compliance dashboard and risk heat maps. Recalculated by a PostgreSQL function triggered by changes to fct_events and fct_work_items, or refreshed on schedule via pg_cron.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compliance_status_id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UUID (PK)</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Platform-generated unique identifier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asset_id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UUID FK</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Asset being assessed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location_id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UUID FK</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Location being assessed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obligation_id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UUID FK</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The obligation being tracked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status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VARCHAR(20)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Compliant, Non-Compliant, Overdue, At Risk, Unknown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last_event_id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UUID FK</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Most recent relevant event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last_work_item_id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UUID FK</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Most recent relevant work item</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last_compliant_date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TIMESTAMPTZ</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When compliance was last confirmed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next_due_date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TIMESTAMPTZ</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When next compliance action is due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days_until_due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INTEGER</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Calculated: next_due_date - now()</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risk_score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DECIMAL(8,3)</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Composite: obligation.risk_weighting × status_factor × criticality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evidence_ref</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VARCHAR(500)</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Link to evidence pack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calculated_at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TIMESTAMPTZ</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When this status was last recalculated</w:t>
            </w:r>
          </w:p>
        </w:tc>
      </w:tr>
    </w:tbl>
    <w:p>
      <w:pPr>
        <w:spacing w:after="60"/>
      </w:pPr>
    </w:p>
    <w:p>
      <w:pPr>
        <w:spacing w:after="120"/>
      </w:pPr>
      <w:r>
        <w:rPr>
          <w:rFonts w:ascii="Arial" w:cs="Arial" w:eastAsia="Arial" w:hAnsi="Arial"/>
          <w:i/>
          <w:iCs/>
          <w:color w:val="666666"/>
          <w:sz w:val="20"/>
          <w:szCs w:val="20"/>
        </w:rPr>
        <w:t xml:space="preserve">A NOTIFY trigger on this table signals the middleware when compliance status changes, enabling real-time dashboard updates via WebSocket and triggering escalation rules for newly non-compliant assets.</w:t>
      </w:r>
    </w:p>
    <w:p>
      <w:pPr>
        <w:spacing w:after="200"/>
      </w:pPr>
    </w:p>
    <w:p>
      <w:r>
        <w:br w:type="page"/>
      </w:r>
    </w:p>
    <w:p>
      <w:pPr>
        <w:pStyle w:val="Heading1"/>
      </w:pPr>
      <w:r>
        <w:t xml:space="preserve">3. Cross-Domain Relationships</w:t>
      </w:r>
    </w:p>
    <w:p>
      <w:pPr>
        <w:spacing w:after="120"/>
      </w:pPr>
      <w:r>
        <w:rPr>
          <w:rFonts w:ascii="Arial" w:cs="Arial" w:eastAsia="Arial" w:hAnsi="Arial"/>
          <w:color w:val="333333"/>
          <w:sz w:val="22"/>
          <w:szCs w:val="22"/>
        </w:rPr>
        <w:t xml:space="preserve">The domain model’s value is in the relationships between entities across domains. These foreign key relationships enable queries that no single source system can answer.</w:t>
      </w:r>
    </w:p>
    <w:p>
      <w:pPr>
        <w:pStyle w:val="Heading2"/>
      </w:pPr>
      <w:r>
        <w:t xml:space="preserve">3.1 Entity Relationship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800"/>
        <w:gridCol w:w="35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From</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Relationship</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To</w:t>
            </w:r>
          </w:p>
        </w:tc>
        <w:tc>
          <w:tcPr>
            <w:tcW w:type="dxa" w:w="3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Enables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dim_assets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is located 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dim_locations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Spatial compliance queries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dim_assets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has parent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dim_assets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Asset hierarchy roll-ups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dim_assets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owned by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dim_organisations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Responsibility tracking</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dim_obligations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applies to</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dim_assets (type)</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What must be done per asset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fct_events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observed 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dim_assets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Event-to-asset correlation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fct_events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relates to</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dim_obligations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Compliance event tracking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fct_work_items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targets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dim_assets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Maintenance-to-asset linking</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fct_work_items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fulfils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dim_obligations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Obligation fulfilment tracking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fct_work_items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triggered by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fct_events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Event-to-action traceability</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fct_work_items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assigned to</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dim_organisations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Contractor accountability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fct_compliance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obligation + asset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Current compliance state</w:t>
            </w:r>
          </w:p>
        </w:tc>
      </w:tr>
    </w:tbl>
    <w:p>
      <w:pPr>
        <w:spacing w:after="200"/>
      </w:pPr>
    </w:p>
    <w:p>
      <w:pPr>
        <w:pStyle w:val="Heading2"/>
      </w:pPr>
      <w:r>
        <w:t xml:space="preserve">3.2 POC Cross-Domain Scenario</w:t>
      </w:r>
    </w:p>
    <w:p>
      <w:pPr>
        <w:spacing w:after="120"/>
      </w:pPr>
      <w:r>
        <w:rPr>
          <w:rFonts w:ascii="Arial" w:cs="Arial" w:eastAsia="Arial" w:hAnsi="Arial"/>
          <w:color w:val="333333"/>
          <w:sz w:val="22"/>
          <w:szCs w:val="22"/>
        </w:rPr>
        <w:t xml:space="preserve">End-to-end flow for Phase 1 using Equipment Telemetry and CAFM/Maintenance:</w:t>
      </w:r>
    </w:p>
    <w:p>
      <w:pPr>
        <w:spacing w:after="60"/>
      </w:pPr>
    </w:p>
    <w:p>
      <w:pPr>
        <w:pStyle w:val="ListParagraph"/>
        <w:numPr>
          <w:ilvl w:val="0"/>
          <w:numId w:val="3"/>
        </w:numPr>
        <w:spacing w:after="80"/>
      </w:pPr>
      <w:r>
        <w:rPr>
          <w:rFonts w:ascii="Arial" w:cs="Arial" w:eastAsia="Arial" w:hAnsi="Arial"/>
          <w:b/>
          <w:bCs/>
          <w:sz w:val="22"/>
          <w:szCs w:val="22"/>
        </w:rPr>
        <w:t xml:space="preserve">Sensor event: </w:t>
      </w:r>
      <w:r>
        <w:rPr>
          <w:rFonts w:ascii="Arial" w:cs="Arial" w:eastAsia="Arial" w:hAnsi="Arial"/>
          <w:sz w:val="22"/>
          <w:szCs w:val="22"/>
        </w:rPr>
        <w:t xml:space="preserve">A temperature sensor on an AHU publishes 42°C to the MQTT broker. The Go middleware’s telemetry connector receives this, maps it to the canonical schema, and writes a fct_events record to Postgres (event_type = ‘Alert’, severity = ‘High’). The event is also published to NATS subject ‘events.telemetry.alert’.</w:t>
      </w:r>
    </w:p>
    <w:p>
      <w:pPr>
        <w:pStyle w:val="ListParagraph"/>
        <w:numPr>
          <w:ilvl w:val="0"/>
          <w:numId w:val="3"/>
        </w:numPr>
        <w:spacing w:after="80"/>
      </w:pPr>
      <w:r>
        <w:rPr>
          <w:rFonts w:ascii="Arial" w:cs="Arial" w:eastAsia="Arial" w:hAnsi="Arial"/>
          <w:b/>
          <w:bCs/>
          <w:sz w:val="22"/>
          <w:szCs w:val="22"/>
        </w:rPr>
        <w:t xml:space="preserve">Rule evaluation: </w:t>
      </w:r>
      <w:r>
        <w:rPr>
          <w:rFonts w:ascii="Arial" w:cs="Arial" w:eastAsia="Arial" w:hAnsi="Arial"/>
          <w:sz w:val="22"/>
          <w:szCs w:val="22"/>
        </w:rPr>
        <w:t xml:space="preserve">The rules engine subscribes to ‘events.telemetry.alert’. It queries Postgres for the asset’s criticality and current compliance status. Rule: if asset.criticality = Critical AND event.severity &gt;= High AND asset.sfg20_asset_group = HVAC, then dispatch action ‘create_reactive_workorder’.</w:t>
      </w:r>
    </w:p>
    <w:p>
      <w:pPr>
        <w:pStyle w:val="ListParagraph"/>
        <w:numPr>
          <w:ilvl w:val="0"/>
          <w:numId w:val="3"/>
        </w:numPr>
        <w:spacing w:after="80"/>
      </w:pPr>
      <w:r>
        <w:rPr>
          <w:rFonts w:ascii="Arial" w:cs="Arial" w:eastAsia="Arial" w:hAnsi="Arial"/>
          <w:b/>
          <w:bCs/>
          <w:sz w:val="22"/>
          <w:szCs w:val="22"/>
        </w:rPr>
        <w:t xml:space="preserve">Write-back: </w:t>
      </w:r>
      <w:r>
        <w:rPr>
          <w:rFonts w:ascii="Arial" w:cs="Arial" w:eastAsia="Arial" w:hAnsi="Arial"/>
          <w:sz w:val="22"/>
          <w:szCs w:val="22"/>
        </w:rPr>
        <w:t xml:space="preserve">The action is published to NATS subject ‘actions.cafm.create_workorder’. The CAFM connector picks it up, creates a work order via the CAFM system’s REST API, and writes the result back to fct_work_items with triggered_by_event_id linking to the original alert. Write-back is idempotent (keyed on event_id + action_type).</w:t>
      </w:r>
    </w:p>
    <w:p>
      <w:pPr>
        <w:pStyle w:val="ListParagraph"/>
        <w:numPr>
          <w:ilvl w:val="0"/>
          <w:numId w:val="3"/>
        </w:numPr>
        <w:spacing w:after="80"/>
      </w:pPr>
      <w:r>
        <w:rPr>
          <w:rFonts w:ascii="Arial" w:cs="Arial" w:eastAsia="Arial" w:hAnsi="Arial"/>
          <w:b/>
          <w:bCs/>
          <w:sz w:val="22"/>
          <w:szCs w:val="22"/>
        </w:rPr>
        <w:t xml:space="preserve">Compliance tracking: </w:t>
      </w:r>
      <w:r>
        <w:rPr>
          <w:rFonts w:ascii="Arial" w:cs="Arial" w:eastAsia="Arial" w:hAnsi="Arial"/>
          <w:sz w:val="22"/>
          <w:szCs w:val="22"/>
        </w:rPr>
        <w:t xml:space="preserve">fct_compliance_status for this asset’s temperature monitoring obligation is recalculated: status = ‘Non-Compliant’, risk_score reflects the severity. The Postgres NOTIFY fires, pushing the update to the dashboard via WebSocket.</w:t>
      </w:r>
    </w:p>
    <w:p>
      <w:pPr>
        <w:pStyle w:val="ListParagraph"/>
        <w:numPr>
          <w:ilvl w:val="0"/>
          <w:numId w:val="3"/>
        </w:numPr>
        <w:spacing w:after="80"/>
      </w:pPr>
      <w:r>
        <w:rPr>
          <w:rFonts w:ascii="Arial" w:cs="Arial" w:eastAsia="Arial" w:hAnsi="Arial"/>
          <w:b/>
          <w:bCs/>
          <w:sz w:val="22"/>
          <w:szCs w:val="22"/>
        </w:rPr>
        <w:t xml:space="preserve">Resolution: </w:t>
      </w:r>
      <w:r>
        <w:rPr>
          <w:rFonts w:ascii="Arial" w:cs="Arial" w:eastAsia="Arial" w:hAnsi="Arial"/>
          <w:sz w:val="22"/>
          <w:szCs w:val="22"/>
        </w:rPr>
        <w:t xml:space="preserve">The contractor completes the repair and updates the work order in CAFM. The CAFM connector detects the status change (webhook or polling), syncs it to fct_work_items.status = ‘Completed’. The sensor re-reads within range. fct_compliance_status recalculates to ‘Compliant’.</w:t>
      </w:r>
    </w:p>
    <w:p>
      <w:pPr>
        <w:pStyle w:val="ListParagraph"/>
        <w:numPr>
          <w:ilvl w:val="0"/>
          <w:numId w:val="3"/>
        </w:numPr>
        <w:spacing w:after="80"/>
      </w:pPr>
      <w:r>
        <w:rPr>
          <w:rFonts w:ascii="Arial" w:cs="Arial" w:eastAsia="Arial" w:hAnsi="Arial"/>
          <w:b/>
          <w:bCs/>
          <w:sz w:val="22"/>
          <w:szCs w:val="22"/>
        </w:rPr>
        <w:t xml:space="preserve">Audit trail: </w:t>
      </w:r>
      <w:r>
        <w:rPr>
          <w:rFonts w:ascii="Arial" w:cs="Arial" w:eastAsia="Arial" w:hAnsi="Arial"/>
          <w:sz w:val="22"/>
          <w:szCs w:val="22"/>
        </w:rPr>
        <w:t xml:space="preserve">Every step is recorded: sensor reading → NATS event → rule evaluation → action dispatch → API call → work order creation → completion → compliance state change. All in Postgres with timestamps, source references, and tamper-evident hashing.</w:t>
      </w:r>
    </w:p>
    <w:p>
      <w:pPr>
        <w:spacing w:after="200"/>
      </w:pPr>
    </w:p>
    <w:p>
      <w:pPr>
        <w:pStyle w:val="Heading1"/>
      </w:pPr>
      <w:r>
        <w:t xml:space="preserve">4. Analytics Layer</w:t>
      </w:r>
    </w:p>
    <w:p>
      <w:pPr>
        <w:spacing w:after="120"/>
      </w:pPr>
      <w:r>
        <w:rPr>
          <w:rFonts w:ascii="Arial" w:cs="Arial" w:eastAsia="Arial" w:hAnsi="Arial"/>
          <w:color w:val="333333"/>
          <w:sz w:val="22"/>
          <w:szCs w:val="22"/>
        </w:rPr>
        <w:t xml:space="preserve">Materialised views in PostgreSQL, refreshed on schedule or triggered by compliance state changes. No separate analytical database required at POC or early production scale.</w:t>
      </w:r>
    </w:p>
    <w:p>
      <w:pPr>
        <w:pStyle w:val="Heading2"/>
      </w:pPr>
      <w:r>
        <w:t xml:space="preserve">4.1 Materialised 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View</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Refresh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mv_compliance_scorecard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Compliance score per location/portfolio with drill-through</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Every 15 minutes (pg_cron)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mv_risk_matrix</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Likelihood × impact heat map by domain and geography</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Every 15 minutes (pg_cron)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mv_contractor_performance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SLA adherence, completion rates, response times by org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Hourly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mv_overdue_aging</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Aging analysis of overdue work items and missed obligations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Every 15 minutes (pg_cron)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mv_event_trends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Time-series analysis of events by type, severity, domain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Continuous aggregate (TimescaleDB)</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mv_portfolio_overview</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Executive summary across all sites with key KPIs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Daily</w:t>
            </w:r>
          </w:p>
        </w:tc>
      </w:tr>
    </w:tbl>
    <w:p>
      <w:pPr>
        <w:spacing w:after="80"/>
      </w:pPr>
    </w:p>
    <w:p>
      <w:pPr>
        <w:pStyle w:val="Heading2"/>
      </w:pPr>
      <w:r>
        <w:t xml:space="preserve">4.2 Scaling Path</w:t>
      </w:r>
    </w:p>
    <w:p>
      <w:pPr>
        <w:spacing w:after="120"/>
      </w:pPr>
      <w:r>
        <w:rPr>
          <w:rFonts w:ascii="Arial" w:cs="Arial" w:eastAsia="Arial" w:hAnsi="Arial"/>
          <w:color w:val="333333"/>
          <w:sz w:val="22"/>
          <w:szCs w:val="22"/>
        </w:rPr>
        <w:t xml:space="preserve">PostgreSQL handles both operational and analytical workloads comfortably at the data volumes typical of building compliance. If the platform scales to 50+ sites with heavy concurrent dashboard usage and the analytical queries begin to impact operational latency, the path is: first, add a read replica for dashboard queries; second, if that’s not enough, CDC (change data capture) from Postgres to a dedicated analytical store (Snowflake, BigQuery, or ClickHouse). But this is a decision for the future, not the POC.</w:t>
      </w:r>
    </w:p>
    <w:p>
      <w:pPr>
        <w:spacing w:after="200"/>
      </w:pPr>
    </w:p>
    <w:p>
      <w:pPr>
        <w:pStyle w:val="Heading1"/>
      </w:pPr>
      <w:r>
        <w:t xml:space="preserve">5. Reference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Table</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Key Values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ref_asset_types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Standardised asset taxonomy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HVAC, Fire, Lift, Electrical, Plumbing, Fabric, Access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ref_obligation_standards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Regulatory and standards library</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SFG20 codes, ISO 45001 clauses, BSA sections, RRFSO articles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ref_severity_levels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Consistent severity scale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Critical, High, Medium, Low, Informational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ref_compliance_statuses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Allowed compliance states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Compliant, Non-Compliant, Overdue, At Risk, Unknown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ref_work_item_priorities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Priority and response times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Emergency (2hr), Urgent (24hr), Routine (5d), Planned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ref_event_types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Event classification per domain</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Reading, Alert, Finding, Incident, Near Miss, Observation</w:t>
            </w:r>
          </w:p>
        </w:tc>
      </w:tr>
    </w:tbl>
    <w:p>
      <w:pPr>
        <w:spacing w:after="200"/>
      </w:pPr>
    </w:p>
    <w:p>
      <w:r>
        <w:br w:type="page"/>
      </w:r>
    </w:p>
    <w:p>
      <w:pPr>
        <w:pStyle w:val="Heading1"/>
      </w:pPr>
      <w:r>
        <w:t xml:space="preserve">6. Middleware Architecture</w:t>
      </w:r>
    </w:p>
    <w:p>
      <w:pPr>
        <w:spacing w:after="120"/>
      </w:pPr>
      <w:r>
        <w:rPr>
          <w:rFonts w:ascii="Arial" w:cs="Arial" w:eastAsia="Arial" w:hAnsi="Arial"/>
          <w:color w:val="333333"/>
          <w:sz w:val="22"/>
          <w:szCs w:val="22"/>
        </w:rPr>
        <w:t xml:space="preserve">The Go middleware is the core product. This section describes its internal architecture at a level of detail sufficient for a developer to begin implementation.</w:t>
      </w:r>
    </w:p>
    <w:p>
      <w:pPr>
        <w:pStyle w:val="Heading2"/>
      </w:pPr>
      <w:r>
        <w:t xml:space="preserve">6.1 Go Application Structure</w:t>
      </w:r>
    </w:p>
    <w:p>
      <w:pPr>
        <w:spacing w:after="120"/>
      </w:pPr>
      <w:r>
        <w:rPr>
          <w:rFonts w:ascii="Arial" w:cs="Arial" w:eastAsia="Arial" w:hAnsi="Arial"/>
          <w:color w:val="333333"/>
          <w:sz w:val="22"/>
          <w:szCs w:val="22"/>
        </w:rPr>
        <w:t xml:space="preserve">The application follows a clean architecture pattern with clear boundaries between the connector layer, the domain logic, and the data access layer.</w:t>
      </w:r>
    </w:p>
    <w:p>
      <w:pPr>
        <w:spacing w:after="40"/>
      </w:pPr>
    </w:p>
    <w:p>
      <w:pPr>
        <w:spacing w:after="120"/>
      </w:pPr>
      <w:r>
        <w:rPr>
          <w:rFonts w:ascii="IBM Plex Mono" w:cs="IBM Plex Mono" w:eastAsia="IBM Plex Mono" w:hAnsi="IBM Plex Mono"/>
          <w:color w:val="333333"/>
          <w:sz w:val="19"/>
          <w:szCs w:val="19"/>
        </w:rPr>
        <w:t xml:space="preserve">cmd/orchestrator/         — application entrypoint, configuration loading, dependency injection</w:t>
      </w:r>
    </w:p>
    <w:p>
      <w:pPr>
        <w:spacing w:after="120"/>
      </w:pPr>
      <w:r>
        <w:rPr>
          <w:rFonts w:ascii="IBM Plex Mono" w:cs="IBM Plex Mono" w:eastAsia="IBM Plex Mono" w:hAnsi="IBM Plex Mono"/>
          <w:color w:val="333333"/>
          <w:sz w:val="19"/>
          <w:szCs w:val="19"/>
        </w:rPr>
        <w:t xml:space="preserve">internal/connector/       — connector interface definition and implementations per source type</w:t>
      </w:r>
    </w:p>
    <w:p>
      <w:pPr>
        <w:spacing w:after="120"/>
      </w:pPr>
      <w:r>
        <w:rPr>
          <w:rFonts w:ascii="IBM Plex Mono" w:cs="IBM Plex Mono" w:eastAsia="IBM Plex Mono" w:hAnsi="IBM Plex Mono"/>
          <w:color w:val="333333"/>
          <w:sz w:val="19"/>
          <w:szCs w:val="19"/>
        </w:rPr>
        <w:t xml:space="preserve">internal/connector/mqtt/   — MQTT connector for BMS/telemetry sources</w:t>
      </w:r>
    </w:p>
    <w:p>
      <w:pPr>
        <w:spacing w:after="120"/>
      </w:pPr>
      <w:r>
        <w:rPr>
          <w:rFonts w:ascii="IBM Plex Mono" w:cs="IBM Plex Mono" w:eastAsia="IBM Plex Mono" w:hAnsi="IBM Plex Mono"/>
          <w:color w:val="333333"/>
          <w:sz w:val="19"/>
          <w:szCs w:val="19"/>
        </w:rPr>
        <w:t xml:space="preserve">internal/connector/rest/   — REST connector for CAFM, H&amp;S, assessment sources</w:t>
      </w:r>
    </w:p>
    <w:p>
      <w:pPr>
        <w:spacing w:after="120"/>
      </w:pPr>
      <w:r>
        <w:rPr>
          <w:rFonts w:ascii="IBM Plex Mono" w:cs="IBM Plex Mono" w:eastAsia="IBM Plex Mono" w:hAnsi="IBM Plex Mono"/>
          <w:color w:val="333333"/>
          <w:sz w:val="19"/>
          <w:szCs w:val="19"/>
        </w:rPr>
        <w:t xml:space="preserve">internal/mapper/          — domain mapping engine (YAML config → canonical schema)</w:t>
      </w:r>
    </w:p>
    <w:p>
      <w:pPr>
        <w:spacing w:after="120"/>
      </w:pPr>
      <w:r>
        <w:rPr>
          <w:rFonts w:ascii="IBM Plex Mono" w:cs="IBM Plex Mono" w:eastAsia="IBM Plex Mono" w:hAnsi="IBM Plex Mono"/>
          <w:color w:val="333333"/>
          <w:sz w:val="19"/>
          <w:szCs w:val="19"/>
        </w:rPr>
        <w:t xml:space="preserve">internal/rules/           — rules engine: evaluation, action dispatch, escalation</w:t>
      </w:r>
    </w:p>
    <w:p>
      <w:pPr>
        <w:spacing w:after="120"/>
      </w:pPr>
      <w:r>
        <w:rPr>
          <w:rFonts w:ascii="IBM Plex Mono" w:cs="IBM Plex Mono" w:eastAsia="IBM Plex Mono" w:hAnsi="IBM Plex Mono"/>
          <w:color w:val="333333"/>
          <w:sz w:val="19"/>
          <w:szCs w:val="19"/>
        </w:rPr>
        <w:t xml:space="preserve">internal/store/           — Postgres data access layer (sqlc or pgx)</w:t>
      </w:r>
    </w:p>
    <w:p>
      <w:pPr>
        <w:spacing w:after="120"/>
      </w:pPr>
      <w:r>
        <w:rPr>
          <w:rFonts w:ascii="IBM Plex Mono" w:cs="IBM Plex Mono" w:eastAsia="IBM Plex Mono" w:hAnsi="IBM Plex Mono"/>
          <w:color w:val="333333"/>
          <w:sz w:val="19"/>
          <w:szCs w:val="19"/>
        </w:rPr>
        <w:t xml:space="preserve">internal/broker/          — NATS client: publish, subscribe, JetStream consumers</w:t>
      </w:r>
    </w:p>
    <w:p>
      <w:pPr>
        <w:spacing w:after="120"/>
      </w:pPr>
      <w:r>
        <w:rPr>
          <w:rFonts w:ascii="IBM Plex Mono" w:cs="IBM Plex Mono" w:eastAsia="IBM Plex Mono" w:hAnsi="IBM Plex Mono"/>
          <w:color w:val="333333"/>
          <w:sz w:val="19"/>
          <w:szCs w:val="19"/>
        </w:rPr>
        <w:t xml:space="preserve">internal/audit/           — append-only audit logging with hash chain</w:t>
      </w:r>
    </w:p>
    <w:p>
      <w:pPr>
        <w:spacing w:after="120"/>
      </w:pPr>
      <w:r>
        <w:rPr>
          <w:rFonts w:ascii="IBM Plex Mono" w:cs="IBM Plex Mono" w:eastAsia="IBM Plex Mono" w:hAnsi="IBM Plex Mono"/>
          <w:color w:val="333333"/>
          <w:sz w:val="19"/>
          <w:szCs w:val="19"/>
        </w:rPr>
        <w:t xml:space="preserve">internal/api/             — REST/GraphQL API for consumption layer</w:t>
      </w:r>
    </w:p>
    <w:p>
      <w:pPr>
        <w:spacing w:after="120"/>
      </w:pPr>
      <w:r>
        <w:rPr>
          <w:rFonts w:ascii="IBM Plex Mono" w:cs="IBM Plex Mono" w:eastAsia="IBM Plex Mono" w:hAnsi="IBM Plex Mono"/>
          <w:color w:val="333333"/>
          <w:sz w:val="19"/>
          <w:szCs w:val="19"/>
        </w:rPr>
        <w:t xml:space="preserve">config/                   — YAML configuration files (connectors, mappings, rules)</w:t>
      </w:r>
    </w:p>
    <w:p>
      <w:pPr>
        <w:spacing w:after="80"/>
      </w:pPr>
    </w:p>
    <w:p>
      <w:pPr>
        <w:pStyle w:val="Heading2"/>
      </w:pPr>
      <w:r>
        <w:t xml:space="preserve">6.2 Connector Interface</w:t>
      </w:r>
    </w:p>
    <w:p>
      <w:pPr>
        <w:spacing w:after="120"/>
      </w:pPr>
      <w:r>
        <w:rPr>
          <w:rFonts w:ascii="Arial" w:cs="Arial" w:eastAsia="Arial" w:hAnsi="Arial"/>
          <w:color w:val="333333"/>
          <w:sz w:val="22"/>
          <w:szCs w:val="22"/>
        </w:rPr>
        <w:t xml:space="preserve">Each source system adapter implements a Go interface. This is the plugin boundary — adding a new source system means implementing these methods, not changing the core.</w:t>
      </w:r>
    </w:p>
    <w:p>
      <w:pPr>
        <w:spacing w:after="40"/>
      </w:pPr>
    </w:p>
    <w:p>
      <w:pPr>
        <w:spacing w:after="120"/>
      </w:pPr>
      <w:r>
        <w:rPr>
          <w:rFonts w:ascii="IBM Plex Mono" w:cs="IBM Plex Mono" w:eastAsia="IBM Plex Mono" w:hAnsi="IBM Plex Mono"/>
          <w:color w:val="333333"/>
          <w:sz w:val="19"/>
          <w:szCs w:val="19"/>
        </w:rPr>
        <w:t xml:space="preserve">type Connector interface {</w:t>
      </w:r>
    </w:p>
    <w:p>
      <w:pPr>
        <w:spacing w:after="120"/>
      </w:pPr>
      <w:r>
        <w:rPr>
          <w:rFonts w:ascii="IBM Plex Mono" w:cs="IBM Plex Mono" w:eastAsia="IBM Plex Mono" w:hAnsi="IBM Plex Mono"/>
          <w:color w:val="333333"/>
          <w:sz w:val="19"/>
          <w:szCs w:val="19"/>
        </w:rPr>
        <w:t xml:space="preserve">    Connect(ctx context.Context, config ConnectorConfig) error</w:t>
      </w:r>
    </w:p>
    <w:p>
      <w:pPr>
        <w:spacing w:after="120"/>
      </w:pPr>
      <w:r>
        <w:rPr>
          <w:rFonts w:ascii="IBM Plex Mono" w:cs="IBM Plex Mono" w:eastAsia="IBM Plex Mono" w:hAnsi="IBM Plex Mono"/>
          <w:color w:val="333333"/>
          <w:sz w:val="19"/>
          <w:szCs w:val="19"/>
        </w:rPr>
        <w:t xml:space="preserve">    Read(ctx context.Context, query ReadQuery) ([]Record, error)</w:t>
      </w:r>
    </w:p>
    <w:p>
      <w:pPr>
        <w:spacing w:after="120"/>
      </w:pPr>
      <w:r>
        <w:rPr>
          <w:rFonts w:ascii="IBM Plex Mono" w:cs="IBM Plex Mono" w:eastAsia="IBM Plex Mono" w:hAnsi="IBM Plex Mono"/>
          <w:color w:val="333333"/>
          <w:sz w:val="19"/>
          <w:szCs w:val="19"/>
        </w:rPr>
        <w:t xml:space="preserve">    Write(ctx context.Context, action WriteAction) (WriteResult, error)</w:t>
      </w:r>
    </w:p>
    <w:p>
      <w:pPr>
        <w:spacing w:after="120"/>
      </w:pPr>
      <w:r>
        <w:rPr>
          <w:rFonts w:ascii="IBM Plex Mono" w:cs="IBM Plex Mono" w:eastAsia="IBM Plex Mono" w:hAnsi="IBM Plex Mono"/>
          <w:color w:val="333333"/>
          <w:sz w:val="19"/>
          <w:szCs w:val="19"/>
        </w:rPr>
        <w:t xml:space="preserve">    Subscribe(ctx context.Context, handler EventHandler) error</w:t>
      </w:r>
    </w:p>
    <w:p>
      <w:pPr>
        <w:spacing w:after="120"/>
      </w:pPr>
      <w:r>
        <w:rPr>
          <w:rFonts w:ascii="IBM Plex Mono" w:cs="IBM Plex Mono" w:eastAsia="IBM Plex Mono" w:hAnsi="IBM Plex Mono"/>
          <w:color w:val="333333"/>
          <w:sz w:val="19"/>
          <w:szCs w:val="19"/>
        </w:rPr>
        <w:t xml:space="preserve">    Health(ctx context.Context) HealthStatus</w:t>
      </w:r>
    </w:p>
    <w:p>
      <w:pPr>
        <w:spacing w:after="120"/>
      </w:pPr>
      <w:r>
        <w:rPr>
          <w:rFonts w:ascii="IBM Plex Mono" w:cs="IBM Plex Mono" w:eastAsia="IBM Plex Mono" w:hAnsi="IBM Plex Mono"/>
          <w:color w:val="333333"/>
          <w:sz w:val="19"/>
          <w:szCs w:val="19"/>
        </w:rPr>
        <w:t xml:space="preserve">    Close() error</w:t>
      </w:r>
    </w:p>
    <w:p>
      <w:pPr>
        <w:spacing w:after="120"/>
      </w:pPr>
      <w:r>
        <w:rPr>
          <w:rFonts w:ascii="IBM Plex Mono" w:cs="IBM Plex Mono" w:eastAsia="IBM Plex Mono" w:hAnsi="IBM Plex Mono"/>
          <w:color w:val="333333"/>
          <w:sz w:val="19"/>
          <w:szCs w:val="19"/>
        </w:rPr>
        <w:t xml:space="preserve">}</w:t>
      </w:r>
    </w:p>
    <w:p>
      <w:pPr>
        <w:spacing w:after="80"/>
      </w:pPr>
    </w:p>
    <w:p>
      <w:pPr>
        <w:pStyle w:val="Heading2"/>
      </w:pPr>
      <w:r>
        <w:t xml:space="preserve">6.3 Event Flow</w:t>
      </w:r>
    </w:p>
    <w:p>
      <w:pPr>
        <w:spacing w:after="120"/>
      </w:pPr>
      <w:r>
        <w:rPr>
          <w:rFonts w:ascii="Arial" w:cs="Arial" w:eastAsia="Arial" w:hAnsi="Arial"/>
          <w:color w:val="333333"/>
          <w:sz w:val="22"/>
          <w:szCs w:val="22"/>
        </w:rPr>
        <w:t xml:space="preserve">The middleware processes events through a pipeline: receive from source → map to canonical schema → persist to Postgres → publish to NATS → evaluate rules → dispatch actions → write back to source. Each stage is independently testable and observable.</w:t>
      </w:r>
    </w:p>
    <w:p>
      <w:pPr>
        <w:spacing w:after="40"/>
      </w:pPr>
    </w:p>
    <w:p>
      <w:pPr>
        <w:pStyle w:val="ListParagraph"/>
        <w:numPr>
          <w:ilvl w:val="0"/>
          <w:numId w:val="2"/>
        </w:numPr>
        <w:spacing w:after="60"/>
      </w:pPr>
      <w:r>
        <w:rPr>
          <w:rFonts w:ascii="Arial" w:cs="Arial" w:eastAsia="Arial" w:hAnsi="Arial"/>
          <w:color w:val="333333"/>
          <w:sz w:val="22"/>
          <w:szCs w:val="22"/>
        </w:rPr>
        <w:t xml:space="preserve">Inbound: connector.Subscribe() receives events from source systems (MQTT, webhooks, polling)</w:t>
      </w:r>
    </w:p>
    <w:p>
      <w:pPr>
        <w:pStyle w:val="ListParagraph"/>
        <w:numPr>
          <w:ilvl w:val="0"/>
          <w:numId w:val="2"/>
        </w:numPr>
        <w:spacing w:after="60"/>
      </w:pPr>
      <w:r>
        <w:rPr>
          <w:rFonts w:ascii="Arial" w:cs="Arial" w:eastAsia="Arial" w:hAnsi="Arial"/>
          <w:color w:val="333333"/>
          <w:sz w:val="22"/>
          <w:szCs w:val="22"/>
        </w:rPr>
        <w:t xml:space="preserve">Mapping: mapper transforms source data to canonical Go structs, validates, resolves entities</w:t>
      </w:r>
    </w:p>
    <w:p>
      <w:pPr>
        <w:pStyle w:val="ListParagraph"/>
        <w:numPr>
          <w:ilvl w:val="0"/>
          <w:numId w:val="2"/>
        </w:numPr>
        <w:spacing w:after="60"/>
      </w:pPr>
      <w:r>
        <w:rPr>
          <w:rFonts w:ascii="Arial" w:cs="Arial" w:eastAsia="Arial" w:hAnsi="Arial"/>
          <w:color w:val="333333"/>
          <w:sz w:val="22"/>
          <w:szCs w:val="22"/>
        </w:rPr>
        <w:t xml:space="preserve">Persistence: store.Write() inserts into Postgres within a transaction</w:t>
      </w:r>
    </w:p>
    <w:p>
      <w:pPr>
        <w:pStyle w:val="ListParagraph"/>
        <w:numPr>
          <w:ilvl w:val="0"/>
          <w:numId w:val="2"/>
        </w:numPr>
        <w:spacing w:after="60"/>
      </w:pPr>
      <w:r>
        <w:rPr>
          <w:rFonts w:ascii="Arial" w:cs="Arial" w:eastAsia="Arial" w:hAnsi="Arial"/>
          <w:color w:val="333333"/>
          <w:sz w:val="22"/>
          <w:szCs w:val="22"/>
        </w:rPr>
        <w:t xml:space="preserve">Publishing: broker.Publish() sends event to NATS for fan-out to rules engine and other consumers</w:t>
      </w:r>
    </w:p>
    <w:p>
      <w:pPr>
        <w:pStyle w:val="ListParagraph"/>
        <w:numPr>
          <w:ilvl w:val="0"/>
          <w:numId w:val="2"/>
        </w:numPr>
        <w:spacing w:after="60"/>
      </w:pPr>
      <w:r>
        <w:rPr>
          <w:rFonts w:ascii="Arial" w:cs="Arial" w:eastAsia="Arial" w:hAnsi="Arial"/>
          <w:color w:val="333333"/>
          <w:sz w:val="22"/>
          <w:szCs w:val="22"/>
        </w:rPr>
        <w:t xml:space="preserve">Evaluation: rules engine subscribes to relevant NATS subjects, queries current state from Postgres</w:t>
      </w:r>
    </w:p>
    <w:p>
      <w:pPr>
        <w:pStyle w:val="ListParagraph"/>
        <w:numPr>
          <w:ilvl w:val="0"/>
          <w:numId w:val="2"/>
        </w:numPr>
        <w:spacing w:after="60"/>
      </w:pPr>
      <w:r>
        <w:rPr>
          <w:rFonts w:ascii="Arial" w:cs="Arial" w:eastAsia="Arial" w:hAnsi="Arial"/>
          <w:color w:val="333333"/>
          <w:sz w:val="22"/>
          <w:szCs w:val="22"/>
        </w:rPr>
        <w:t xml:space="preserve">Action: if rule fires, action message published to NATS action subject</w:t>
      </w:r>
    </w:p>
    <w:p>
      <w:pPr>
        <w:pStyle w:val="ListParagraph"/>
        <w:numPr>
          <w:ilvl w:val="0"/>
          <w:numId w:val="2"/>
        </w:numPr>
        <w:spacing w:after="60"/>
      </w:pPr>
      <w:r>
        <w:rPr>
          <w:rFonts w:ascii="Arial" w:cs="Arial" w:eastAsia="Arial" w:hAnsi="Arial"/>
          <w:color w:val="333333"/>
          <w:sz w:val="22"/>
          <w:szCs w:val="22"/>
        </w:rPr>
        <w:t xml:space="preserve">Write-back: connector.Write() sends action to source system API, confirms, updates Postgres</w:t>
      </w:r>
    </w:p>
    <w:p>
      <w:pPr>
        <w:pStyle w:val="ListParagraph"/>
        <w:numPr>
          <w:ilvl w:val="0"/>
          <w:numId w:val="2"/>
        </w:numPr>
        <w:spacing w:after="60"/>
      </w:pPr>
      <w:r>
        <w:rPr>
          <w:rFonts w:ascii="Arial" w:cs="Arial" w:eastAsia="Arial" w:hAnsi="Arial"/>
          <w:color w:val="333333"/>
          <w:sz w:val="22"/>
          <w:szCs w:val="22"/>
        </w:rPr>
        <w:t xml:space="preserve">Audit: every step logged to audit table with hash chain linking</w:t>
      </w:r>
    </w:p>
    <w:p>
      <w:pPr>
        <w:spacing w:after="80"/>
      </w:pPr>
    </w:p>
    <w:p>
      <w:pPr>
        <w:pStyle w:val="Heading2"/>
      </w:pPr>
      <w:r>
        <w:t xml:space="preserve">6.4 Claude Code Acceleration</w:t>
      </w:r>
    </w:p>
    <w:p>
      <w:pPr>
        <w:spacing w:after="120"/>
      </w:pPr>
      <w:r>
        <w:rPr>
          <w:rFonts w:ascii="Arial" w:cs="Arial" w:eastAsia="Arial" w:hAnsi="Arial"/>
          <w:color w:val="333333"/>
          <w:sz w:val="22"/>
          <w:szCs w:val="22"/>
        </w:rPr>
        <w:t xml:space="preserve">The following tasks are strong candidates for Claude Code during the build:</w:t>
      </w:r>
    </w:p>
    <w:p>
      <w:pPr>
        <w:pStyle w:val="ListParagraph"/>
        <w:numPr>
          <w:ilvl w:val="0"/>
          <w:numId w:val="2"/>
        </w:numPr>
        <w:spacing w:after="60"/>
      </w:pPr>
      <w:r>
        <w:rPr>
          <w:rFonts w:ascii="Arial" w:cs="Arial" w:eastAsia="Arial" w:hAnsi="Arial"/>
          <w:color w:val="333333"/>
          <w:sz w:val="22"/>
          <w:szCs w:val="22"/>
        </w:rPr>
        <w:t xml:space="preserve">Generate Go struct definitions from source system API documentation or JSON/XML schemas</w:t>
      </w:r>
    </w:p>
    <w:p>
      <w:pPr>
        <w:pStyle w:val="ListParagraph"/>
        <w:numPr>
          <w:ilvl w:val="0"/>
          <w:numId w:val="2"/>
        </w:numPr>
        <w:spacing w:after="60"/>
      </w:pPr>
      <w:r>
        <w:rPr>
          <w:rFonts w:ascii="Arial" w:cs="Arial" w:eastAsia="Arial" w:hAnsi="Arial"/>
          <w:color w:val="333333"/>
          <w:sz w:val="22"/>
          <w:szCs w:val="22"/>
        </w:rPr>
        <w:t xml:space="preserve">Scaffold connector implementations from OpenAPI/Swagger specs</w:t>
      </w:r>
    </w:p>
    <w:p>
      <w:pPr>
        <w:pStyle w:val="ListParagraph"/>
        <w:numPr>
          <w:ilvl w:val="0"/>
          <w:numId w:val="2"/>
        </w:numPr>
        <w:spacing w:after="60"/>
      </w:pPr>
      <w:r>
        <w:rPr>
          <w:rFonts w:ascii="Arial" w:cs="Arial" w:eastAsia="Arial" w:hAnsi="Arial"/>
          <w:color w:val="333333"/>
          <w:sz w:val="22"/>
          <w:szCs w:val="22"/>
        </w:rPr>
        <w:t xml:space="preserve">Generate YAML mapping configurations from data dictionaries</w:t>
      </w:r>
    </w:p>
    <w:p>
      <w:pPr>
        <w:pStyle w:val="ListParagraph"/>
        <w:numPr>
          <w:ilvl w:val="0"/>
          <w:numId w:val="2"/>
        </w:numPr>
        <w:spacing w:after="60"/>
      </w:pPr>
      <w:r>
        <w:rPr>
          <w:rFonts w:ascii="Arial" w:cs="Arial" w:eastAsia="Arial" w:hAnsi="Arial"/>
          <w:color w:val="333333"/>
          <w:sz w:val="22"/>
          <w:szCs w:val="22"/>
        </w:rPr>
        <w:t xml:space="preserve">Create test fixtures and mock servers for integration testing</w:t>
      </w:r>
    </w:p>
    <w:p>
      <w:pPr>
        <w:pStyle w:val="ListParagraph"/>
        <w:numPr>
          <w:ilvl w:val="0"/>
          <w:numId w:val="2"/>
        </w:numPr>
        <w:spacing w:after="60"/>
      </w:pPr>
      <w:r>
        <w:rPr>
          <w:rFonts w:ascii="Arial" w:cs="Arial" w:eastAsia="Arial" w:hAnsi="Arial"/>
          <w:color w:val="333333"/>
          <w:sz w:val="22"/>
          <w:szCs w:val="22"/>
        </w:rPr>
        <w:t xml:space="preserve">Generate PostgreSQL DDL and migration scripts from the domain model</w:t>
      </w:r>
    </w:p>
    <w:p>
      <w:pPr>
        <w:pStyle w:val="ListParagraph"/>
        <w:numPr>
          <w:ilvl w:val="0"/>
          <w:numId w:val="2"/>
        </w:numPr>
        <w:spacing w:after="60"/>
      </w:pPr>
      <w:r>
        <w:rPr>
          <w:rFonts w:ascii="Arial" w:cs="Arial" w:eastAsia="Arial" w:hAnsi="Arial"/>
          <w:color w:val="333333"/>
          <w:sz w:val="22"/>
          <w:szCs w:val="22"/>
        </w:rPr>
        <w:t xml:space="preserve">Build rule definitions from business requirements expressed in natural language</w:t>
      </w:r>
    </w:p>
    <w:p>
      <w:pPr>
        <w:pStyle w:val="ListParagraph"/>
        <w:numPr>
          <w:ilvl w:val="0"/>
          <w:numId w:val="2"/>
        </w:numPr>
        <w:spacing w:after="60"/>
      </w:pPr>
      <w:r>
        <w:rPr>
          <w:rFonts w:ascii="Arial" w:cs="Arial" w:eastAsia="Arial" w:hAnsi="Arial"/>
          <w:color w:val="333333"/>
          <w:sz w:val="22"/>
          <w:szCs w:val="22"/>
        </w:rPr>
        <w:t xml:space="preserve">Generate data quality validation functions in Go</w:t>
      </w:r>
    </w:p>
    <w:p>
      <w:pPr>
        <w:spacing w:after="200"/>
      </w:pPr>
    </w:p>
    <w:p>
      <w:pPr>
        <w:pStyle w:val="Heading1"/>
      </w:pPr>
      <w:r>
        <w:t xml:space="preserve">7. Deployment</w:t>
      </w:r>
    </w:p>
    <w:p>
      <w:pPr>
        <w:spacing w:after="120"/>
      </w:pPr>
      <w:r>
        <w:rPr>
          <w:rFonts w:ascii="Arial" w:cs="Arial" w:eastAsia="Arial" w:hAnsi="Arial"/>
          <w:color w:val="333333"/>
          <w:sz w:val="22"/>
          <w:szCs w:val="22"/>
        </w:rPr>
        <w:t xml:space="preserve">The entire platform runs as Docker containers, deployable via Docker Compose for POC/single-site and Kubernetes for multi-site production.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Container</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Image</w:t>
            </w:r>
          </w:p>
        </w:tc>
        <w:tc>
          <w:tcPr>
            <w:tcW w:type="dxa" w:w="4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orchestrator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Custom Go binary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Middleware application (connectors, rules, API)</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postgres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timescale/timescaledb</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PostgreSQL 16 with TimescaleDB extension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nats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nats:latest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NATS server with JetStream enabled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pgbouncer</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pgbouncer/pgbouncer</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Connection pooling for Postgres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grafana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grafana/grafana</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Operational monitoring dashboards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prometheus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prom/prometheus</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Metrics collection from Go application</w:t>
            </w:r>
          </w:p>
        </w:tc>
      </w:tr>
    </w:tbl>
    <w:p>
      <w:pPr>
        <w:spacing w:after="80"/>
      </w:pPr>
    </w:p>
    <w:p>
      <w:pPr>
        <w:spacing w:after="120"/>
      </w:pPr>
      <w:r>
        <w:rPr>
          <w:rFonts w:ascii="Arial" w:cs="Arial" w:eastAsia="Arial" w:hAnsi="Arial"/>
          <w:color w:val="333333"/>
          <w:sz w:val="22"/>
          <w:szCs w:val="22"/>
        </w:rPr>
        <w:t xml:space="preserve">For the POC, this runs on a single VM or developer machine via Docker Compose. For production, each container scales independently. The Go binary is stateless (all state in Postgres and NATS), so horizontal scaling is straightforward.</w:t>
      </w:r>
    </w:p>
    <w:p>
      <w:pPr>
        <w:spacing w:after="200"/>
      </w:pPr>
    </w:p>
    <w:p>
      <w:pPr>
        <w:pStyle w:val="Heading1"/>
      </w:pPr>
      <w:r>
        <w:t xml:space="preserve">8. Next Steps</w:t>
      </w:r>
    </w:p>
    <w:p>
      <w:pPr>
        <w:pStyle w:val="ListParagraph"/>
        <w:numPr>
          <w:ilvl w:val="0"/>
          <w:numId w:val="2"/>
        </w:numPr>
        <w:spacing w:after="60"/>
      </w:pPr>
      <w:r>
        <w:rPr>
          <w:rFonts w:ascii="Arial" w:cs="Arial" w:eastAsia="Arial" w:hAnsi="Arial"/>
          <w:color w:val="333333"/>
          <w:sz w:val="22"/>
          <w:szCs w:val="22"/>
        </w:rPr>
        <w:t xml:space="preserve">Validate the two-domain POC choice (Telemetry + CAFM) against available source systems and buyer interest</w:t>
      </w:r>
    </w:p>
    <w:p>
      <w:pPr>
        <w:pStyle w:val="ListParagraph"/>
        <w:numPr>
          <w:ilvl w:val="0"/>
          <w:numId w:val="2"/>
        </w:numPr>
        <w:spacing w:after="60"/>
      </w:pPr>
      <w:r>
        <w:rPr>
          <w:rFonts w:ascii="Arial" w:cs="Arial" w:eastAsia="Arial" w:hAnsi="Arial"/>
          <w:color w:val="333333"/>
          <w:sz w:val="22"/>
          <w:szCs w:val="22"/>
        </w:rPr>
        <w:t xml:space="preserve">Identify specific source systems for the POC — or confirm that trial/open-source systems with synthetic data are the approach</w:t>
      </w:r>
    </w:p>
    <w:p>
      <w:pPr>
        <w:pStyle w:val="ListParagraph"/>
        <w:numPr>
          <w:ilvl w:val="0"/>
          <w:numId w:val="2"/>
        </w:numPr>
        <w:spacing w:after="60"/>
      </w:pPr>
      <w:r>
        <w:rPr>
          <w:rFonts w:ascii="Arial" w:cs="Arial" w:eastAsia="Arial" w:hAnsi="Arial"/>
          <w:color w:val="333333"/>
          <w:sz w:val="22"/>
          <w:szCs w:val="22"/>
        </w:rPr>
        <w:t xml:space="preserve">Scope the Go developer engagement: connector framework and rules engine are the critical path</w:t>
      </w:r>
    </w:p>
    <w:p>
      <w:pPr>
        <w:pStyle w:val="ListParagraph"/>
        <w:numPr>
          <w:ilvl w:val="0"/>
          <w:numId w:val="2"/>
        </w:numPr>
        <w:spacing w:after="60"/>
      </w:pPr>
      <w:r>
        <w:rPr>
          <w:rFonts w:ascii="Arial" w:cs="Arial" w:eastAsia="Arial" w:hAnsi="Arial"/>
          <w:color w:val="333333"/>
          <w:sz w:val="22"/>
          <w:szCs w:val="22"/>
        </w:rPr>
        <w:t xml:space="preserve">Define 3–5 concrete cross-domain rules for the POC demonstration</w:t>
      </w:r>
    </w:p>
    <w:p>
      <w:pPr>
        <w:pStyle w:val="ListParagraph"/>
        <w:numPr>
          <w:ilvl w:val="0"/>
          <w:numId w:val="2"/>
        </w:numPr>
        <w:spacing w:after="60"/>
      </w:pPr>
      <w:r>
        <w:rPr>
          <w:rFonts w:ascii="Arial" w:cs="Arial" w:eastAsia="Arial" w:hAnsi="Arial"/>
          <w:color w:val="333333"/>
          <w:sz w:val="22"/>
          <w:szCs w:val="22"/>
        </w:rPr>
        <w:t xml:space="preserve">Determine whether the obligation model needs contractual obligations (per-client SLAs) as well as statutory</w:t>
      </w:r>
    </w:p>
    <w:p>
      <w:pPr>
        <w:pStyle w:val="ListParagraph"/>
        <w:numPr>
          <w:ilvl w:val="0"/>
          <w:numId w:val="2"/>
        </w:numPr>
        <w:spacing w:after="60"/>
      </w:pPr>
      <w:r>
        <w:rPr>
          <w:rFonts w:ascii="Arial" w:cs="Arial" w:eastAsia="Arial" w:hAnsi="Arial"/>
          <w:color w:val="333333"/>
          <w:sz w:val="22"/>
          <w:szCs w:val="22"/>
        </w:rPr>
        <w:t xml:space="preserve">Clarify the assessment sub-domain: separate from CAFM or modelled as a work item type?</w:t>
      </w:r>
    </w:p>
    <w:p>
      <w:pPr>
        <w:pStyle w:val="ListParagraph"/>
        <w:numPr>
          <w:ilvl w:val="0"/>
          <w:numId w:val="2"/>
        </w:numPr>
        <w:spacing w:after="60"/>
      </w:pPr>
      <w:r>
        <w:rPr>
          <w:rFonts w:ascii="Arial" w:cs="Arial" w:eastAsia="Arial" w:hAnsi="Arial"/>
          <w:color w:val="333333"/>
          <w:sz w:val="22"/>
          <w:szCs w:val="22"/>
        </w:rPr>
        <w:t xml:space="preserve">Explore BIM partner readiness for Phase 2 metadata integration</w:t>
      </w:r>
    </w:p>
    <w:p>
      <w:pPr>
        <w:pStyle w:val="ListParagraph"/>
        <w:numPr>
          <w:ilvl w:val="0"/>
          <w:numId w:val="2"/>
        </w:numPr>
        <w:spacing w:after="60"/>
      </w:pPr>
      <w:r>
        <w:rPr>
          <w:rFonts w:ascii="Arial" w:cs="Arial" w:eastAsia="Arial" w:hAnsi="Arial"/>
          <w:color w:val="333333"/>
          <w:sz w:val="22"/>
          <w:szCs w:val="22"/>
        </w:rPr>
        <w:t xml:space="preserve">Investigate grant-aided funding for the AI/digital twin elements</w:t>
      </w:r>
    </w:p>
    <w:p>
      <w:pPr>
        <w:spacing w:after="200"/>
      </w:pPr>
    </w:p>
    <w:p>
      <w:pPr>
        <w:pBdr>
          <w:top w:val="single" w:color="2E75B6" w:sz="4" w:space="8"/>
        </w:pBdr>
        <w:spacing w:after="80"/>
      </w:pPr>
      <w:r>
        <w:rPr>
          <w:rFonts w:ascii="Arial" w:cs="Arial" w:eastAsia="Arial" w:hAnsi="Arial"/>
          <w:i/>
          <w:iCs/>
          <w:color w:val="666666"/>
          <w:sz w:val="20"/>
          <w:szCs w:val="20"/>
        </w:rPr>
        <w:t xml:space="preserve">Document prepared by Crozier Scott. For discussion purposes only.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Draft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666666"/>
        <w:sz w:val="16"/>
        <w:szCs w:val="16"/>
      </w:rPr>
      <w:t xml:space="preserve">Compliance Orchestration Platform — Domain Model v2</w:t>
    </w:r>
    <w:r>
      <w:ptab w:alignment="right" w:relativeTo="margin" w:leader="none"/>
    </w:r>
    <w:r>
      <w:rPr>
        <w:rFonts w:ascii="Arial" w:cs="Arial" w:eastAsia="Arial" w:hAnsi="Arial"/>
        <w:b/>
        <w:bCs/>
        <w:color w:val="2E75B6"/>
        <w:sz w:val="16"/>
        <w:szCs w:val="16"/>
      </w:rPr>
      <w:t xml:space="preserve">Crozier Scott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75B6" w:sz="6" w:space="4"/>
      </w:pBd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B3A5C"/>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2026-02-12T23:22:25.498Z</dcterms:created>
  <dcterms:modified xsi:type="dcterms:W3CDTF">2026-02-12T23:22:25.499Z</dcterms:modified>
</cp:coreProperties>
</file>

<file path=docProps/custom.xml><?xml version="1.0" encoding="utf-8"?>
<Properties xmlns="http://schemas.openxmlformats.org/officeDocument/2006/custom-properties" xmlns:vt="http://schemas.openxmlformats.org/officeDocument/2006/docPropsVTypes"/>
</file>