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Alderstone pricing amendment</w:t>
      </w:r>
    </w:p>
    <w:p>
      <w:r>
        <w:t>Amendment A1 to ASC 2026 04</w:t>
      </w:r>
    </w:p>
    <w:p>
      <w:r>
        <w:t>This signed amendment changes prices, freight and the early payment discount for accepted deliveries on or after April 15 2026. It is effective retroactively to that accepted delivery date, although signed on April 20. Invoice date and invoice due date do not determine which schedule applies.</w:t>
      </w:r>
    </w:p>
    <w:p>
      <w:pPr>
        <w:pStyle w:val="Heading1"/>
      </w:pPr>
      <w:r>
        <w:t>Revised commercial terms</w:t>
      </w:r>
    </w:p>
    <w:tbl>
      <w:tblPr>
        <w:tblStyle w:val="TableGrid"/>
        <w:tblW w:type="auto" w:w="0"/>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tcPr>
          <w:p>
            <w:r>
              <w:t>Term</w:t>
            </w:r>
          </w:p>
        </w:tc>
        <w:tc>
          <w:tcPr>
            <w:tcW w:type="dxa" w:w="4968"/>
            <w:tcBorders>
              <w:top w:val="single" w:sz="4" w:color="D9D9D9"/>
              <w:left w:val="single" w:sz="4" w:color="D9D9D9"/>
              <w:bottom w:val="single" w:sz="4" w:color="D9D9D9"/>
              <w:right w:val="single" w:sz="4" w:color="D9D9D9"/>
            </w:tcBorders>
          </w:tcPr>
          <w:p>
            <w:r>
              <w:t>Effective replacement</w:t>
            </w:r>
          </w:p>
        </w:tc>
      </w:tr>
      <w:tr>
        <w:tc>
          <w:tcPr>
            <w:tcW w:type="dxa" w:w="4968"/>
            <w:tcBorders>
              <w:top w:val="single" w:sz="4" w:color="D9D9D9"/>
              <w:left w:val="single" w:sz="4" w:color="D9D9D9"/>
              <w:bottom w:val="single" w:sz="4" w:color="D9D9D9"/>
              <w:right w:val="single" w:sz="4" w:color="D9D9D9"/>
            </w:tcBorders>
          </w:tcPr>
          <w:p>
            <w:r>
              <w:t>PK-A unit price</w:t>
            </w:r>
          </w:p>
        </w:tc>
        <w:tc>
          <w:tcPr>
            <w:tcW w:type="dxa" w:w="4968"/>
            <w:tcBorders>
              <w:top w:val="single" w:sz="4" w:color="D9D9D9"/>
              <w:left w:val="single" w:sz="4" w:color="D9D9D9"/>
              <w:bottom w:val="single" w:sz="4" w:color="D9D9D9"/>
              <w:right w:val="single" w:sz="4" w:color="D9D9D9"/>
            </w:tcBorders>
          </w:tcPr>
          <w:p>
            <w:r>
              <w:t>$8.40 per unit</w:t>
            </w:r>
          </w:p>
        </w:tc>
      </w:tr>
      <w:tr>
        <w:tc>
          <w:tcPr>
            <w:tcW w:type="dxa" w:w="4968"/>
            <w:tcBorders>
              <w:top w:val="single" w:sz="4" w:color="D9D9D9"/>
              <w:left w:val="single" w:sz="4" w:color="D9D9D9"/>
              <w:bottom w:val="single" w:sz="4" w:color="D9D9D9"/>
              <w:right w:val="single" w:sz="4" w:color="D9D9D9"/>
            </w:tcBorders>
          </w:tcPr>
          <w:p>
            <w:r>
              <w:t>PK-B unit price</w:t>
            </w:r>
          </w:p>
        </w:tc>
        <w:tc>
          <w:tcPr>
            <w:tcW w:type="dxa" w:w="4968"/>
            <w:tcBorders>
              <w:top w:val="single" w:sz="4" w:color="D9D9D9"/>
              <w:left w:val="single" w:sz="4" w:color="D9D9D9"/>
              <w:bottom w:val="single" w:sz="4" w:color="D9D9D9"/>
              <w:right w:val="single" w:sz="4" w:color="D9D9D9"/>
            </w:tcBorders>
          </w:tcPr>
          <w:p>
            <w:r>
              <w:t>$12.30 per unit</w:t>
            </w:r>
          </w:p>
        </w:tc>
      </w:tr>
      <w:tr>
        <w:tc>
          <w:tcPr>
            <w:tcW w:type="dxa" w:w="4968"/>
            <w:tcBorders>
              <w:top w:val="single" w:sz="4" w:color="D9D9D9"/>
              <w:left w:val="single" w:sz="4" w:color="D9D9D9"/>
              <w:bottom w:val="single" w:sz="4" w:color="D9D9D9"/>
              <w:right w:val="single" w:sz="4" w:color="D9D9D9"/>
            </w:tcBorders>
          </w:tcPr>
          <w:p>
            <w:r>
              <w:t>Freight</w:t>
            </w:r>
          </w:p>
        </w:tc>
        <w:tc>
          <w:tcPr>
            <w:tcW w:type="dxa" w:w="4968"/>
            <w:tcBorders>
              <w:top w:val="single" w:sz="4" w:color="D9D9D9"/>
              <w:left w:val="single" w:sz="4" w:color="D9D9D9"/>
              <w:bottom w:val="single" w:sz="4" w:color="D9D9D9"/>
              <w:right w:val="single" w:sz="4" w:color="D9D9D9"/>
            </w:tcBorders>
          </w:tcPr>
          <w:p>
            <w:r>
              <w:t>Lower of billed freight and $60.00 per invoice</w:t>
            </w:r>
          </w:p>
        </w:tc>
      </w:tr>
      <w:tr>
        <w:tc>
          <w:tcPr>
            <w:tcW w:type="dxa" w:w="4968"/>
            <w:tcBorders>
              <w:top w:val="single" w:sz="4" w:color="D9D9D9"/>
              <w:left w:val="single" w:sz="4" w:color="D9D9D9"/>
              <w:bottom w:val="single" w:sz="4" w:color="D9D9D9"/>
              <w:right w:val="single" w:sz="4" w:color="D9D9D9"/>
            </w:tcBorders>
          </w:tcPr>
          <w:p>
            <w:r>
              <w:t>Early payment discount</w:t>
            </w:r>
          </w:p>
        </w:tc>
        <w:tc>
          <w:tcPr>
            <w:tcW w:type="dxa" w:w="4968"/>
            <w:tcBorders>
              <w:top w:val="single" w:sz="4" w:color="D9D9D9"/>
              <w:left w:val="single" w:sz="4" w:color="D9D9D9"/>
              <w:bottom w:val="single" w:sz="4" w:color="D9D9D9"/>
              <w:right w:val="single" w:sz="4" w:color="D9D9D9"/>
            </w:tcBorders>
          </w:tcPr>
          <w:p>
            <w:r>
              <w:t>2.5% of corrected net goods after approved goods credits</w:t>
            </w:r>
          </w:p>
        </w:tc>
      </w:tr>
    </w:tbl>
    <w:p>
      <w:r>
        <w:t>All eligibility, tax, credit, cash cutoff, rounding and payment selection rules in clauses 3 through 8 of the base agreement remain unchanged. In particular, the 10 calendar day window and no positive net settled payment condition still apply. Deliveries accepted before April 15 retain the original prices, uncapped billed freight and 1.5% discount schedule.</w:t>
      </w:r>
    </w:p>
    <w:p>
      <w:pPr>
        <w:pStyle w:val="Heading1"/>
      </w:pPr>
      <w:r>
        <w:t>Executed April 20 2026</w:t>
      </w:r>
    </w:p>
    <w:p>
      <w:r>
        <w:t>Mara Ellis</w:t>
        <w:br/>
        <w:t>Head of Procurement</w:t>
        <w:br/>
        <w:t>Larkspur Outdoor Co.</w:t>
        <w:br/>
        <w:t>Signed electronically April 20 2026</w:t>
      </w:r>
    </w:p>
    <w:p>
      <w:r>
        <w:t>Owen Vale</w:t>
        <w:br/>
        <w:t>Commercial Director</w:t>
        <w:br/>
        <w:t>Alderstone Components LLC</w:t>
        <w:br/>
        <w:t>Signed electronically April 20 2026</w:t>
      </w:r>
    </w:p>
    <w:p>
      <w:pPr>
        <w:spacing w:after="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