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sz w:val="28"/>
        </w:rPr>
        <w:t>VALIANT SHIELD 2026 QUADRANT CHART - TEXT CONTENT</w:t>
      </w:r>
    </w:p>
    <w:p>
      <w:pPr>
        <w:spacing w:after="240"/>
      </w:pPr>
      <w:r>
        <w:rPr>
          <w:b/>
          <w:sz w:val="24"/>
        </w:rPr>
        <w:t>Isidore Quantum® Maritime Cybersecurity Solution</w:t>
      </w:r>
    </w:p>
    <w:p>
      <w:pPr>
        <w:spacing w:line="276" w:lineRule="auto"/>
      </w:pPr>
      <w:r>
        <w:rPr>
          <w:sz w:val="20"/>
        </w:rPr>
        <w:t>VALIANT SHIELD 2026 EXPERIMENTATION PACKET</w:t>
        <w:br/>
        <w:t>Isidore Quantum® Maritime Cybersecurity Solution</w:t>
        <w:br/>
        <w:br/>
        <w:t>===== SLIDE 1: EXPERIMENT OVERVIEW =====</w:t>
        <w:br/>
        <w:br/>
        <w:t>EXPERIMENT TITLE:</w:t>
        <w:br/>
        <w:t>(U) Quantum-Safe Maritime Cybersecurity - Isidore Quantum®</w:t>
        <w:br/>
        <w:br/>
        <w:t>DESCRIPTION:</w:t>
        <w:br/>
        <w:t>Validate NSA-engineered post-quantum encryption platform for maritime operations. Addresses dual threats: current cyber attacks (spoofing, ransomware, malware) and future quantum-enabled adversaries. Drop-in integration with zero infrastructure retrofits.</w:t>
        <w:br/>
        <w:br/>
        <w:t>OBJECTIVE:</w:t>
        <w:br/>
        <w:t>Demonstrate TRL 8-9 advancement in operational naval environment with autonomous threat detection and CNSA 2.0 compliance.</w:t>
        <w:br/>
        <w:br/>
        <w:t>AVAILABILITY DATE:</w:t>
        <w:br/>
        <w:t>Q2-Q3 2026 (Exercise execution 28 JUN 2026)</w:t>
        <w:br/>
        <w:br/>
        <w:t>PROGRAM RISKS / IMPACT:</w:t>
        <w:br/>
        <w:t>Minimal - drop-in design, autonomous post-deployment. Early validation supports Navy modernization priorities.</w:t>
        <w:br/>
        <w:br/>
        <w:t>GEOGRAPHICAL DOMAIN:</w:t>
        <w:br/>
        <w:t>Maritime (vessels, ports, satellite links)</w:t>
        <w:br/>
        <w:br/>
        <w:t>RECOMMENDED HOST UNIT:</w:t>
        <w:br/>
        <w:t>PACFLT (Third Fleet or Seventh Fleet operational assets)</w:t>
        <w:br/>
        <w:br/>
        <w:t>EXPERIMENTATION SPONSOR:</w:t>
        <w:br/>
        <w:t>United States Pacific Fleet (PACFLT). Supporting: USINDOPACOM J81 JEESC, Naval Supply Systems Command.</w:t>
        <w:br/>
        <w:br/>
        <w:t>FUNDING STATUS:</w:t>
        <w:br/>
        <w:t>Forward Edge-AI funded. NSA partnership supports R&amp;D costs.</w:t>
        <w:br/>
        <w:br/>
        <w:t>POC INFORMATION:</w:t>
        <w:br/>
        <w:t>Brandon@forwardedge.ai | forwardedge.ai</w:t>
        <w:br/>
        <w:br/>
        <w:br/>
        <w:t>===== SLIDE 2: DEPLOYMENT &amp; REQUIREMENTS =====</w:t>
        <w:br/>
        <w:br/>
        <w:t>DEPLOYMENT:</w:t>
        <w:br/>
        <w:t>2+ operational naval vessels (bridge/AIS systems), 1 major WESTPAC port facility, 1 satellite gateway. Forward Edge-AI technical team for integration support. Duration: 4-6 weeks during VS26 exercise window.</w:t>
        <w:br/>
        <w:br/>
        <w:t>HOST COMPONENT / UNIT SUPPORT REQUESTED:</w:t>
        <w:br/>
        <w:t>Vessel bridge access and systems integration. Port logistics platform access. Satellite ground station coordination. Observer seats for 6-8 personnel (cybersecurity SMEs, command staff, logistics personnel). Power and network integration support.</w:t>
        <w:br/>
        <w:br/>
        <w:t>EXERCISE CONSIDERATIONS:</w:t>
        <w:br/>
        <w:t>Encrypted threat data handling (classified). Autonomous operation minimizes host unit burden post-integration. No infrastructure retrofits required. Real-time threat logs require secure reporting infrastructure.</w:t>
        <w:br/>
        <w:br/>
        <w:t>REQUIRED EXERCISE EVENTS:</w:t>
        <w:br/>
        <w:t>Operational vessel underway time; port cargo operations; satellite communication exercises.</w:t>
        <w:br/>
        <w:br/>
        <w:t>PERSONNEL / EQUIPMENT LIST:</w:t>
        <w:br/>
        <w:t>Forward Edge-AI integration team (2-3)</w:t>
        <w:br/>
        <w:t>Naval IT personnel (4-5)</w:t>
        <w:br/>
        <w:t>Port operations staff (2-3)</w:t>
        <w:br/>
        <w:t>Observers (6-8)</w:t>
        <w:br/>
        <w:t>Isidore Quantum units (variants: Enterprise, Standard, IoT)</w:t>
        <w:br/>
        <w:t>Power: &lt;12W per unit</w:t>
        <w:br/>
        <w:t>Footprint: 140x89x39mm</w:t>
        <w:br/>
        <w:t>Latency: &lt;90µs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