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0"/>
        <w:gridCol w:w="1750"/>
      </w:tblGrid>
      <w:tr>
        <w:trPr>
          <w:trHeight w:val="1036" w:hRule="atLeast"/>
        </w:trPr>
        <w:tc>
          <w:tcPr>
            <w:tcW w:type="dxa" w:w="7610"/>
            <w:tcBorders>
              <w:top w:val="single" w:color="000000" w:sz="4"/>
              <w:left w:val="single" w:color="000000" w:sz="4"/>
              <w:bottom w:val="single" w:color="000000" w:sz="4"/>
              <w:right w:val="single" w:color="000000" w:sz="4"/>
            </w:tcBorders>
            <w:shd w:fill="000000" w:val="clear"/>
            <w:tcMar>
              <w:top w:type="dxa" w:w="122"/>
              <w:left w:type="dxa" w:w="122"/>
              <w:bottom w:type="dxa" w:w="122"/>
              <w:right w:type="dxa" w:w="122"/>
            </w:tcMar>
            <w:vAlign w:val="center"/>
          </w:tcPr>
          <w:p>
            <w:r>
              <w:rPr>
                <w:b/>
                <w:bCs/>
                <w:color w:val="FFFFFF"/>
                <w:sz w:val="40"/>
                <w:szCs w:val="40"/>
                <w:rFonts w:ascii="Plus Jakarta Sans" w:cs="Plus Jakarta Sans" w:eastAsia="Plus Jakarta Sans" w:hAnsi="Plus Jakarta Sans"/>
              </w:rPr>
              <w:t xml:space="preserve">Tech Discovery</w:t>
            </w:r>
          </w:p>
        </w:tc>
        <w:tc>
          <w:tcPr>
            <w:tcW w:type="dxa" w:w="1750"/>
            <w:tcBorders>
              <w:top w:val="single" w:color="000000" w:sz="4"/>
              <w:left w:val="single" w:color="000000" w:sz="4"/>
              <w:bottom w:val="single" w:color="000000" w:sz="4"/>
              <w:right w:val="single" w:color="000000" w:sz="4"/>
            </w:tcBorders>
            <w:shd w:fill="000000" w:val="clear"/>
            <w:vAlign w:val="center"/>
          </w:tcPr>
          <w:p>
            <w:pPr>
              <w:jc w:val="center"/>
            </w:pPr>
            <w:r>
              <w:drawing>
                <wp:inline distT="0" distB="0" distL="0" distR="0">
                  <wp:extent cx="4953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 cy="504825"/>
                          </a:xfrm>
                          <a:prstGeom prst="rect">
                            <a:avLst/>
                          </a:prstGeom>
                        </pic:spPr>
                      </pic:pic>
                    </a:graphicData>
                  </a:graphic>
                </wp:inline>
              </w:drawing>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F1C232" w:sz="8"/>
              <w:left w:val="single" w:color="F1C232" w:sz="8"/>
              <w:bottom w:val="single" w:color="F1C232" w:sz="8"/>
              <w:right w:val="single" w:color="F1C232" w:sz="8"/>
            </w:tcBorders>
            <w:shd w:fill="000000" w:val="clear"/>
          </w:tcPr>
          <w:p>
            <w:r>
              <w:rPr>
                <w:color w:val="F1C232"/>
                <w:sz w:val="24"/>
                <w:szCs w:val="24"/>
                <w:rFonts w:ascii="Rubik" w:cs="Rubik" w:eastAsia="Rubik" w:hAnsi="Rubik"/>
              </w:rPr>
              <w:t xml:space="preserve">Link to Call Recording</w:t>
            </w:r>
          </w:p>
        </w:tc>
      </w:tr>
      <w:tr>
        <w:tc>
          <w:tcPr>
            <w:tcBorders>
              <w:top w:val="single" w:color="F1C232" w:sz="8"/>
              <w:left w:val="single" w:color="F1C232" w:sz="8"/>
              <w:bottom w:val="single" w:color="F1C232" w:sz="8"/>
              <w:right w:val="single" w:color="F1C232" w:sz="8"/>
            </w:tcBorders>
          </w:tcPr>
          <w:p>
            <w:pPr>
              <w:spacing w:line="276"/>
            </w:pPr>
            <w:r>
              <w:rPr>
                <w:color w:val="000000"/>
                <w:sz w:val="20"/>
                <w:szCs w:val="20"/>
                <w:rFonts w:ascii="Rubik" w:cs="Rubik" w:eastAsia="Rubik" w:hAnsi="Rubik"/>
              </w:rPr>
              <w:t xml:space="preserve">-&gt; </w:t>
            </w:r>
            <w:hyperlink w:history="1" r:id="rIdw_yhnwmvj9q_-nrkworka">
              <w:r>
                <w:rPr>
                  <w:b/>
                  <w:bCs/>
                  <w:u w:val="single"/>
                  <w:color w:val="1155CC"/>
                  <w:sz w:val="20"/>
                  <w:szCs w:val="20"/>
                  <w:rFonts w:ascii="Rubik" w:cs="Rubik" w:eastAsia="Rubik" w:hAnsi="Rubik"/>
                </w:rPr>
                <w:t xml:space="preserve">A8 // Taoglas Discovery</w:t>
              </w:r>
            </w:hyperlink>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F1C232" w:sz="8"/>
              <w:left w:val="single" w:color="F1C232" w:sz="8"/>
              <w:bottom w:val="single" w:color="F1C232" w:sz="8"/>
              <w:right w:val="single" w:color="F1C232" w:sz="8"/>
            </w:tcBorders>
            <w:shd w:fill="000000" w:val="clear"/>
          </w:tcPr>
          <w:p>
            <w:r>
              <w:rPr>
                <w:color w:val="F1C232"/>
                <w:sz w:val="24"/>
                <w:szCs w:val="24"/>
                <w:rFonts w:ascii="Rubik" w:cs="Rubik" w:eastAsia="Rubik" w:hAnsi="Rubik"/>
              </w:rPr>
              <w:t xml:space="preserve">Questions</w:t>
            </w:r>
          </w:p>
        </w:tc>
      </w:tr>
      <w:tr>
        <w:tc>
          <w:tcPr>
            <w:tcBorders>
              <w:top w:val="single" w:color="F1C232" w:sz="8"/>
              <w:left w:val="single" w:color="F1C232" w:sz="8"/>
              <w:bottom w:val="single" w:color="F1C232" w:sz="8"/>
              <w:right w:val="single" w:color="F1C232" w:sz="8"/>
            </w:tcBorders>
          </w:tcPr>
          <w:p>
            <w:pPr>
              <w:spacing w:before="360" w:after="120"/>
            </w:pPr>
            <w:r>
              <w:rPr>
                <w:b/>
                <w:bCs/>
                <w:color w:val="000000"/>
                <w:sz w:val="34"/>
                <w:szCs w:val="34"/>
                <w:rFonts w:ascii="Rubik" w:cs="Rubik" w:eastAsia="Rubik" w:hAnsi="Rubik"/>
              </w:rPr>
              <w:t xml:space="preserve">Multi-Distributor Deal Architecture</w:t>
            </w:r>
          </w:p>
          <w:p>
            <w:pPr>
              <w:spacing w:before="280" w:after="80"/>
            </w:pPr>
            <w:r>
              <w:rPr>
                <w:b/>
                <w:bCs/>
                <w:color w:val="000000"/>
                <w:sz w:val="26"/>
                <w:szCs w:val="26"/>
                <w:rFonts w:ascii="Rubik" w:cs="Rubik" w:eastAsia="Rubik" w:hAnsi="Rubik"/>
              </w:rPr>
              <w:t xml:space="preserve">Proposed Solution: Custom "Distributor Bid" Object</w:t>
            </w:r>
          </w:p>
          <w:p>
            <w:pPr>
              <w:pStyle w:val="ListParagraph"/>
              <w:numPr>
                <w:ilvl w:val="0"/>
                <w:numId w:val="1"/>
              </w:numPr>
              <w:spacing w:line="276"/>
            </w:pPr>
            <w:r>
              <w:rPr>
                <w:b/>
                <w:bCs/>
                <w:color w:val="000000"/>
                <w:sz w:val="20"/>
                <w:szCs w:val="20"/>
                <w:rFonts w:ascii="Rubik" w:cs="Rubik" w:eastAsia="Rubik" w:hAnsi="Rubik"/>
              </w:rPr>
              <w:t xml:space="preserve">Problem</w:t>
            </w:r>
            <w:r>
              <w:rPr>
                <w:color w:val="000000"/>
                <w:sz w:val="20"/>
                <w:szCs w:val="20"/>
                <w:rFonts w:ascii="Rubik" w:cs="Rubik" w:eastAsia="Rubik" w:hAnsi="Rubik"/>
              </w:rPr>
              <w:t xml:space="preserve">: SAP allows only one distributor per quote, but Taoglas often gets quotes from multiple distributors for the same project. Creating multiple Deals in HubSpot for each distributor skews forecasting and pipeline reporting.</w:t>
            </w:r>
          </w:p>
          <w:p>
            <w:pPr>
              <w:pStyle w:val="ListParagraph"/>
              <w:numPr>
                <w:ilvl w:val="0"/>
                <w:numId w:val="1"/>
              </w:numPr>
              <w:spacing w:line="276"/>
            </w:pPr>
            <w:r>
              <w:rPr>
                <w:b/>
                <w:bCs/>
                <w:color w:val="000000"/>
                <w:sz w:val="20"/>
                <w:szCs w:val="20"/>
                <w:rFonts w:ascii="Rubik" w:cs="Rubik" w:eastAsia="Rubik" w:hAnsi="Rubik"/>
              </w:rPr>
              <w:t xml:space="preserve">Solution</w:t>
            </w:r>
            <w:r>
              <w:rPr>
                <w:color w:val="000000"/>
                <w:sz w:val="20"/>
                <w:szCs w:val="20"/>
                <w:rFonts w:ascii="Rubik" w:cs="Rubik" w:eastAsia="Rubik" w:hAnsi="Rubik"/>
              </w:rPr>
              <w:t xml:space="preserve">: Implement a "Distributor Bid" custom object as a child of the Deal object.</w:t>
            </w:r>
          </w:p>
          <w:p>
            <w:pPr>
              <w:pStyle w:val="ListParagraph"/>
              <w:numPr>
                <w:ilvl w:val="1"/>
                <w:numId w:val="1"/>
              </w:numPr>
              <w:spacing w:line="276"/>
            </w:pPr>
            <w:r>
              <w:rPr>
                <w:b/>
                <w:bCs/>
                <w:color w:val="000000"/>
                <w:sz w:val="20"/>
                <w:szCs w:val="20"/>
                <w:rFonts w:ascii="Rubik" w:cs="Rubik" w:eastAsia="Rubik" w:hAnsi="Rubik"/>
              </w:rPr>
              <w:t xml:space="preserve">Deal Object</w:t>
            </w:r>
            <w:r>
              <w:rPr>
                <w:color w:val="000000"/>
                <w:sz w:val="20"/>
                <w:szCs w:val="20"/>
                <w:rFonts w:ascii="Rubik" w:cs="Rubik" w:eastAsia="Rubik" w:hAnsi="Rubik"/>
              </w:rPr>
              <w:t xml:space="preserve">: Represents the overall opportunity/project container.</w:t>
            </w:r>
          </w:p>
          <w:p>
            <w:pPr>
              <w:pStyle w:val="ListParagraph"/>
              <w:numPr>
                <w:ilvl w:val="1"/>
                <w:numId w:val="1"/>
              </w:numPr>
              <w:spacing w:line="276"/>
            </w:pPr>
            <w:r>
              <w:rPr>
                <w:b/>
                <w:bCs/>
                <w:color w:val="000000"/>
                <w:sz w:val="20"/>
                <w:szCs w:val="20"/>
                <w:rFonts w:ascii="Rubik" w:cs="Rubik" w:eastAsia="Rubik" w:hAnsi="Rubik"/>
              </w:rPr>
              <w:t xml:space="preserve">Bid Object</w:t>
            </w:r>
            <w:r>
              <w:rPr>
                <w:color w:val="000000"/>
                <w:sz w:val="20"/>
                <w:szCs w:val="20"/>
                <w:rFonts w:ascii="Rubik" w:cs="Rubik" w:eastAsia="Rubik" w:hAnsi="Rubik"/>
              </w:rPr>
              <w:t xml:space="preserve">: Represents a specific quote for a distributor (1 Bid = 1 Tacton Quote).</w:t>
            </w:r>
          </w:p>
          <w:p>
            <w:pPr>
              <w:pStyle w:val="ListParagraph"/>
              <w:numPr>
                <w:ilvl w:val="1"/>
                <w:numId w:val="1"/>
              </w:numPr>
              <w:spacing w:line="276"/>
            </w:pPr>
            <w:r>
              <w:rPr>
                <w:b/>
                <w:bCs/>
                <w:color w:val="000000"/>
                <w:sz w:val="20"/>
                <w:szCs w:val="20"/>
                <w:rFonts w:ascii="Rubik" w:cs="Rubik" w:eastAsia="Rubik" w:hAnsi="Rubik"/>
              </w:rPr>
              <w:t xml:space="preserve">Relationship</w:t>
            </w:r>
            <w:r>
              <w:rPr>
                <w:color w:val="000000"/>
                <w:sz w:val="20"/>
                <w:szCs w:val="20"/>
                <w:rFonts w:ascii="Rubik" w:cs="Rubik" w:eastAsia="Rubik" w:hAnsi="Rubik"/>
              </w:rPr>
              <w:t xml:space="preserve">: One Deal can have multiple Bid objects.</w:t>
            </w:r>
          </w:p>
          <w:p>
            <w:pPr>
              <w:pStyle w:val="ListParagraph"/>
              <w:numPr>
                <w:ilvl w:val="0"/>
                <w:numId w:val="1"/>
              </w:numPr>
              <w:spacing w:line="276"/>
            </w:pPr>
            <w:r>
              <w:rPr>
                <w:b/>
                <w:bCs/>
                <w:color w:val="000000"/>
                <w:sz w:val="20"/>
                <w:szCs w:val="20"/>
                <w:rFonts w:ascii="Rubik" w:cs="Rubik" w:eastAsia="Rubik" w:hAnsi="Rubik"/>
              </w:rPr>
              <w:t xml:space="preserve">Benefit</w:t>
            </w:r>
            <w:r>
              <w:rPr>
                <w:color w:val="000000"/>
                <w:sz w:val="20"/>
                <w:szCs w:val="20"/>
                <w:rFonts w:ascii="Rubik" w:cs="Rubik" w:eastAsia="Rubik" w:hAnsi="Rubik"/>
              </w:rPr>
              <w:t xml:space="preserve">: Keeps the Forecast/Pipeline clean (one Deal) while allowing multiple actual quotes (multiple Bids) to exist and sync with Tacton.</w:t>
            </w:r>
          </w:p>
          <w:p>
            <w:pPr>
              <w:spacing w:before="280" w:after="80"/>
            </w:pPr>
            <w:r>
              <w:rPr>
                <w:b/>
                <w:bCs/>
                <w:color w:val="000000"/>
                <w:sz w:val="26"/>
                <w:szCs w:val="26"/>
                <w:rFonts w:ascii="Rubik" w:cs="Rubik" w:eastAsia="Rubik" w:hAnsi="Rubik"/>
              </w:rPr>
              <w:t xml:space="preserve">Forecasting Logic</w:t>
            </w:r>
          </w:p>
          <w:p>
            <w:pPr>
              <w:pStyle w:val="ListParagraph"/>
              <w:numPr>
                <w:ilvl w:val="0"/>
                <w:numId w:val="1"/>
              </w:numPr>
              <w:spacing w:line="276"/>
            </w:pPr>
            <w:r>
              <w:rPr>
                <w:b/>
                <w:bCs/>
                <w:color w:val="000000"/>
                <w:sz w:val="20"/>
                <w:szCs w:val="20"/>
                <w:rFonts w:ascii="Rubik" w:cs="Rubik" w:eastAsia="Rubik" w:hAnsi="Rubik"/>
              </w:rPr>
              <w:t xml:space="preserve">Challenge</w:t>
            </w:r>
            <w:r>
              <w:rPr>
                <w:color w:val="000000"/>
                <w:sz w:val="20"/>
                <w:szCs w:val="20"/>
                <w:rFonts w:ascii="Rubik" w:cs="Rubik" w:eastAsia="Rubik" w:hAnsi="Rubik"/>
              </w:rPr>
              <w:t xml:space="preserve">: With multiple bids under one deal, which amount should populate the Deal Amount for forecasting?</w:t>
            </w:r>
          </w:p>
          <w:p>
            <w:pPr>
              <w:pStyle w:val="ListParagraph"/>
              <w:numPr>
                <w:ilvl w:val="0"/>
                <w:numId w:val="1"/>
              </w:numPr>
              <w:spacing w:line="276"/>
            </w:pPr>
            <w:r>
              <w:rPr>
                <w:b/>
                <w:bCs/>
                <w:color w:val="000000"/>
                <w:sz w:val="20"/>
                <w:szCs w:val="20"/>
                <w:rFonts w:ascii="Rubik" w:cs="Rubik" w:eastAsia="Rubik" w:hAnsi="Rubik"/>
              </w:rPr>
              <w:t xml:space="preserve">Discussion</w:t>
            </w:r>
            <w:r>
              <w:rPr>
                <w:color w:val="000000"/>
                <w:sz w:val="20"/>
                <w:szCs w:val="20"/>
                <w:rFonts w:ascii="Rubik" w:cs="Rubik" w:eastAsia="Rubik" w:hAnsi="Rubik"/>
              </w:rPr>
              <w:t xml:space="preserve">:</w:t>
            </w:r>
          </w:p>
          <w:p>
            <w:pPr>
              <w:pStyle w:val="ListParagraph"/>
              <w:numPr>
                <w:ilvl w:val="1"/>
                <w:numId w:val="1"/>
              </w:numPr>
              <w:spacing w:line="276"/>
            </w:pPr>
            <w:r>
              <w:rPr>
                <w:color w:val="000000"/>
                <w:sz w:val="20"/>
                <w:szCs w:val="20"/>
                <w:rFonts w:ascii="Rubik" w:cs="Rubik" w:eastAsia="Rubik" w:hAnsi="Rubik"/>
              </w:rPr>
              <w:t xml:space="preserve">Could use the first bid, the average, or the lowest.</w:t>
            </w:r>
          </w:p>
          <w:p>
            <w:pPr>
              <w:pStyle w:val="ListParagraph"/>
              <w:numPr>
                <w:ilvl w:val="1"/>
                <w:numId w:val="1"/>
              </w:numPr>
              <w:spacing w:line="276"/>
            </w:pPr>
            <w:r>
              <w:rPr>
                <w:color w:val="000000"/>
                <w:sz w:val="20"/>
                <w:szCs w:val="20"/>
                <w:rFonts w:ascii="Rubik" w:cs="Rubik" w:eastAsia="Rubik" w:hAnsi="Rubik"/>
              </w:rPr>
              <w:t xml:space="preserve">Using the sum would vastly over-inflate the pipeline.</w:t>
            </w:r>
          </w:p>
          <w:p>
            <w:pPr>
              <w:pStyle w:val="ListParagraph"/>
              <w:numPr>
                <w:ilvl w:val="0"/>
                <w:numId w:val="1"/>
              </w:numPr>
              <w:spacing w:line="276"/>
            </w:pPr>
            <w:r>
              <w:rPr>
                <w:b/>
                <w:bCs/>
                <w:color w:val="000000"/>
                <w:sz w:val="20"/>
                <w:szCs w:val="20"/>
                <w:rFonts w:ascii="Rubik" w:cs="Rubik" w:eastAsia="Rubik" w:hAnsi="Rubik"/>
              </w:rPr>
              <w:t xml:space="preserve">Decision</w:t>
            </w:r>
            <w:r>
              <w:rPr>
                <w:color w:val="000000"/>
                <w:sz w:val="20"/>
                <w:szCs w:val="20"/>
                <w:rFonts w:ascii="Rubik" w:cs="Rubik" w:eastAsia="Rubik" w:hAnsi="Rubik"/>
              </w:rPr>
              <w:t xml:space="preserve">: Logic will likely use the </w:t>
            </w:r>
            <w:r>
              <w:rPr>
                <w:b/>
                <w:bCs/>
                <w:color w:val="000000"/>
                <w:sz w:val="20"/>
                <w:szCs w:val="20"/>
                <w:rFonts w:ascii="Rubik" w:cs="Rubik" w:eastAsia="Rubik" w:hAnsi="Rubik"/>
              </w:rPr>
              <w:t xml:space="preserve">lowest active quote/bid</w:t>
            </w:r>
            <w:r>
              <w:rPr>
                <w:color w:val="000000"/>
                <w:sz w:val="20"/>
                <w:szCs w:val="20"/>
                <w:rFonts w:ascii="Rubik" w:cs="Rubik" w:eastAsia="Rubik" w:hAnsi="Rubik"/>
              </w:rPr>
              <w:t xml:space="preserve"> to drive the Deal forecast amount.</w:t>
            </w:r>
          </w:p>
          <w:p>
            <w:pPr>
              <w:pStyle w:val="ListParagraph"/>
              <w:numPr>
                <w:ilvl w:val="1"/>
                <w:numId w:val="1"/>
              </w:numPr>
              <w:spacing w:line="276"/>
            </w:pPr>
            <w:r>
              <w:rPr>
                <w:color w:val="000000"/>
                <w:sz w:val="20"/>
                <w:szCs w:val="20"/>
                <w:rFonts w:ascii="Rubik" w:cs="Rubik" w:eastAsia="Rubik" w:hAnsi="Rubik"/>
              </w:rPr>
              <w:t xml:space="preserve">"It's rare... but a lot of the time the lower one is the one that's gonna win."</w:t>
            </w:r>
          </w:p>
          <w:p>
            <w:pPr>
              <w:pStyle w:val="ListParagraph"/>
              <w:numPr>
                <w:ilvl w:val="1"/>
                <w:numId w:val="1"/>
              </w:numPr>
              <w:spacing w:line="276"/>
            </w:pPr>
            <w:r>
              <w:rPr>
                <w:color w:val="000000"/>
                <w:sz w:val="20"/>
                <w:szCs w:val="20"/>
                <w:rFonts w:ascii="Rubik" w:cs="Rubik" w:eastAsia="Rubik" w:hAnsi="Rubik"/>
              </w:rPr>
              <w:t xml:space="preserve">Prevents tracking an artificially high potential revenue.</w:t>
            </w:r>
          </w:p>
          <w:p>
            <w:pPr>
              <w:pStyle w:val="ListParagraph"/>
              <w:numPr>
                <w:ilvl w:val="1"/>
                <w:numId w:val="1"/>
              </w:numPr>
              <w:spacing w:line="276"/>
            </w:pPr>
            <w:r>
              <w:rPr>
                <w:color w:val="000000"/>
                <w:sz w:val="20"/>
                <w:szCs w:val="20"/>
                <w:rFonts w:ascii="Rubik" w:cs="Rubik" w:eastAsia="Rubik" w:hAnsi="Rubik"/>
              </w:rPr>
              <w:t xml:space="preserve">When a Bid is marked as "Won" (PO received), that amount becomes the definitive Deal Amount.</w:t>
            </w:r>
          </w:p>
          <w:p>
            <w:pPr>
              <w:spacing w:before="360" w:after="120"/>
            </w:pPr>
            <w:r>
              <w:rPr>
                <w:b/>
                <w:bCs/>
                <w:color w:val="000000"/>
                <w:sz w:val="34"/>
                <w:szCs w:val="34"/>
                <w:rFonts w:ascii="Rubik" w:cs="Rubik" w:eastAsia="Rubik" w:hAnsi="Rubik"/>
              </w:rPr>
              <w:t xml:space="preserve">Workflow Standardization</w:t>
            </w:r>
          </w:p>
          <w:p>
            <w:pPr>
              <w:spacing w:before="280" w:after="80"/>
            </w:pPr>
            <w:r>
              <w:rPr>
                <w:b/>
                <w:bCs/>
                <w:color w:val="000000"/>
                <w:sz w:val="26"/>
                <w:szCs w:val="26"/>
                <w:rFonts w:ascii="Rubik" w:cs="Rubik" w:eastAsia="Rubik" w:hAnsi="Rubik"/>
              </w:rPr>
              <w:t xml:space="preserve">Direct vs. Distributor Flow</w:t>
            </w:r>
          </w:p>
          <w:p>
            <w:pPr>
              <w:pStyle w:val="ListParagraph"/>
              <w:numPr>
                <w:ilvl w:val="0"/>
                <w:numId w:val="1"/>
              </w:numPr>
              <w:spacing w:line="276"/>
            </w:pPr>
            <w:r>
              <w:rPr>
                <w:b/>
                <w:bCs/>
                <w:color w:val="000000"/>
                <w:sz w:val="20"/>
                <w:szCs w:val="20"/>
                <w:rFonts w:ascii="Rubik" w:cs="Rubik" w:eastAsia="Rubik" w:hAnsi="Rubik"/>
              </w:rPr>
              <w:t xml:space="preserve">Question</w:t>
            </w:r>
            <w:r>
              <w:rPr>
                <w:color w:val="000000"/>
                <w:sz w:val="20"/>
                <w:szCs w:val="20"/>
                <w:rFonts w:ascii="Rubik" w:cs="Rubik" w:eastAsia="Rubik" w:hAnsi="Rubik"/>
              </w:rPr>
              <w:t xml:space="preserve">: Should direct customer sales (no distributor) also use the Bid object?</w:t>
            </w:r>
          </w:p>
          <w:p>
            <w:pPr>
              <w:pStyle w:val="ListParagraph"/>
              <w:numPr>
                <w:ilvl w:val="0"/>
                <w:numId w:val="1"/>
              </w:numPr>
              <w:spacing w:line="276"/>
            </w:pPr>
            <w:r>
              <w:rPr>
                <w:b/>
                <w:bCs/>
                <w:color w:val="000000"/>
                <w:sz w:val="20"/>
                <w:szCs w:val="20"/>
                <w:rFonts w:ascii="Rubik" w:cs="Rubik" w:eastAsia="Rubik" w:hAnsi="Rubik"/>
              </w:rPr>
              <w:t xml:space="preserve">Decision</w:t>
            </w:r>
            <w:r>
              <w:rPr>
                <w:color w:val="000000"/>
                <w:sz w:val="20"/>
                <w:szCs w:val="20"/>
                <w:rFonts w:ascii="Rubik" w:cs="Rubik" w:eastAsia="Rubik" w:hAnsi="Rubik"/>
              </w:rPr>
              <w:t xml:space="preserve">: </w:t>
            </w:r>
            <w:r>
              <w:rPr>
                <w:b/>
                <w:bCs/>
                <w:color w:val="000000"/>
                <w:sz w:val="20"/>
                <w:szCs w:val="20"/>
                <w:rFonts w:ascii="Rubik" w:cs="Rubik" w:eastAsia="Rubik" w:hAnsi="Rubik"/>
              </w:rPr>
              <w:t xml:space="preserve">Yes</w:t>
            </w:r>
            <w:r>
              <w:rPr>
                <w:color w:val="000000"/>
                <w:sz w:val="20"/>
                <w:szCs w:val="20"/>
                <w:rFonts w:ascii="Rubik" w:cs="Rubik" w:eastAsia="Rubik" w:hAnsi="Rubik"/>
              </w:rPr>
              <w:t xml:space="preserve">.</w:t>
            </w:r>
          </w:p>
          <w:p>
            <w:pPr>
              <w:pStyle w:val="ListParagraph"/>
              <w:numPr>
                <w:ilvl w:val="1"/>
                <w:numId w:val="1"/>
              </w:numPr>
              <w:spacing w:line="276"/>
            </w:pPr>
            <w:r>
              <w:rPr>
                <w:color w:val="000000"/>
                <w:sz w:val="20"/>
                <w:szCs w:val="20"/>
                <w:rFonts w:ascii="Rubik" w:cs="Rubik" w:eastAsia="Rubik" w:hAnsi="Rubik"/>
              </w:rPr>
              <w:t xml:space="preserve">All quotes should follow the same architecture to reduce process exceptions.</w:t>
            </w:r>
          </w:p>
          <w:p>
            <w:pPr>
              <w:pStyle w:val="ListParagraph"/>
              <w:numPr>
                <w:ilvl w:val="1"/>
                <w:numId w:val="1"/>
              </w:numPr>
              <w:spacing w:line="276"/>
            </w:pPr>
            <w:r>
              <w:rPr>
                <w:color w:val="000000"/>
                <w:sz w:val="20"/>
                <w:szCs w:val="20"/>
                <w:rFonts w:ascii="Rubik" w:cs="Rubik" w:eastAsia="Rubik" w:hAnsi="Rubik"/>
              </w:rPr>
              <w:t xml:space="preserve">Even a single direct quote will create a Bid object.</w:t>
            </w:r>
          </w:p>
          <w:p>
            <w:pPr>
              <w:pStyle w:val="ListParagraph"/>
              <w:numPr>
                <w:ilvl w:val="1"/>
                <w:numId w:val="1"/>
              </w:numPr>
              <w:spacing w:line="276"/>
            </w:pPr>
            <w:r>
              <w:rPr>
                <w:color w:val="000000"/>
                <w:sz w:val="20"/>
                <w:szCs w:val="20"/>
                <w:rFonts w:ascii="Rubik" w:cs="Rubik" w:eastAsia="Rubik" w:hAnsi="Rubik"/>
              </w:rPr>
              <w:t xml:space="preserve">"As much as we can keep that standardized... there are fewer exceptions to the process."</w:t>
            </w:r>
          </w:p>
          <w:p>
            <w:pPr>
              <w:spacing w:before="360" w:after="120"/>
            </w:pPr>
            <w:r>
              <w:rPr>
                <w:b/>
                <w:bCs/>
                <w:color w:val="000000"/>
                <w:sz w:val="34"/>
                <w:szCs w:val="34"/>
                <w:rFonts w:ascii="Rubik" w:cs="Rubik" w:eastAsia="Rubik" w:hAnsi="Rubik"/>
              </w:rPr>
              <w:t xml:space="preserve">Quote Management &amp; Revisions</w:t>
            </w:r>
          </w:p>
          <w:p>
            <w:pPr>
              <w:spacing w:before="280" w:after="80"/>
            </w:pPr>
            <w:r>
              <w:rPr>
                <w:b/>
                <w:bCs/>
                <w:color w:val="000000"/>
                <w:sz w:val="26"/>
                <w:szCs w:val="26"/>
                <w:rFonts w:ascii="Rubik" w:cs="Rubik" w:eastAsia="Rubik" w:hAnsi="Rubik"/>
              </w:rPr>
              <w:t xml:space="preserve">Handling Re-quotes</w:t>
            </w:r>
          </w:p>
          <w:p>
            <w:pPr>
              <w:pStyle w:val="ListParagraph"/>
              <w:numPr>
                <w:ilvl w:val="0"/>
                <w:numId w:val="1"/>
              </w:numPr>
              <w:spacing w:line="276"/>
            </w:pPr>
            <w:r>
              <w:rPr>
                <w:b/>
                <w:bCs/>
                <w:color w:val="000000"/>
                <w:sz w:val="20"/>
                <w:szCs w:val="20"/>
                <w:rFonts w:ascii="Rubik" w:cs="Rubik" w:eastAsia="Rubik" w:hAnsi="Rubik"/>
              </w:rPr>
              <w:t xml:space="preserve">Scenario</w:t>
            </w:r>
            <w:r>
              <w:rPr>
                <w:color w:val="000000"/>
                <w:sz w:val="20"/>
                <w:szCs w:val="20"/>
                <w:rFonts w:ascii="Rubik" w:cs="Rubik" w:eastAsia="Rubik" w:hAnsi="Rubik"/>
              </w:rPr>
              <w:t xml:space="preserve">: Customer requests a revised price or part change on an existing quote.</w:t>
            </w:r>
          </w:p>
          <w:p>
            <w:pPr>
              <w:pStyle w:val="ListParagraph"/>
              <w:numPr>
                <w:ilvl w:val="0"/>
                <w:numId w:val="1"/>
              </w:numPr>
              <w:spacing w:line="276"/>
            </w:pPr>
            <w:r>
              <w:rPr>
                <w:b/>
                <w:bCs/>
                <w:color w:val="000000"/>
                <w:sz w:val="20"/>
                <w:szCs w:val="20"/>
                <w:rFonts w:ascii="Rubik" w:cs="Rubik" w:eastAsia="Rubik" w:hAnsi="Rubik"/>
              </w:rPr>
              <w:t xml:space="preserve">Process</w:t>
            </w:r>
            <w:r>
              <w:rPr>
                <w:color w:val="000000"/>
                <w:sz w:val="20"/>
                <w:szCs w:val="20"/>
                <w:rFonts w:ascii="Rubik" w:cs="Rubik" w:eastAsia="Rubik" w:hAnsi="Rubik"/>
              </w:rPr>
              <w:t xml:space="preserve">: Do </w:t>
            </w:r>
            <w:r>
              <w:rPr>
                <w:b/>
                <w:bCs/>
                <w:color w:val="000000"/>
                <w:sz w:val="20"/>
                <w:szCs w:val="20"/>
                <w:rFonts w:ascii="Rubik" w:cs="Rubik" w:eastAsia="Rubik" w:hAnsi="Rubik"/>
              </w:rPr>
              <w:t xml:space="preserve">not</w:t>
            </w:r>
            <w:r>
              <w:rPr>
                <w:color w:val="000000"/>
                <w:sz w:val="20"/>
                <w:szCs w:val="20"/>
                <w:rFonts w:ascii="Rubik" w:cs="Rubik" w:eastAsia="Rubik" w:hAnsi="Rubik"/>
              </w:rPr>
              <w:t xml:space="preserve"> create a new Bid object.</w:t>
            </w:r>
          </w:p>
          <w:p>
            <w:pPr>
              <w:pStyle w:val="ListParagraph"/>
              <w:numPr>
                <w:ilvl w:val="1"/>
                <w:numId w:val="1"/>
              </w:numPr>
              <w:spacing w:line="276"/>
            </w:pPr>
            <w:r>
              <w:rPr>
                <w:color w:val="000000"/>
                <w:sz w:val="20"/>
                <w:szCs w:val="20"/>
                <w:rFonts w:ascii="Rubik" w:cs="Rubik" w:eastAsia="Rubik" w:hAnsi="Rubik"/>
              </w:rPr>
              <w:t xml:space="preserve">Tacton handles versioning (Quote v1 -&gt; v2).</w:t>
            </w:r>
          </w:p>
          <w:p>
            <w:pPr>
              <w:pStyle w:val="ListParagraph"/>
              <w:numPr>
                <w:ilvl w:val="1"/>
                <w:numId w:val="1"/>
              </w:numPr>
              <w:spacing w:line="276"/>
            </w:pPr>
            <w:r>
              <w:rPr>
                <w:color w:val="000000"/>
                <w:sz w:val="20"/>
                <w:szCs w:val="20"/>
                <w:rFonts w:ascii="Rubik" w:cs="Rubik" w:eastAsia="Rubik" w:hAnsi="Rubik"/>
              </w:rPr>
              <w:t xml:space="preserve">The integration should update the </w:t>
            </w:r>
            <w:r>
              <w:rPr>
                <w:i/>
                <w:iCs/>
                <w:color w:val="000000"/>
                <w:sz w:val="20"/>
                <w:szCs w:val="20"/>
                <w:rFonts w:ascii="Rubik" w:cs="Rubik" w:eastAsia="Rubik" w:hAnsi="Rubik"/>
              </w:rPr>
              <w:t xml:space="preserve">existing</w:t>
            </w:r>
            <w:r>
              <w:rPr>
                <w:color w:val="000000"/>
                <w:sz w:val="20"/>
                <w:szCs w:val="20"/>
                <w:rFonts w:ascii="Rubik" w:cs="Rubik" w:eastAsia="Rubik" w:hAnsi="Rubik"/>
              </w:rPr>
              <w:t xml:space="preserve"> Bid object with the new version info and amount.</w:t>
            </w:r>
          </w:p>
          <w:p>
            <w:pPr>
              <w:pStyle w:val="ListParagraph"/>
              <w:numPr>
                <w:ilvl w:val="1"/>
                <w:numId w:val="1"/>
              </w:numPr>
              <w:spacing w:line="276"/>
            </w:pPr>
            <w:r>
              <w:rPr>
                <w:color w:val="000000"/>
                <w:sz w:val="20"/>
                <w:szCs w:val="20"/>
                <w:rFonts w:ascii="Rubik" w:cs="Rubik" w:eastAsia="Rubik" w:hAnsi="Rubik"/>
              </w:rPr>
              <w:t xml:space="preserve">A new Bid object is only for a </w:t>
            </w:r>
            <w:r>
              <w:rPr>
                <w:i/>
                <w:iCs/>
                <w:color w:val="000000"/>
                <w:sz w:val="20"/>
                <w:szCs w:val="20"/>
                <w:rFonts w:ascii="Rubik" w:cs="Rubik" w:eastAsia="Rubik" w:hAnsi="Rubik"/>
              </w:rPr>
              <w:t xml:space="preserve">new</w:t>
            </w:r>
            <w:r>
              <w:rPr>
                <w:color w:val="000000"/>
                <w:sz w:val="20"/>
                <w:szCs w:val="20"/>
                <w:rFonts w:ascii="Rubik" w:cs="Rubik" w:eastAsia="Rubik" w:hAnsi="Rubik"/>
              </w:rPr>
              <w:t xml:space="preserve"> competing quote (e.g., a different distributor).</w:t>
            </w:r>
          </w:p>
          <w:p>
            <w:pPr>
              <w:spacing w:before="280" w:after="80"/>
            </w:pPr>
            <w:r>
              <w:rPr>
                <w:b/>
                <w:bCs/>
                <w:color w:val="000000"/>
                <w:sz w:val="26"/>
                <w:szCs w:val="26"/>
                <w:rFonts w:ascii="Rubik" w:cs="Rubik" w:eastAsia="Rubik" w:hAnsi="Rubik"/>
              </w:rPr>
              <w:t xml:space="preserve">UX Improvement: Embedded Tacton</w:t>
            </w:r>
          </w:p>
          <w:p>
            <w:pPr>
              <w:pStyle w:val="ListParagraph"/>
              <w:numPr>
                <w:ilvl w:val="0"/>
                <w:numId w:val="1"/>
              </w:numPr>
              <w:spacing w:line="276"/>
            </w:pPr>
            <w:r>
              <w:rPr>
                <w:b/>
                <w:bCs/>
                <w:color w:val="000000"/>
                <w:sz w:val="20"/>
                <w:szCs w:val="20"/>
                <w:rFonts w:ascii="Rubik" w:cs="Rubik" w:eastAsia="Rubik" w:hAnsi="Rubik"/>
              </w:rPr>
              <w:t xml:space="preserve">Idea</w:t>
            </w:r>
            <w:r>
              <w:rPr>
                <w:color w:val="000000"/>
                <w:sz w:val="20"/>
                <w:szCs w:val="20"/>
                <w:rFonts w:ascii="Rubik" w:cs="Rubik" w:eastAsia="Rubik" w:hAnsi="Rubik"/>
              </w:rPr>
              <w:t xml:space="preserve">: Embed the Tacton quoting interface directly inside HubSpot using a UI Extension (iframe) to prevent tab-switching.</w:t>
            </w:r>
          </w:p>
          <w:p>
            <w:pPr>
              <w:pStyle w:val="ListParagraph"/>
              <w:numPr>
                <w:ilvl w:val="0"/>
                <w:numId w:val="1"/>
              </w:numPr>
              <w:spacing w:line="276"/>
            </w:pPr>
            <w:r>
              <w:rPr>
                <w:b/>
                <w:bCs/>
                <w:color w:val="000000"/>
                <w:sz w:val="20"/>
                <w:szCs w:val="20"/>
                <w:rFonts w:ascii="Rubik" w:cs="Rubik" w:eastAsia="Rubik" w:hAnsi="Rubik"/>
              </w:rPr>
              <w:t xml:space="preserve">Goal</w:t>
            </w:r>
            <w:r>
              <w:rPr>
                <w:color w:val="000000"/>
                <w:sz w:val="20"/>
                <w:szCs w:val="20"/>
                <w:rFonts w:ascii="Rubik" w:cs="Rubik" w:eastAsia="Rubik" w:hAnsi="Rubik"/>
              </w:rPr>
              <w:t xml:space="preserve">: "Living in HubSpot" experience.</w:t>
            </w:r>
          </w:p>
          <w:p>
            <w:pPr>
              <w:pStyle w:val="ListParagraph"/>
              <w:numPr>
                <w:ilvl w:val="0"/>
                <w:numId w:val="1"/>
              </w:numPr>
              <w:spacing w:line="276"/>
            </w:pPr>
            <w:r>
              <w:rPr>
                <w:b/>
                <w:bCs/>
                <w:color w:val="000000"/>
                <w:sz w:val="20"/>
                <w:szCs w:val="20"/>
                <w:rFonts w:ascii="Rubik" w:cs="Rubik" w:eastAsia="Rubik" w:hAnsi="Rubik"/>
              </w:rPr>
              <w:t xml:space="preserve">Status</w:t>
            </w:r>
            <w:r>
              <w:rPr>
                <w:color w:val="000000"/>
                <w:sz w:val="20"/>
                <w:szCs w:val="20"/>
                <w:rFonts w:ascii="Rubik" w:cs="Rubik" w:eastAsia="Rubik" w:hAnsi="Rubik"/>
              </w:rPr>
              <w:t xml:space="preserve">: Michelle to investigate feasibility.</w:t>
            </w:r>
          </w:p>
          <w:p>
            <w:pPr>
              <w:pStyle w:val="ListParagraph"/>
              <w:numPr>
                <w:ilvl w:val="1"/>
                <w:numId w:val="1"/>
              </w:numPr>
              <w:spacing w:line="276"/>
            </w:pPr>
            <w:r>
              <w:rPr>
                <w:b/>
                <w:bCs/>
                <w:color w:val="000000"/>
                <w:sz w:val="20"/>
                <w:szCs w:val="20"/>
                <w:rFonts w:ascii="Rubik" w:cs="Rubik" w:eastAsia="Rubik" w:hAnsi="Rubik"/>
              </w:rPr>
              <w:t xml:space="preserve">Constraint</w:t>
            </w:r>
            <w:r>
              <w:rPr>
                <w:color w:val="000000"/>
                <w:sz w:val="20"/>
                <w:szCs w:val="20"/>
                <w:rFonts w:ascii="Rubik" w:cs="Rubik" w:eastAsia="Rubik" w:hAnsi="Rubik"/>
              </w:rPr>
              <w:t xml:space="preserve">: Need to check if Tacton security headers allow iframe embedding.</w:t>
            </w:r>
          </w:p>
          <w:p>
            <w:pPr>
              <w:pStyle w:val="ListParagraph"/>
              <w:numPr>
                <w:ilvl w:val="1"/>
                <w:numId w:val="1"/>
              </w:numPr>
              <w:spacing w:line="276"/>
            </w:pPr>
            <w:r>
              <w:rPr>
                <w:b/>
                <w:bCs/>
                <w:color w:val="000000"/>
                <w:sz w:val="20"/>
                <w:szCs w:val="20"/>
                <w:rFonts w:ascii="Rubik" w:cs="Rubik" w:eastAsia="Rubik" w:hAnsi="Rubik"/>
              </w:rPr>
              <w:t xml:space="preserve">Constraint</w:t>
            </w:r>
            <w:r>
              <w:rPr>
                <w:color w:val="000000"/>
                <w:sz w:val="20"/>
                <w:szCs w:val="20"/>
                <w:rFonts w:ascii="Rubik" w:cs="Rubik" w:eastAsia="Rubik" w:hAnsi="Rubik"/>
              </w:rPr>
              <w:t xml:space="preserve">: Authentication (SSO) ensuring the user doesn't have to log in twice repeatedly.</w:t>
            </w:r>
          </w:p>
          <w:p>
            <w:pPr>
              <w:spacing w:before="360" w:after="120"/>
            </w:pPr>
            <w:r>
              <w:rPr>
                <w:b/>
                <w:bCs/>
                <w:color w:val="000000"/>
                <w:sz w:val="34"/>
                <w:szCs w:val="34"/>
                <w:rFonts w:ascii="Rubik" w:cs="Rubik" w:eastAsia="Rubik" w:hAnsi="Rubik"/>
              </w:rPr>
              <w:t xml:space="preserve">Data Integration &amp; Source of Truth</w:t>
            </w:r>
          </w:p>
          <w:p>
            <w:pPr>
              <w:spacing w:before="280" w:after="80"/>
            </w:pPr>
            <w:r>
              <w:rPr>
                <w:b/>
                <w:bCs/>
                <w:color w:val="000000"/>
                <w:sz w:val="26"/>
                <w:szCs w:val="26"/>
                <w:rFonts w:ascii="Rubik" w:cs="Rubik" w:eastAsia="Rubik" w:hAnsi="Rubik"/>
              </w:rPr>
              <w:t xml:space="preserve">SAP &amp; PO Integration</w:t>
            </w:r>
          </w:p>
          <w:p>
            <w:pPr>
              <w:pStyle w:val="ListParagraph"/>
              <w:numPr>
                <w:ilvl w:val="0"/>
                <w:numId w:val="1"/>
              </w:numPr>
              <w:spacing w:line="276"/>
            </w:pPr>
            <w:r>
              <w:rPr>
                <w:b/>
                <w:bCs/>
                <w:color w:val="000000"/>
                <w:sz w:val="20"/>
                <w:szCs w:val="20"/>
                <w:rFonts w:ascii="Rubik" w:cs="Rubik" w:eastAsia="Rubik" w:hAnsi="Rubik"/>
              </w:rPr>
              <w:t xml:space="preserve">Flow</w:t>
            </w:r>
            <w:r>
              <w:rPr>
                <w:color w:val="000000"/>
                <w:sz w:val="20"/>
                <w:szCs w:val="20"/>
                <w:rFonts w:ascii="Rubik" w:cs="Rubik" w:eastAsia="Rubik" w:hAnsi="Rubik"/>
              </w:rPr>
              <w:t xml:space="preserve">: When a PO is received in SAP, it usually references the Quote ID.</w:t>
            </w:r>
          </w:p>
          <w:p>
            <w:pPr>
              <w:pStyle w:val="ListParagraph"/>
              <w:numPr>
                <w:ilvl w:val="0"/>
                <w:numId w:val="1"/>
              </w:numPr>
              <w:spacing w:line="276"/>
            </w:pPr>
            <w:r>
              <w:rPr>
                <w:b/>
                <w:bCs/>
                <w:color w:val="000000"/>
                <w:sz w:val="20"/>
                <w:szCs w:val="20"/>
                <w:rFonts w:ascii="Rubik" w:cs="Rubik" w:eastAsia="Rubik" w:hAnsi="Rubik"/>
              </w:rPr>
              <w:t xml:space="preserve">Future State</w:t>
            </w:r>
            <w:r>
              <w:rPr>
                <w:color w:val="000000"/>
                <w:sz w:val="20"/>
                <w:szCs w:val="20"/>
                <w:rFonts w:ascii="Rubik" w:cs="Rubik" w:eastAsia="Rubik" w:hAnsi="Rubik"/>
              </w:rPr>
              <w:t xml:space="preserve">:</w:t>
            </w:r>
          </w:p>
          <w:p>
            <w:pPr>
              <w:pStyle w:val="ListParagraph"/>
              <w:numPr>
                <w:ilvl w:val="1"/>
                <w:numId w:val="1"/>
              </w:numPr>
              <w:spacing w:line="276"/>
            </w:pPr>
            <w:r>
              <w:rPr>
                <w:color w:val="000000"/>
                <w:sz w:val="20"/>
                <w:szCs w:val="20"/>
                <w:rFonts w:ascii="Rubik" w:cs="Rubik" w:eastAsia="Rubik" w:hAnsi="Rubik"/>
              </w:rPr>
              <w:t xml:space="preserve">Validated that we can link SAP Sales Orders back to HubSpot Bids/Deals using the Quote ID.</w:t>
            </w:r>
          </w:p>
          <w:p>
            <w:pPr>
              <w:pStyle w:val="ListParagraph"/>
              <w:numPr>
                <w:ilvl w:val="1"/>
                <w:numId w:val="1"/>
              </w:numPr>
              <w:spacing w:line="276"/>
            </w:pPr>
            <w:r>
              <w:rPr>
                <w:color w:val="000000"/>
                <w:sz w:val="20"/>
                <w:szCs w:val="20"/>
                <w:rFonts w:ascii="Rubik" w:cs="Rubik" w:eastAsia="Rubik" w:hAnsi="Rubik"/>
              </w:rPr>
              <w:t xml:space="preserve">Ideally, SAP feeds back "Order Received" status/value to HubSpot.</w:t>
            </w:r>
          </w:p>
          <w:p>
            <w:pPr>
              <w:pStyle w:val="ListParagraph"/>
              <w:numPr>
                <w:ilvl w:val="0"/>
                <w:numId w:val="1"/>
              </w:numPr>
              <w:spacing w:line="276"/>
            </w:pPr>
            <w:r>
              <w:rPr>
                <w:b/>
                <w:bCs/>
                <w:color w:val="000000"/>
                <w:sz w:val="20"/>
                <w:szCs w:val="20"/>
                <w:rFonts w:ascii="Rubik" w:cs="Rubik" w:eastAsia="Rubik" w:hAnsi="Rubik"/>
              </w:rPr>
              <w:t xml:space="preserve">Reporting Hierarchy</w:t>
            </w:r>
            <w:r>
              <w:rPr>
                <w:color w:val="000000"/>
                <w:sz w:val="20"/>
                <w:szCs w:val="20"/>
                <w:rFonts w:ascii="Rubik" w:cs="Rubik" w:eastAsia="Rubik" w:hAnsi="Rubik"/>
              </w:rPr>
              <w:t xml:space="preserve">:</w:t>
            </w:r>
          </w:p>
          <w:p>
            <w:pPr>
              <w:pStyle w:val="ListParagraph"/>
              <w:numPr>
                <w:ilvl w:val="1"/>
                <w:numId w:val="1"/>
              </w:numPr>
              <w:spacing w:line="276"/>
            </w:pPr>
            <w:r>
              <w:rPr>
                <w:b/>
                <w:bCs/>
                <w:color w:val="000000"/>
                <w:sz w:val="20"/>
                <w:szCs w:val="20"/>
                <w:rFonts w:ascii="Rubik" w:cs="Rubik" w:eastAsia="Rubik" w:hAnsi="Rubik"/>
              </w:rPr>
              <w:t xml:space="preserve">SAP</w:t>
            </w:r>
            <w:r>
              <w:rPr>
                <w:color w:val="000000"/>
                <w:sz w:val="20"/>
                <w:szCs w:val="20"/>
                <w:rFonts w:ascii="Rubik" w:cs="Rubik" w:eastAsia="Rubik" w:hAnsi="Rubik"/>
              </w:rPr>
              <w:t xml:space="preserve">: Definitive source of truth for Revenue/Orders.</w:t>
            </w:r>
          </w:p>
          <w:p>
            <w:pPr>
              <w:pStyle w:val="ListParagraph"/>
              <w:numPr>
                <w:ilvl w:val="1"/>
                <w:numId w:val="1"/>
              </w:numPr>
              <w:spacing w:line="276"/>
            </w:pPr>
            <w:r>
              <w:rPr>
                <w:b/>
                <w:bCs/>
                <w:color w:val="000000"/>
                <w:sz w:val="20"/>
                <w:szCs w:val="20"/>
                <w:rFonts w:ascii="Rubik" w:cs="Rubik" w:eastAsia="Rubik" w:hAnsi="Rubik"/>
              </w:rPr>
              <w:t xml:space="preserve">HubSpot</w:t>
            </w:r>
            <w:r>
              <w:rPr>
                <w:color w:val="000000"/>
                <w:sz w:val="20"/>
                <w:szCs w:val="20"/>
                <w:rFonts w:ascii="Rubik" w:cs="Rubik" w:eastAsia="Rubik" w:hAnsi="Rubik"/>
              </w:rPr>
              <w:t xml:space="preserve">: Source of truth for Forecasting (before the PO).</w:t>
            </w:r>
          </w:p>
          <w:p>
            <w:pPr>
              <w:spacing w:before="280" w:after="80"/>
            </w:pPr>
            <w:r>
              <w:rPr>
                <w:b/>
                <w:bCs/>
                <w:color w:val="000000"/>
                <w:sz w:val="26"/>
                <w:szCs w:val="26"/>
                <w:rFonts w:ascii="Rubik" w:cs="Rubik" w:eastAsia="Rubik" w:hAnsi="Rubik"/>
              </w:rPr>
              <w:t xml:space="preserve">Commission/Financial Reporting</w:t>
            </w:r>
          </w:p>
          <w:p>
            <w:pPr>
              <w:pStyle w:val="ListParagraph"/>
              <w:numPr>
                <w:ilvl w:val="0"/>
                <w:numId w:val="1"/>
              </w:numPr>
              <w:spacing w:line="276"/>
            </w:pPr>
            <w:r>
              <w:rPr>
                <w:color w:val="000000"/>
                <w:sz w:val="20"/>
                <w:szCs w:val="20"/>
                <w:rFonts w:ascii="Rubik" w:cs="Rubik" w:eastAsia="Rubik" w:hAnsi="Rubik"/>
              </w:rPr>
              <w:t xml:space="preserve">Confirmed that HubSpot is </w:t>
            </w:r>
            <w:r>
              <w:rPr>
                <w:b/>
                <w:bCs/>
                <w:color w:val="000000"/>
                <w:sz w:val="20"/>
                <w:szCs w:val="20"/>
                <w:rFonts w:ascii="Rubik" w:cs="Rubik" w:eastAsia="Rubik" w:hAnsi="Rubik"/>
              </w:rPr>
              <w:t xml:space="preserve">not</w:t>
            </w:r>
            <w:r>
              <w:rPr>
                <w:color w:val="000000"/>
                <w:sz w:val="20"/>
                <w:szCs w:val="20"/>
                <w:rFonts w:ascii="Rubik" w:cs="Rubik" w:eastAsia="Rubik" w:hAnsi="Rubik"/>
              </w:rPr>
              <w:t xml:space="preserve"> the system of record for paying commissions or final financial reporting.</w:t>
            </w:r>
          </w:p>
          <w:p>
            <w:pPr>
              <w:pStyle w:val="ListParagraph"/>
              <w:numPr>
                <w:ilvl w:val="0"/>
                <w:numId w:val="1"/>
              </w:numPr>
              <w:spacing w:line="276"/>
            </w:pPr>
            <w:r>
              <w:rPr>
                <w:color w:val="000000"/>
                <w:sz w:val="20"/>
                <w:szCs w:val="20"/>
                <w:rFonts w:ascii="Rubik" w:cs="Rubik" w:eastAsia="Rubik" w:hAnsi="Rubik"/>
              </w:rPr>
              <w:t xml:space="preserve">This reduces the risk of minor data discrepancies in HubSpot (it allows for "leeway" as long as Forecasting is reasonably accurate).</w:t>
            </w:r>
          </w:p>
          <w:p>
            <w:pPr>
              <w:spacing w:before="360" w:after="120"/>
            </w:pPr>
            <w:r>
              <w:rPr>
                <w:b/>
                <w:bCs/>
                <w:color w:val="000000"/>
                <w:sz w:val="34"/>
                <w:szCs w:val="34"/>
                <w:rFonts w:ascii="Rubik" w:cs="Rubik" w:eastAsia="Rubik" w:hAnsi="Rubik"/>
              </w:rPr>
              <w:t xml:space="preserve">Next Steps</w:t>
            </w:r>
          </w:p>
          <w:p>
            <w:pPr>
              <w:spacing w:before="280" w:after="80"/>
            </w:pPr>
            <w:r>
              <w:rPr>
                <w:b/>
                <w:bCs/>
                <w:color w:val="000000"/>
                <w:sz w:val="26"/>
                <w:szCs w:val="26"/>
                <w:rFonts w:ascii="Rubik" w:cs="Rubik" w:eastAsia="Rubik" w:hAnsi="Rubik"/>
              </w:rPr>
              <w:t xml:space="preserve">Proof of Concept (POC)</w:t>
            </w:r>
          </w:p>
          <w:p>
            <w:pPr>
              <w:pStyle w:val="ListParagraph"/>
              <w:numPr>
                <w:ilvl w:val="0"/>
                <w:numId w:val="1"/>
              </w:numPr>
              <w:spacing w:line="276"/>
            </w:pPr>
            <w:r>
              <w:rPr>
                <w:color w:val="000000"/>
                <w:sz w:val="20"/>
                <w:szCs w:val="20"/>
                <w:rFonts w:ascii="Rubik" w:cs="Rubik" w:eastAsia="Rubik" w:hAnsi="Rubik"/>
              </w:rPr>
              <w:t xml:space="preserve">Michelle to build a functional POC in HubSpot Sandbox to validate the "Distributor Bid" object model.</w:t>
            </w:r>
          </w:p>
          <w:p>
            <w:pPr>
              <w:pStyle w:val="ListParagraph"/>
              <w:numPr>
                <w:ilvl w:val="0"/>
                <w:numId w:val="1"/>
              </w:numPr>
              <w:spacing w:line="276"/>
            </w:pPr>
            <w:r>
              <w:rPr>
                <w:color w:val="000000"/>
                <w:sz w:val="20"/>
                <w:szCs w:val="20"/>
                <w:rFonts w:ascii="Rubik" w:cs="Rubik" w:eastAsia="Rubik" w:hAnsi="Rubik"/>
              </w:rPr>
              <w:t xml:space="preserve">Key goal: Demonstrate the workflow to the Taoglas team to ensure it doesn't add "20 steps" for sales reps.</w:t>
            </w:r>
          </w:p>
          <w:p>
            <w:pPr>
              <w:pStyle w:val="ListParagraph"/>
              <w:numPr>
                <w:ilvl w:val="0"/>
                <w:numId w:val="1"/>
              </w:numPr>
              <w:spacing w:line="276"/>
            </w:pPr>
            <w:r>
              <w:rPr>
                <w:color w:val="000000"/>
                <w:sz w:val="20"/>
                <w:szCs w:val="20"/>
                <w:rFonts w:ascii="Rubik" w:cs="Rubik" w:eastAsia="Rubik" w:hAnsi="Rubik"/>
              </w:rPr>
              <w:t xml:space="preserve">Validating automating the creation of the Bid object so it's seamless.</w:t>
            </w:r>
          </w:p>
        </w:tc>
      </w:tr>
    </w:tbl>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Rubik" w:cs="Rubik" w:eastAsia="Rubik" w:hAnsi="Rubik"/>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_yhnwmvj9q_-nrkworka" Type="http://schemas.openxmlformats.org/officeDocument/2006/relationships/hyperlink" Target="https://app.avoma.com/meetings/87bc7a76-acb7-4b1d-944a-0fd5c4026442" TargetMode="External"/><Relationship Id="rId6" Type="http://schemas.openxmlformats.org/officeDocument/2006/relationships/image" Target="media/jbrwrc4tzgfg5hegmrmba.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2026-01-12T16:39:05.279Z</dcterms:created>
  <dcterms:modified xsi:type="dcterms:W3CDTF">2026-01-12T16:39:05.289Z</dcterms:modified>
</cp:coreProperties>
</file>

<file path=docProps/custom.xml><?xml version="1.0" encoding="utf-8"?>
<Properties xmlns="http://schemas.openxmlformats.org/officeDocument/2006/custom-properties" xmlns:vt="http://schemas.openxmlformats.org/officeDocument/2006/docPropsVTypes"/>
</file>