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3d6267f824d1ab9ffb6ab40a09cdcdfbcf05fb7"/>
    <w:p>
      <w:pPr>
        <w:pStyle w:val="Heading1"/>
      </w:pPr>
      <w:r>
        <w:t xml:space="preserve">Retail Store Display Management App — Requirements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Problem statement (Design/Architecture Sprint)</w:t>
      </w:r>
      <w:r>
        <w:br/>
      </w:r>
      <w:r>
        <w:rPr>
          <w:bCs/>
          <w:b/>
        </w:rPr>
        <w:t xml:space="preserve">Tags:</w:t>
      </w:r>
      <w:r>
        <w:t xml:space="preserve"> </w:t>
      </w:r>
      <w:r>
        <w:t xml:space="preserve">[REQ-F-XXX] Functional · [REQ-NF-XXX] Non-Functional · [ARCH-CHAR-XXX] Architecture Characteristic</w:t>
      </w:r>
    </w:p>
    <w:p>
      <w:r>
        <w:pict>
          <v:rect style="width:0;height:1.5pt" o:hralign="center" o:hrstd="t" o:hr="t"/>
        </w:pict>
      </w:r>
    </w:p>
    <w:bookmarkStart w:id="20" w:name="functional-requirements"/>
    <w:p>
      <w:pPr>
        <w:pStyle w:val="Heading2"/>
      </w:pPr>
      <w:r>
        <w:t xml:space="preserve">1. 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73"/>
        <w:gridCol w:w="3813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[REQ-F-001]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provide a multi-tenant SaaS offering with Web and Mobile (Android &amp; iOS) front ends.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[REQ-F-002]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store admin I SHALL be able to maintain a list of products and inventory (CRUD).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[REQ-F-003]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store admin I SHALL be able to add new products by fetching product details using Gen AI (fully or partially).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[REQ-F-004]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store admin I SHALL be able to generate an initial product list based on type of store and guided questionnaires, using synthetic data and/or Gen AI.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[REQ-F-005]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store admin I SHALL be able to pair the software with product scanners that stream data for inventory additions and deletions.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[REQ-F-006]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consume data from product scanners to maintain inventory (streaming); POC may use synthetic data for streams.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[REQ-F-007]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store admin I SHALL be able to pair with main door scanners that stream footfalls with attributes (e.g. Male/Female, approximate age).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[REQ-F-008]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consume data from main door scanners and use footfall intelligence in designing store displays.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[REQ-F-009]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store admin I SHALL be able to create and maintain store display configuration along with visualization.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[REQ-F-010]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store admin I SHALL be able to create a new display configuration weekly or ad hoc, driven by events data from Gen AI, last week footfall data, and historical sales (Gen AI or own DB); configuration MAY be driven by an LLM or custom engine.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[REQ-F-011]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support multi-language (initial target: India; long-term: worldwide).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[REQ-F-012]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support Android and iOS mobile clients.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[REQ-F-013]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support self-service deployment, trial, and purchase (Go To Market).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[REQ-F-014]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support integration with ERPs and CRMs; not critical for first few releases.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non-functional-requirements"/>
    <w:p>
      <w:pPr>
        <w:pStyle w:val="Heading2"/>
      </w:pPr>
      <w:r>
        <w:t xml:space="preserve">2. Non-Functional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2475"/>
        <w:gridCol w:w="1980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[REQ-NF-001]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deployable on GCP initially; support for on-prem and multi-cloud (Azure, AWS) without re-architecture.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[REQ-NF-002]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tier viable for price-sensitive small stores (B2B segment).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[REQ-NF-003]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 AI and cloud spend bounded to enable cost-effective trials and low ongoing cost per tenant.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[REQ-NF-004]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and mobile UI usable by non-technical store admins (task completion without dedicated training).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[REQ-NF-005]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100 tenants (6 months post-Beta), 1,000 (next 6 months), 10,000 (following year); infra scales without redesign.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[REQ-NF-006]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achievable via self-service; minimal manual setup.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[REQ-NF-007]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OEM-friendly; integration points for ERPs and CRMs designed in; not mandatory for first releases.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[REQ-NF-008]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ingestion from product scanners and main door scanners; POC may use synthetic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[REQ-NF-009]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engine (e.g. Feldera Incremental Compute Engine) used for data pipelines and computation.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architectural-characteristics"/>
    <w:p>
      <w:pPr>
        <w:pStyle w:val="Heading2"/>
      </w:pPr>
      <w:r>
        <w:t xml:space="preserve">3. Architectural Characteristics</w:t>
      </w:r>
    </w:p>
    <w:bookmarkStart w:id="22" w:name="full-list-7"/>
    <w:p>
      <w:pPr>
        <w:pStyle w:val="Heading3"/>
      </w:pPr>
      <w:r>
        <w:t xml:space="preserve">3.1 Full List (7)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21"/>
        <w:gridCol w:w="4087"/>
        <w:gridCol w:w="2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[ARCH-CHAR-001]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100 → 10,000 tenants and future international expansion; elastic scaling and capacity planning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[ARCH-CHAR-002]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to SaaS; tenant isolation, config, and fair resource usage.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[ARCH-CHAR-003]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Price-sensitive B2B; low-cost trials and sustainable unit economics.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[ARCH-CHAR-004]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systems: product/door scanners, Gen AI, ERPs/CRMs, analytics (e.g. Feldera); clear APIs and adapters.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[ARCH-CHAR-005]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users are non-technical store admins; adoption and support cost depend on UX.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[ARCH-CHAR-006]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Portability (cloud-agnostic)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GCP first, then on-prem and Azure/AWS; OEM and deployment flexibility.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[ARCH-CHAR-007]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&amp; data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 multi-tenant; tenant data isolation, access control, and compliance (India, then global).</w:t>
            </w:r>
          </w:p>
        </w:tc>
      </w:tr>
    </w:tbl>
    <w:bookmarkEnd w:id="22"/>
    <w:bookmarkStart w:id="23" w:name="top-3-with-trade-off-analysis"/>
    <w:p>
      <w:pPr>
        <w:pStyle w:val="Heading3"/>
      </w:pPr>
      <w:r>
        <w:t xml:space="preserve">3.2 Top 3 with Trade-Off Analysis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688"/>
        <w:gridCol w:w="2754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Trade-off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[ARCH-CHAR-001]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Benefit:</w:t>
            </w:r>
            <w:r>
              <w:t xml:space="preserve"> </w:t>
            </w:r>
            <w:r>
              <w:t xml:space="preserve">Supports growth targets and future international scale without re-architecture.</w:t>
            </w:r>
            <w:r>
              <w:t xml:space="preserve"> </w:t>
            </w:r>
            <w:r>
              <w:rPr>
                <w:bCs/>
                <w:b/>
              </w:rPr>
              <w:t xml:space="preserve">Trade-off:</w:t>
            </w:r>
            <w:r>
              <w:t xml:space="preserve"> </w:t>
            </w:r>
            <w:r>
              <w:t xml:space="preserve">May increase upfront complexity (e.g. stateless services, horizontal scaling, data partitioning) and some latency/cost vs. a single-region monolith.</w:t>
            </w:r>
            <w:r>
              <w:t xml:space="preserve"> </w:t>
            </w:r>
            <w:r>
              <w:rPr>
                <w:bCs/>
                <w:b/>
              </w:rPr>
              <w:t xml:space="preserve">Decision:</w:t>
            </w:r>
            <w:r>
              <w:t xml:space="preserve"> </w:t>
            </w:r>
            <w:r>
              <w:t xml:space="preserve">Accept; growth targets and Series A roadmap make scalability non-negotiable.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[ARCH-CHAR-003]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 efficiency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Benefit:</w:t>
            </w:r>
            <w:r>
              <w:t xml:space="preserve"> </w:t>
            </w:r>
            <w:r>
              <w:t xml:space="preserve">Enables viable pricing for small stores, low CAC, and sustainable unit economics.</w:t>
            </w:r>
            <w:r>
              <w:t xml:space="preserve"> </w:t>
            </w:r>
            <w:r>
              <w:rPr>
                <w:bCs/>
                <w:b/>
              </w:rPr>
              <w:t xml:space="preserve">Trade-off:</w:t>
            </w:r>
            <w:r>
              <w:t xml:space="preserve"> </w:t>
            </w:r>
            <w:r>
              <w:t xml:space="preserve">Constrains choice of stack (e.g. managed vs. self-hosted), Gen AI usage patterns, and feature scope; may delay some</w:t>
            </w:r>
            <w:r>
              <w:t xml:space="preserve"> </w:t>
            </w:r>
            <w:r>
              <w:t xml:space="preserve">“</w:t>
            </w:r>
            <w:r>
              <w:t xml:space="preserve">nice-to-have</w:t>
            </w:r>
            <w:r>
              <w:t xml:space="preserve">”</w:t>
            </w:r>
            <w:r>
              <w:t xml:space="preserve"> </w:t>
            </w:r>
            <w:r>
              <w:t xml:space="preserve">features.</w:t>
            </w:r>
            <w:r>
              <w:t xml:space="preserve"> </w:t>
            </w:r>
            <w:r>
              <w:rPr>
                <w:bCs/>
                <w:b/>
              </w:rPr>
              <w:t xml:space="preserve">Decision:</w:t>
            </w:r>
            <w:r>
              <w:t xml:space="preserve"> </w:t>
            </w:r>
            <w:r>
              <w:t xml:space="preserve">Accept; business model depends on cost-effective trials and operations.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[ARCH-CHAR-002]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Multi-tenancy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Benefit:</w:t>
            </w:r>
            <w:r>
              <w:t xml:space="preserve"> </w:t>
            </w:r>
            <w:r>
              <w:t xml:space="preserve">Correct SaaS foundation; isolation, security, and shared infra for cost efficiency.</w:t>
            </w:r>
            <w:r>
              <w:t xml:space="preserve"> </w:t>
            </w:r>
            <w:r>
              <w:rPr>
                <w:bCs/>
                <w:b/>
              </w:rPr>
              <w:t xml:space="preserve">Trade-off:</w:t>
            </w:r>
            <w:r>
              <w:t xml:space="preserve"> </w:t>
            </w:r>
            <w:r>
              <w:t xml:space="preserve">Touches data model, auth, and ops; can conflict with portability if tenant model is too cloud-specific.</w:t>
            </w:r>
            <w:r>
              <w:t xml:space="preserve"> </w:t>
            </w:r>
            <w:r>
              <w:rPr>
                <w:bCs/>
                <w:b/>
              </w:rPr>
              <w:t xml:space="preserve">Decision:</w:t>
            </w:r>
            <w:r>
              <w:t xml:space="preserve"> </w:t>
            </w:r>
            <w:r>
              <w:t xml:space="preserve">Accept; getting tenant boundaries right early avoids costly refactors and supports OEM/multi-cloud.</w:t>
            </w:r>
          </w:p>
        </w:tc>
      </w:tr>
    </w:tbl>
    <w:bookmarkEnd w:id="23"/>
    <w:bookmarkStart w:id="24" w:name="trade-off-summary"/>
    <w:p>
      <w:pPr>
        <w:pStyle w:val="Heading3"/>
      </w:pPr>
      <w:r>
        <w:t xml:space="preserve">3.3 Trade-Off Summary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Scalability vs. Simplicity:</w:t>
      </w:r>
      <w:r>
        <w:t xml:space="preserve"> </w:t>
      </w:r>
      <w:r>
        <w:t xml:space="preserve">Prioritizing scalability implies distributed/elastic design and operational overhead; justified by growth and international plans.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Cost efficiency vs. Feature richness / flexibility:</w:t>
      </w:r>
      <w:r>
        <w:t xml:space="preserve"> </w:t>
      </w:r>
      <w:r>
        <w:t xml:space="preserve">Tighter cost controls may limit premium integrations or heavy Gen AI use; justified by segment and GTM.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Multi-tenancy vs. Portability:</w:t>
      </w:r>
      <w:r>
        <w:t xml:space="preserve"> </w:t>
      </w:r>
      <w:r>
        <w:t xml:space="preserve">Tenant model and isolation patterns must be designed so they are not tied to a single cloud; document in ADRs to keep both [ARCH-CHAR-002] and [ARCH-CHAR-006] viable.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version: 1.1 — Extracted from problem statement; IDs use [REQ-F-XXX], [REQ-NF-XXX], [ARCH-CHAR-XXX].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2026-03-05T11:47:58Z</dcterms:created>
  <dcterms:modified xsi:type="dcterms:W3CDTF">2026-03-05T11:47:58Z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