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Security Policy</w:t>
      </w:r>
    </w:p>
    <w:p>
      <w:pPr>
        <w:pStyle w:val="Heading2"/>
      </w:pPr>
      <w:r>
        <w:t>1. Password Requirements</w:t>
      </w:r>
    </w:p>
    <w:p>
      <w:r>
        <w:t>All company accounts require passwords of at least 12 characters, including uppercase, lowercase, numbers, and a special character. Passwords must be changed every 90 days and may not be reused for the last 5 password cycles.</w:t>
      </w:r>
    </w:p>
    <w:p>
      <w:pPr>
        <w:pStyle w:val="Heading2"/>
      </w:pPr>
      <w:r>
        <w:t>2. Multi-Factor Authentication</w:t>
      </w:r>
    </w:p>
    <w:p>
      <w:r>
        <w:t>Multi-factor authentication (MFA) is mandatory for all systems that store customer data, including email, VPN, and cloud infrastructure consoles.</w:t>
      </w:r>
    </w:p>
    <w:p>
      <w:pPr>
        <w:pStyle w:val="Heading2"/>
      </w:pPr>
      <w:r>
        <w:t>3. Device Security</w:t>
      </w:r>
    </w:p>
    <w:p>
      <w:r>
        <w:t>Company laptops must have full-disk encryption enabled and an approved endpoint protection agent installed before being granted network access. Personal devices used for work (BYOD) must be enrolled in the mobile device management (MDM) system.</w:t>
      </w:r>
    </w:p>
    <w:p>
      <w:pPr>
        <w:pStyle w:val="Heading2"/>
      </w:pPr>
      <w:r>
        <w:t>4. Data Classification</w:t>
      </w:r>
    </w:p>
    <w:p>
      <w:r>
        <w:t>Data is classified as Public, Internal, Confidential, or Restricted. Confidential and Restricted data may not be stored on personal devices or shared outside the company without written approval from the Data Protection Officer.</w:t>
      </w:r>
    </w:p>
    <w:p>
      <w:pPr>
        <w:pStyle w:val="Heading2"/>
      </w:pPr>
      <w:r>
        <w:t>5. Incident Reporting</w:t>
      </w:r>
    </w:p>
    <w:p>
      <w:r>
        <w:t>Any suspected security incident, including phishing emails or lost devices, must be reported to the security team within 1 hour of discovery via the #security-incidents channel or security@company.com.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