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200"/>
        <w:jc w:val="center"/>
      </w:pPr>
      <w:r>
        <w:rPr>
          <w:rFonts w:ascii="Arial" w:cs="Arial" w:eastAsia="Arial" w:hAnsi="Arial"/>
          <w:b/>
          <w:bCs/>
          <w:color w:val="1F4E79"/>
          <w:sz w:val="52"/>
          <w:szCs w:val="52"/>
        </w:rPr>
        <w:t xml:space="preserve">DealLens AI-Driven M&amp;A Assessment</w:t>
      </w:r>
    </w:p>
    <w:p>
      <w:pPr>
        <w:spacing w:after="100"/>
        <w:jc w:val="center"/>
      </w:pPr>
      <w:r>
        <w:rPr>
          <w:rFonts w:ascii="Arial" w:cs="Arial" w:eastAsia="Arial" w:hAnsi="Arial"/>
          <w:b w:val="false"/>
          <w:bCs w:val="false"/>
          <w:color w:val="6B7280"/>
          <w:sz w:val="32"/>
          <w:szCs w:val="32"/>
        </w:rPr>
        <w:t xml:space="preserve">System Architecture &amp; Data Model</w:t>
      </w:r>
    </w:p>
    <w:p>
      <w:pPr>
        <w:spacing w:after="600"/>
        <w:jc w:val="center"/>
      </w:pPr>
      <w:r>
        <w:rPr>
          <w:rFonts w:ascii="Arial" w:cs="Arial" w:eastAsia="Arial" w:hAnsi="Arial"/>
          <w:color w:val="6B7280"/>
          <w:sz w:val="26"/>
          <w:szCs w:val="26"/>
        </w:rPr>
        <w:t xml:space="preserve">Technical Reference Document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2E75B6" w:sz="1"/>
              <w:left w:val="single" w:color="2E75B6" w:sz="1"/>
              <w:bottom w:val="single" w:color="2E75B6" w:sz="1"/>
              <w:right w:val="single" w:color="2E75B6" w:sz="1"/>
            </w:tcBorders>
            <w:shd w:fill="EBF3FB" w:val="clear"/>
            <w:tcMar>
              <w:top w:type="dxa" w:w="200"/>
              <w:left w:type="dxa" w:w="300"/>
              <w:bottom w:type="dxa" w:w="200"/>
              <w:right w:type="dxa" w:w="300"/>
            </w:tcMar>
          </w:tcPr>
          <w:p>
            <w:pPr>
              <w:jc w:val="center"/>
            </w:pPr>
            <w:r>
              <w:rPr>
                <w:rFonts w:ascii="Arial" w:cs="Arial" w:eastAsia="Arial" w:hAnsi="Arial"/>
                <w:color w:val="2E75B6"/>
                <w:sz w:val="20"/>
                <w:szCs w:val="20"/>
              </w:rPr>
              <w:t xml:space="preserve">Repository:  hudasaleh97188 / Al-Driven-M-A-Assessment-System</w:t>
            </w:r>
          </w:p>
          <w:p>
            <w:pPr>
              <w:spacing w:before="80"/>
              <w:jc w:val="center"/>
            </w:pPr>
            <w:r>
              <w:rPr>
                <w:rFonts w:ascii="Arial" w:cs="Arial" w:eastAsia="Arial" w:hAnsi="Arial"/>
                <w:color w:val="6B7280"/>
                <w:sz w:val="20"/>
                <w:szCs w:val="20"/>
              </w:rPr>
              <w:t xml:space="preserve">Scope:  3-Stage Pipeline · Financial Ratios · Peer Scoring · UI Mapping</w:t>
            </w:r>
          </w:p>
        </w:tc>
      </w:tr>
    </w:tbl>
    <w:p>
      <w:pPr>
        <w:spacing w:after="800"/>
      </w:pPr>
      <w:r>
        <w:t xml:space="preserve"/>
      </w:r>
    </w:p>
    <w:p>
      <w:pPr>
        <w:jc w:val="center"/>
      </w:pPr>
      <w:r>
        <w:rPr>
          <w:rFonts w:ascii="Arial" w:cs="Arial" w:eastAsia="Arial" w:hAnsi="Arial"/>
          <w:color w:val="6B7280"/>
          <w:sz w:val="22"/>
          <w:szCs w:val="22"/>
        </w:rPr>
        <w:t xml:space="preserve">March 2025</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before="320" w:after="160"/>
      </w:pPr>
      <w:r>
        <w:rPr>
          <w:rFonts w:ascii="Arial" w:cs="Arial" w:eastAsia="Arial" w:hAnsi="Arial"/>
          <w:b/>
          <w:bCs/>
          <w:color w:val="1F4E79"/>
          <w:sz w:val="34"/>
          <w:szCs w:val="34"/>
        </w:rPr>
        <w:t xml:space="preserve">1.  System Overview</w:t>
      </w:r>
    </w:p>
    <w:p>
      <w:pPr>
        <w:spacing w:after="100"/>
      </w:pPr>
      <w:r>
        <w:rPr>
          <w:rFonts w:ascii="Arial" w:cs="Arial" w:eastAsia="Arial" w:hAnsi="Arial"/>
          <w:b w:val="false"/>
          <w:bCs w:val="false"/>
          <w:color w:val="1F2937"/>
          <w:sz w:val="20"/>
          <w:szCs w:val="20"/>
        </w:rPr>
        <w:t xml:space="preserve">DealLens is a three-stage, AI-powered M&amp;A due-diligence platform. Users upload annual reports (PDF, PPTX, XLSX, or CSV) for a target company, and the system automatically extracts, enriches, and scores the company against a standard set of M&amp;A attractiveness criteria. The pipeline uses Google Gemini models at each stage and stores results in a PostgreSQL database; the React/TypeScript frontend then computes derived financial ratios client-side and renders all information across three dedicated pages.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3FB" w:sz="1"/>
              <w:left w:val="single" w:color="EBF3FB" w:sz="1"/>
              <w:bottom w:val="single" w:color="EBF3FB" w:sz="1"/>
              <w:right w:val="single" w:color="EBF3FB" w:sz="1"/>
            </w:tcBorders>
            <w:shd w:fill="EBF3FB" w:val="clear"/>
            <w:tcMar>
              <w:top w:type="dxa" w:w="100"/>
              <w:left w:type="dxa" w:w="160"/>
              <w:bottom w:type="dxa" w:w="100"/>
              <w:right w:type="dxa" w:w="160"/>
            </w:tcMar>
          </w:tcPr>
          <w:p>
            <w:r>
              <w:rPr>
                <w:rFonts w:ascii="Arial" w:cs="Arial" w:eastAsia="Arial" w:hAnsi="Arial"/>
                <w:b/>
                <w:bCs/>
                <w:color w:val="1F4E79"/>
                <w:sz w:val="20"/>
                <w:szCs w:val="20"/>
              </w:rPr>
              <w:t xml:space="preserve">Pipeline summary:  Stage 1 (PDF Extraction) → Stage 2 (Web Enrichment + IT) → Stage 3 (Macro / Competitive / Management) → Ratio Computation → Peer Rating Scoring</w:t>
            </w:r>
          </w:p>
        </w:tc>
      </w:tr>
    </w:tbl>
    <w:p>
      <w:pPr>
        <w:spacing w:after="200"/>
      </w:pPr>
      <w:r>
        <w:t xml:space="preserve"/>
      </w:r>
    </w:p>
    <w:p>
      <w:pPr>
        <w:pStyle w:val="Heading1"/>
        <w:pBdr>
          <w:bottom w:val="single" w:color="2E75B6" w:sz="8" w:space="4"/>
        </w:pBdr>
        <w:spacing w:before="320" w:after="160"/>
      </w:pPr>
      <w:r>
        <w:rPr>
          <w:rFonts w:ascii="Arial" w:cs="Arial" w:eastAsia="Arial" w:hAnsi="Arial"/>
          <w:b/>
          <w:bCs/>
          <w:color w:val="1F4E79"/>
          <w:sz w:val="34"/>
          <w:szCs w:val="34"/>
        </w:rPr>
        <w:t xml:space="preserve">2.  Stage 1 – PDF / Document Extraction</w:t>
      </w:r>
    </w:p>
    <w:p>
      <w:pPr>
        <w:pStyle w:val="Heading2"/>
        <w:spacing w:before="240" w:after="100"/>
      </w:pPr>
      <w:r>
        <w:rPr>
          <w:rFonts w:ascii="Arial" w:cs="Arial" w:eastAsia="Arial" w:hAnsi="Arial"/>
          <w:b/>
          <w:bCs/>
          <w:color w:val="2E75B6"/>
          <w:sz w:val="26"/>
          <w:szCs w:val="26"/>
        </w:rPr>
        <w:t xml:space="preserve">2.1  Stage Purpose &amp; Model</w:t>
      </w:r>
    </w:p>
    <w:p>
      <w:pPr>
        <w:spacing w:after="100"/>
      </w:pPr>
      <w:r>
        <w:rPr>
          <w:rFonts w:ascii="Arial" w:cs="Arial" w:eastAsia="Arial" w:hAnsi="Arial"/>
          <w:b w:val="false"/>
          <w:bCs w:val="false"/>
          <w:color w:val="1F2937"/>
          <w:sz w:val="20"/>
          <w:szCs w:val="20"/>
        </w:rPr>
        <w:t xml:space="preserve">Stage 1 is the foundation of the pipeline. It ingests the raw text from uploaded documents (annual reports, financial statements, presentations, spreadsheets) and performs a forensic extraction of every structured data point needed for downstream analysis. No internet access is used at this stage — the model works exclusively from the uploaded documents.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FAE5" w:sz="1"/>
              <w:left w:val="single" w:color="D1FAE5" w:sz="1"/>
              <w:bottom w:val="single" w:color="D1FAE5" w:sz="1"/>
              <w:right w:val="single" w:color="D1FAE5" w:sz="1"/>
            </w:tcBorders>
            <w:shd w:fill="D1FAE5" w:val="clear"/>
            <w:tcMar>
              <w:top w:type="dxa" w:w="100"/>
              <w:left w:type="dxa" w:w="160"/>
              <w:bottom w:type="dxa" w:w="100"/>
              <w:right w:type="dxa" w:w="160"/>
            </w:tcMar>
          </w:tcPr>
          <w:p>
            <w:r>
              <w:rPr>
                <w:rFonts w:ascii="Arial" w:cs="Arial" w:eastAsia="Arial" w:hAnsi="Arial"/>
                <w:b w:val="false"/>
                <w:bCs w:val="false"/>
                <w:color w:val="064E3B"/>
                <w:sz w:val="20"/>
                <w:szCs w:val="20"/>
              </w:rPr>
              <w:t xml:space="preserve">Model: Gemini 2.0 / 3.x Pro  |  Input: Uploaded PDF / PPTX / CSV / XLSX text  |  Output: Structured JSON (Stage 1 schema)</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2.2  Critical Prompt Instruction — Unit Normalisation</w:t>
      </w:r>
    </w:p>
    <w:p>
      <w:pPr>
        <w:spacing w:after="100"/>
      </w:pPr>
      <w:r>
        <w:rPr>
          <w:rFonts w:ascii="Arial" w:cs="Arial" w:eastAsia="Arial" w:hAnsi="Arial"/>
          <w:b w:val="false"/>
          <w:bCs w:val="false"/>
          <w:color w:val="1F2937"/>
          <w:sz w:val="20"/>
          <w:szCs w:val="20"/>
        </w:rPr>
        <w:t xml:space="preserve">A key pre-processing rule instructs the model to detect the reporting scale (thousands, millions, billions) used in each document section and multiply all extracted values to their true base currency units before outputting them. This prevents downstream calculation errors when companies report in "AED thousands" vs. "USD millions".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00"/>
              <w:left w:type="dxa" w:w="160"/>
              <w:bottom w:type="dxa" w:w="100"/>
              <w:right w:type="dxa" w:w="160"/>
            </w:tcMar>
          </w:tcPr>
          <w:p>
            <w:r>
              <w:rPr>
                <w:rFonts w:ascii="Arial" w:cs="Arial" w:eastAsia="Arial" w:hAnsi="Arial"/>
                <w:b w:val="false"/>
                <w:bCs w:val="false"/>
                <w:color w:val="B45309"/>
                <w:sz w:val="20"/>
                <w:szCs w:val="20"/>
              </w:rPr>
              <w:t xml:space="preserve">Example: If the report states "Revenue: 24,690 (in thousands of AED)", the model must output 24,690,000. The "currency" field must contain only the ISO 4217 code (e.g., "AED"), with no scale suffix.</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2.3  Section 1 — Company Overview Data Points</w:t>
      </w:r>
    </w:p>
    <w:p>
      <w:pPr>
        <w:spacing w:after="100"/>
      </w:pPr>
      <w:r>
        <w:rPr>
          <w:rFonts w:ascii="Arial" w:cs="Arial" w:eastAsia="Arial" w:hAnsi="Arial"/>
          <w:b w:val="false"/>
          <w:bCs w:val="false"/>
          <w:color w:val="1F2937"/>
          <w:sz w:val="20"/>
          <w:szCs w:val="20"/>
        </w:rPr>
        <w:t xml:space="preserve">The following overview fields are extracted once, based on the most recent year of data available in the document.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900"/>
        <w:gridCol w:w="2760"/>
      </w:tblGrid>
      <w:tr>
        <w:trPr>
          <w:tblHeader/>
        </w:trPr>
        <w:tc>
          <w:tcPr>
            <w:tcW w:type="dxa" w:w="32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Field / Data Point</w:t>
            </w:r>
          </w:p>
        </w:tc>
        <w:tc>
          <w:tcPr>
            <w:tcW w:type="dxa" w:w="2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How Collected (Prompt Reference)</w:t>
            </w:r>
          </w:p>
        </w:tc>
        <w:tc>
          <w:tcPr>
            <w:tcW w:type="dxa" w:w="9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76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Page /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Company Name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"Determine the Company Name"</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All pages — displayed in the top navigation header and page title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Currency (ISO code)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unit normalisation block — identify scale and output ISO code only</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shown next to metric values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Description of Products &amp; Services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company_overview.description_of_products_and_services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"Product Offerings &amp; Market Reach" section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Countries of Operation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"active, revenue-generating entities, branches, or licensed operations only"</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stat card "Countries" and Geo-View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Management Team (CEO, CFO, CTO, CRO)</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"Focus strictly on CEO, CFO, CTO, and CRO (or Head of Risk)"</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"Management Quality" section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Shareholder Structure (name + % ownership)</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company_overview.shareholder_structure</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donut chart / shareholder list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Strategic Partners (IFIs, tech partners)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"IFIs: World Bank, IFC, EBRD; major tech/funding partners"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"Strategic Partners" section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Revenue by Country</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revenue_by_country — one entry per country in countries_of_operation</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revenue bar chart per country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Number of Branches (physical only)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"physical only, exclude POS or agents"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stat card "Branches"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Number of Employees / FTEs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operational_scale.number_of_employees</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stat card "Employees"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Number of Customers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operational_scale.number_of_customers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stat card "Customers"</w:t>
            </w:r>
          </w:p>
        </w:tc>
      </w:tr>
    </w:tbl>
    <w:p>
      <w:pPr>
        <w:spacing w:after="200"/>
      </w:pPr>
      <w:r>
        <w:t xml:space="preserve"/>
      </w:r>
    </w:p>
    <w:p>
      <w:pPr>
        <w:pStyle w:val="Heading2"/>
        <w:spacing w:before="240" w:after="100"/>
      </w:pPr>
      <w:r>
        <w:rPr>
          <w:rFonts w:ascii="Arial" w:cs="Arial" w:eastAsia="Arial" w:hAnsi="Arial"/>
          <w:b/>
          <w:bCs/>
          <w:color w:val="2E75B6"/>
          <w:sz w:val="26"/>
          <w:szCs w:val="26"/>
        </w:rPr>
        <w:t xml:space="preserve">2.4  Section 1 — Financial Health Data Points (per year)</w:t>
      </w:r>
    </w:p>
    <w:p>
      <w:pPr>
        <w:spacing w:after="100"/>
      </w:pPr>
      <w:r>
        <w:rPr>
          <w:rFonts w:ascii="Arial" w:cs="Arial" w:eastAsia="Arial" w:hAnsi="Arial"/>
          <w:b w:val="false"/>
          <w:bCs w:val="false"/>
          <w:color w:val="1F2937"/>
          <w:sz w:val="20"/>
          <w:szCs w:val="20"/>
        </w:rPr>
        <w:t xml:space="preserve">The following financial metrics are extracted for every year present in the uploaded documents, all in true base currency units after scale conversion.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900"/>
        <w:gridCol w:w="2760"/>
      </w:tblGrid>
      <w:tr>
        <w:trPr>
          <w:tblHeader/>
        </w:trPr>
        <w:tc>
          <w:tcPr>
            <w:tcW w:type="dxa" w:w="32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Field / Data Point</w:t>
            </w:r>
          </w:p>
        </w:tc>
        <w:tc>
          <w:tcPr>
            <w:tcW w:type="dxa" w:w="2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How Collected (Prompt Reference)</w:t>
            </w:r>
          </w:p>
        </w:tc>
        <w:tc>
          <w:tcPr>
            <w:tcW w:type="dxa" w:w="9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76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Page /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Year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financial_data[].year (integer)</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year selector / time-series charts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Total Operating Revenue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"Revenue (Total Operating Revenue)"</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Profitability &amp; Risk → "Op. Income" 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PAT (Net Income)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"PAT (Net Income)"</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Profitability &amp; Risk → "Net Income" card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EBITDA</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"If not directly stated, calculate as: Pre-tax Income + Interest Expense + D&amp;A. Do NOT use Net Interest Income."</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9B1C1C"/>
                <w:sz w:val="18"/>
                <w:szCs w:val="18"/>
              </w:rPr>
              <w:t xml:space="preserve">No</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Stored in DB; used in Interest Coverage Ratio display (indirect)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Total Assets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financial_health.total_assets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Balance Sheet Health → "Total Assets" card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Total Operating Expenses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financial_health.total_operating_expenses</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used in Cost-to-Income ratio 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Net Interests (Net Interest Income)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financial_health.net_interests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Profitability &amp; Risk → "Net Interest Inc." card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Gross Loan Portfolio (GLP)</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"gross outstanding + accrued interest"</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Loan Book → "Gross Loan Portfolio" 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Loans with Arrears &gt; 30 days (PAR30)</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financial_health.loans_with_arrears_over_30_days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B45309"/>
                <w:sz w:val="18"/>
                <w:szCs w:val="18"/>
              </w:rPr>
              <w:t xml:space="preserve">Partial</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Used in PAR 30% ratio; raw value not shown as standalone card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Gross Non-Performing Loans (GNPA, NPL &gt; 90 days)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"loans &gt; 90 days past due"</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used in NPL % ratio card (Rating Comparison KPI tables)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Total Loan Loss Provisions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financial_health.total_loan_loss_provisions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B45309"/>
                <w:sz w:val="18"/>
                <w:szCs w:val="18"/>
              </w:rPr>
              <w:t xml:space="preserve">Partial</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Used in Provision Coverage % ratio; raw value not surfaced as standalone card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Total Equity</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financial_health.total_equity</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Balance Sheet Health → "Total Equity" 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Total Liabilities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financial_health.total_liabilities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Balance Sheet Health → "Total Liabilities" card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Disbursals (loans disbursed in year)</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financial_health.disbursals</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Loan Book → "Disbursals" 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Debts to Clients (customer deposits)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"Debts to clients (customer deposits)"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Loan Book → "Deposits / Borrowings" card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Debts to Financial Institutions (borrowings)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"Debts to financial institutions (borrowings)"</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Loan Book → "Deposits / Borrowings" 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Credit Rating (group-level issuer)</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"If only subsidiary/instrument rating, prefix with entity name; null if none"</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Loan Book → "Credit Rating" card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Asset Line Items (Cash, PPE, Intangibles, etc.)</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prompt: "Do not hallucinate categories; use exact names as found"</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Balance Sheet → "Asset Line Items" table + common-size pie chart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Liabilities Line Items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financial_health.liabilities_line_items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Balance Sheet → "Liabilities Line Items" table + common-size pie chart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Equity Line Items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financial_health.equity_line_items</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Balance Sheet → "Equity Line Items" table + common-size pie chart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Income Statement Line Items (COGS, OPEX, Taxes, NI)</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financial_health.income_statement_line_items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Profitability &amp; Risk → income statement table</w:t>
            </w:r>
          </w:p>
        </w:tc>
      </w:tr>
    </w:tbl>
    <w:p>
      <w:pPr>
        <w:spacing w:after="200"/>
      </w:pPr>
      <w:r>
        <w:t xml:space="preserve"/>
      </w:r>
    </w:p>
    <w:p>
      <w:pPr>
        <w:pStyle w:val="Heading2"/>
        <w:spacing w:before="240" w:after="100"/>
      </w:pPr>
      <w:r>
        <w:rPr>
          <w:rFonts w:ascii="Arial" w:cs="Arial" w:eastAsia="Arial" w:hAnsi="Arial"/>
          <w:b/>
          <w:bCs/>
          <w:color w:val="2E75B6"/>
          <w:sz w:val="26"/>
          <w:szCs w:val="26"/>
        </w:rPr>
        <w:t xml:space="preserve">2.5  Section 2 — Risk Detection Framework</w:t>
      </w:r>
    </w:p>
    <w:p>
      <w:pPr>
        <w:spacing w:after="100"/>
      </w:pPr>
      <w:r>
        <w:rPr>
          <w:rFonts w:ascii="Arial" w:cs="Arial" w:eastAsia="Arial" w:hAnsi="Arial"/>
          <w:b w:val="false"/>
          <w:bCs w:val="false"/>
          <w:color w:val="1F2937"/>
          <w:sz w:val="20"/>
          <w:szCs w:val="20"/>
        </w:rPr>
        <w:t xml:space="preserve">The Stage 1 prompt instructs the model to synthesise data across all years and produce at least 5–10 data-backed risk items covering seven risk dimensions. Each risk item captures a structured set of fields.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1"/>
              <w:left w:val="single" w:color="FEE2E2" w:sz="1"/>
              <w:bottom w:val="single" w:color="FEE2E2" w:sz="1"/>
              <w:right w:val="single" w:color="FEE2E2" w:sz="1"/>
            </w:tcBorders>
            <w:shd w:fill="FEE2E2" w:val="clear"/>
            <w:tcMar>
              <w:top w:type="dxa" w:w="100"/>
              <w:left w:type="dxa" w:w="160"/>
              <w:bottom w:type="dxa" w:w="100"/>
              <w:right w:type="dxa" w:w="160"/>
            </w:tcMar>
          </w:tcPr>
          <w:p>
            <w:r>
              <w:rPr>
                <w:rFonts w:ascii="Arial" w:cs="Arial" w:eastAsia="Arial" w:hAnsi="Arial"/>
                <w:b w:val="false"/>
                <w:bCs w:val="false"/>
                <w:color w:val="9B1C1C"/>
                <w:sz w:val="20"/>
                <w:szCs w:val="20"/>
              </w:rPr>
              <w:t xml:space="preserve">The prompt mandates: "Precise description with actual numbers and year references (no vague statements). Generic or vague risks are unacceptable."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900"/>
        <w:gridCol w:w="2760"/>
      </w:tblGrid>
      <w:tr>
        <w:trPr>
          <w:tblHeader/>
        </w:trPr>
        <w:tc>
          <w:tcPr>
            <w:tcW w:type="dxa" w:w="32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Field / Data Point</w:t>
            </w:r>
          </w:p>
        </w:tc>
        <w:tc>
          <w:tcPr>
            <w:tcW w:type="dxa" w:w="2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How Collected (Prompt Reference)</w:t>
            </w:r>
          </w:p>
        </w:tc>
        <w:tc>
          <w:tcPr>
            <w:tcW w:type="dxa" w:w="9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76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Page /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Risk Category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anomalies_and_risks[].category (e.g., "Regulatory Compliance", "Financial Anomaly")</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"Risks &amp; Anomalies" section — coloured risk cards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Risk Description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anomalies_and_risks[].description — requires numbers and year references</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Risks &amp; Anomalies — card body 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Severity Level (Low / Medium / High / Critical)</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anomalies_and_risks[].severity_level</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Risks &amp; Anomalies — severity badge on each card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Valuation Impact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anomalies_and_risks[].valuation_impact (e.g., "-15% Est. EV Adjustment")</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Risks &amp; Anomalies — card detail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Negotiation Leverage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schema: anomalies_and_risks[].negotiation_leverage</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Risks &amp; Anomalies — card detail section</w:t>
            </w:r>
          </w:p>
        </w:tc>
      </w:tr>
    </w:tbl>
    <w:p>
      <w:pPr>
        <w:spacing w:after="100"/>
      </w:pPr>
      <w:r>
        <w:rPr>
          <w:rFonts w:ascii="Arial" w:cs="Arial" w:eastAsia="Arial" w:hAnsi="Arial"/>
          <w:b w:val="false"/>
          <w:bCs w:val="false"/>
          <w:color w:val="1F2937"/>
          <w:sz w:val="20"/>
          <w:szCs w:val="20"/>
        </w:rPr>
        <w:t xml:space="preserve">The seven risk dimensions covered by the prompt are:</w:t>
      </w:r>
    </w:p>
    <w:p>
      <w:pPr>
        <w:pStyle w:val="ListParagraph"/>
        <w:numPr>
          <w:ilvl w:val="0"/>
          <w:numId w:val="2"/>
        </w:numPr>
        <w:spacing w:after="60"/>
      </w:pPr>
      <w:r>
        <w:rPr>
          <w:rFonts w:ascii="Arial" w:cs="Arial" w:eastAsia="Arial" w:hAnsi="Arial"/>
          <w:b w:val="false"/>
          <w:bCs w:val="false"/>
          <w:color w:val="1F2937"/>
          <w:sz w:val="20"/>
          <w:szCs w:val="20"/>
        </w:rPr>
        <w:t xml:space="preserve">Financial Trajectory Anomalies — revenue/profit trend reversals, margin compression, non-recurring items</w:t>
      </w:r>
    </w:p>
    <w:p>
      <w:pPr>
        <w:pStyle w:val="ListParagraph"/>
        <w:numPr>
          <w:ilvl w:val="0"/>
          <w:numId w:val="2"/>
        </w:numPr>
        <w:spacing w:after="60"/>
      </w:pPr>
      <w:r>
        <w:rPr>
          <w:rFonts w:ascii="Arial" w:cs="Arial" w:eastAsia="Arial" w:hAnsi="Arial"/>
          <w:b w:val="false"/>
          <w:bCs w:val="false"/>
          <w:color w:val="1F2937"/>
          <w:sz w:val="20"/>
          <w:szCs w:val="20"/>
        </w:rPr>
        <w:t xml:space="preserve">Asset Quality Deterioration — GNPA/NPL trends, provision coverage, PAR&gt;30 migration, loan concentration</w:t>
      </w:r>
    </w:p>
    <w:p>
      <w:pPr>
        <w:pStyle w:val="ListParagraph"/>
        <w:numPr>
          <w:ilvl w:val="0"/>
          <w:numId w:val="2"/>
        </w:numPr>
        <w:spacing w:after="60"/>
      </w:pPr>
      <w:r>
        <w:rPr>
          <w:rFonts w:ascii="Arial" w:cs="Arial" w:eastAsia="Arial" w:hAnsi="Arial"/>
          <w:b w:val="false"/>
          <w:bCs w:val="false"/>
          <w:color w:val="1F2937"/>
          <w:sz w:val="20"/>
          <w:szCs w:val="20"/>
        </w:rPr>
        <w:t xml:space="preserve">Capital &amp; Solvency Risks — CAR or Equity/GLP vs. regulatory minimums, subsidiary-level breaches</w:t>
      </w:r>
    </w:p>
    <w:p>
      <w:pPr>
        <w:pStyle w:val="ListParagraph"/>
        <w:numPr>
          <w:ilvl w:val="0"/>
          <w:numId w:val="2"/>
        </w:numPr>
        <w:spacing w:after="60"/>
      </w:pPr>
      <w:r>
        <w:rPr>
          <w:rFonts w:ascii="Arial" w:cs="Arial" w:eastAsia="Arial" w:hAnsi="Arial"/>
          <w:b w:val="false"/>
          <w:bCs w:val="false"/>
          <w:color w:val="1F2937"/>
          <w:sz w:val="20"/>
          <w:szCs w:val="20"/>
        </w:rPr>
        <w:t xml:space="preserve">Operational &amp; Scale Risks — productivity per employee/branch, rapid expansion without revenue support, IT disruptions</w:t>
      </w:r>
    </w:p>
    <w:p>
      <w:pPr>
        <w:pStyle w:val="ListParagraph"/>
        <w:numPr>
          <w:ilvl w:val="0"/>
          <w:numId w:val="2"/>
        </w:numPr>
        <w:spacing w:after="60"/>
      </w:pPr>
      <w:r>
        <w:rPr>
          <w:rFonts w:ascii="Arial" w:cs="Arial" w:eastAsia="Arial" w:hAnsi="Arial"/>
          <w:b w:val="false"/>
          <w:bCs w:val="false"/>
          <w:color w:val="1F2937"/>
          <w:sz w:val="20"/>
          <w:szCs w:val="20"/>
        </w:rPr>
        <w:t xml:space="preserve">Regulatory &amp; Compliance Risks — prudential ratio breaches, fines/sanctions, AML/KYC framework gaps</w:t>
      </w:r>
    </w:p>
    <w:p>
      <w:pPr>
        <w:pStyle w:val="ListParagraph"/>
        <w:numPr>
          <w:ilvl w:val="0"/>
          <w:numId w:val="2"/>
        </w:numPr>
        <w:spacing w:after="60"/>
      </w:pPr>
      <w:r>
        <w:rPr>
          <w:rFonts w:ascii="Arial" w:cs="Arial" w:eastAsia="Arial" w:hAnsi="Arial"/>
          <w:b w:val="false"/>
          <w:bCs w:val="false"/>
          <w:color w:val="1F2937"/>
          <w:sz w:val="20"/>
          <w:szCs w:val="20"/>
        </w:rPr>
        <w:t xml:space="preserve">Governance &amp; Related-Party Risks — related-party transactions, auditor qualifications, management turnover</w:t>
      </w:r>
    </w:p>
    <w:p>
      <w:pPr>
        <w:pStyle w:val="ListParagraph"/>
        <w:numPr>
          <w:ilvl w:val="0"/>
          <w:numId w:val="2"/>
        </w:numPr>
        <w:spacing w:after="60"/>
      </w:pPr>
      <w:r>
        <w:rPr>
          <w:rFonts w:ascii="Arial" w:cs="Arial" w:eastAsia="Arial" w:hAnsi="Arial"/>
          <w:b w:val="false"/>
          <w:bCs w:val="false"/>
          <w:color w:val="1F2937"/>
          <w:sz w:val="20"/>
          <w:szCs w:val="20"/>
        </w:rPr>
        <w:t xml:space="preserve">Strategic &amp; Market Risks — geographic/currency concentration, market share trends, discontinued operations</w:t>
      </w:r>
    </w:p>
    <w:p>
      <w:pPr>
        <w:spacing w:after="200"/>
      </w:pPr>
      <w:r>
        <w:t xml:space="preserve"/>
      </w:r>
    </w:p>
    <w:p>
      <w:pPr>
        <w:pStyle w:val="Heading1"/>
        <w:pBdr>
          <w:bottom w:val="single" w:color="2E75B6" w:sz="8" w:space="4"/>
        </w:pBdr>
        <w:spacing w:before="320" w:after="160"/>
      </w:pPr>
      <w:r>
        <w:rPr>
          <w:rFonts w:ascii="Arial" w:cs="Arial" w:eastAsia="Arial" w:hAnsi="Arial"/>
          <w:b/>
          <w:bCs/>
          <w:color w:val="1F4E79"/>
          <w:sz w:val="34"/>
          <w:szCs w:val="34"/>
        </w:rPr>
        <w:t xml:space="preserve">3.  Stage 2 – Web Enrichment &amp; IT Quality</w:t>
      </w:r>
    </w:p>
    <w:p>
      <w:pPr>
        <w:pStyle w:val="Heading2"/>
        <w:spacing w:before="240" w:after="100"/>
      </w:pPr>
      <w:r>
        <w:rPr>
          <w:rFonts w:ascii="Arial" w:cs="Arial" w:eastAsia="Arial" w:hAnsi="Arial"/>
          <w:b/>
          <w:bCs/>
          <w:color w:val="2E75B6"/>
          <w:sz w:val="26"/>
          <w:szCs w:val="26"/>
        </w:rPr>
        <w:t xml:space="preserve">3.1  Stage Purpose &amp; Model</w:t>
      </w:r>
    </w:p>
    <w:p>
      <w:pPr>
        <w:spacing w:after="100"/>
      </w:pPr>
      <w:r>
        <w:rPr>
          <w:rFonts w:ascii="Arial" w:cs="Arial" w:eastAsia="Arial" w:hAnsi="Arial"/>
          <w:b w:val="false"/>
          <w:bCs w:val="false"/>
          <w:color w:val="1F2937"/>
          <w:sz w:val="20"/>
          <w:szCs w:val="20"/>
        </w:rPr>
        <w:t xml:space="preserve">Stage 2 takes the structured JSON output from Stage 1 and uses Google Search to fill data gaps and assess the company's technology infrastructure. It produces only the fields that differ from or are absent in the Stage 1 output — unchanged fields are omitted from the response to minimise token usage.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FAE5" w:sz="1"/>
              <w:left w:val="single" w:color="D1FAE5" w:sz="1"/>
              <w:bottom w:val="single" w:color="D1FAE5" w:sz="1"/>
              <w:right w:val="single" w:color="D1FAE5" w:sz="1"/>
            </w:tcBorders>
            <w:shd w:fill="D1FAE5" w:val="clear"/>
            <w:tcMar>
              <w:top w:type="dxa" w:w="100"/>
              <w:left w:type="dxa" w:w="160"/>
              <w:bottom w:type="dxa" w:w="100"/>
              <w:right w:type="dxa" w:w="160"/>
            </w:tcMar>
          </w:tcPr>
          <w:p>
            <w:r>
              <w:rPr>
                <w:rFonts w:ascii="Arial" w:cs="Arial" w:eastAsia="Arial" w:hAnsi="Arial"/>
                <w:b w:val="false"/>
                <w:bCs w:val="false"/>
                <w:color w:val="064E3B"/>
                <w:sz w:val="20"/>
                <w:szCs w:val="20"/>
              </w:rPr>
              <w:t xml:space="preserve">Model: Gemini 2.0 / 3.x Flash  |  Input: Stage 1 JSON  |  Output: Partial JSON patch (Stage 2 schema)</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3.2  Data Points Collected in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900"/>
        <w:gridCol w:w="2760"/>
      </w:tblGrid>
      <w:tr>
        <w:trPr>
          <w:tblHeader/>
        </w:trPr>
        <w:tc>
          <w:tcPr>
            <w:tcW w:type="dxa" w:w="32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Field / Data Point</w:t>
            </w:r>
          </w:p>
        </w:tc>
        <w:tc>
          <w:tcPr>
            <w:tcW w:type="dxa" w:w="2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How Collected (Prompt Reference)</w:t>
            </w:r>
          </w:p>
        </w:tc>
        <w:tc>
          <w:tcPr>
            <w:tcW w:type="dxa" w:w="9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76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Page /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Missing / null financial fields (any Stage 1 metric)</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2 prompt: "If you see null, -1, or empty arrays in financial_data or company_overview, use Google Search to find and fill them"</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Same UI sections as the corresponding Stage 1 fields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Is Publicly Listed (boolean)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2 prompt: "Determine whether [company] is publicly listed on any stock exchange"</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Rating &amp; Comparison → Ease of Execution sub-score: Private=5, Public=3</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Core Banking Systems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2 prompt: "Core banking systems in use" via Google Search</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"Quality of IT &amp; Data Usage" → Core Banking Systems list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Digital Channel Adoption Rate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2 prompt: "Digital channel adoption rates (mobile/internet banking %)"</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IT &amp; Data section — adoption rate 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System Upgrades &amp; Migrations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2 prompt: "Press releases on recent system upgrades or migrations"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IT &amp; Data → "System Upgrades" list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Vendor Partnerships (Temenos, Mambu, Oracle FSS, etc.)</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2 prompt: explicitly searches for named vendors</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IT &amp; Data → "Vendor Partnerships" list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Cybersecurity Incidents / Outages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2 prompt: "Any disclosed cybersecurity incidents or outages"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IT &amp; Data → "Cybersecurity" list</w:t>
            </w:r>
          </w:p>
        </w:tc>
      </w:tr>
    </w:tbl>
    <w:p>
      <w:pPr>
        <w:spacing w:after="200"/>
      </w:pPr>
      <w:r>
        <w:t xml:space="preserve"/>
      </w:r>
    </w:p>
    <w:p>
      <w:pPr>
        <w:pStyle w:val="Heading1"/>
        <w:pBdr>
          <w:bottom w:val="single" w:color="2E75B6" w:sz="8" w:space="4"/>
        </w:pBdr>
        <w:spacing w:before="320" w:after="160"/>
      </w:pPr>
      <w:r>
        <w:rPr>
          <w:rFonts w:ascii="Arial" w:cs="Arial" w:eastAsia="Arial" w:hAnsi="Arial"/>
          <w:b/>
          <w:bCs/>
          <w:color w:val="1F4E79"/>
          <w:sz w:val="34"/>
          <w:szCs w:val="34"/>
        </w:rPr>
        <w:t xml:space="preserve">4.  Stage 3 – Macro, Competitive &amp; Management Deep Dive</w:t>
      </w:r>
    </w:p>
    <w:p>
      <w:pPr>
        <w:pStyle w:val="Heading2"/>
        <w:spacing w:before="240" w:after="100"/>
      </w:pPr>
      <w:r>
        <w:rPr>
          <w:rFonts w:ascii="Arial" w:cs="Arial" w:eastAsia="Arial" w:hAnsi="Arial"/>
          <w:b/>
          <w:bCs/>
          <w:color w:val="2E75B6"/>
          <w:sz w:val="26"/>
          <w:szCs w:val="26"/>
        </w:rPr>
        <w:t xml:space="preserve">4.1  Stage Purpose &amp; Model</w:t>
      </w:r>
    </w:p>
    <w:p>
      <w:pPr>
        <w:spacing w:after="100"/>
      </w:pPr>
      <w:r>
        <w:rPr>
          <w:rFonts w:ascii="Arial" w:cs="Arial" w:eastAsia="Arial" w:hAnsi="Arial"/>
          <w:b w:val="false"/>
          <w:bCs w:val="false"/>
          <w:color w:val="1F2937"/>
          <w:sz w:val="20"/>
          <w:szCs w:val="20"/>
        </w:rPr>
        <w:t xml:space="preserve">Stage 3 performs a deep-dive search focused on three independent sub-tasks: macroeconomic context for each country of operation, competitive positioning in the market, and management quality assessment through LinkedIn and financial news research.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FAE5" w:sz="1"/>
              <w:left w:val="single" w:color="D1FAE5" w:sz="1"/>
              <w:bottom w:val="single" w:color="D1FAE5" w:sz="1"/>
              <w:right w:val="single" w:color="D1FAE5" w:sz="1"/>
            </w:tcBorders>
            <w:shd w:fill="D1FAE5" w:val="clear"/>
            <w:tcMar>
              <w:top w:type="dxa" w:w="100"/>
              <w:left w:type="dxa" w:w="160"/>
              <w:bottom w:type="dxa" w:w="100"/>
              <w:right w:type="dxa" w:w="160"/>
            </w:tcMar>
          </w:tcPr>
          <w:p>
            <w:r>
              <w:rPr>
                <w:rFonts w:ascii="Arial" w:cs="Arial" w:eastAsia="Arial" w:hAnsi="Arial"/>
                <w:b w:val="false"/>
                <w:bCs w:val="false"/>
                <w:color w:val="064E3B"/>
                <w:sz w:val="20"/>
                <w:szCs w:val="20"/>
              </w:rPr>
              <w:t xml:space="preserve">Model: Gemini 2.0 / 3.x Pro  |  Input: Company name, countries, management list, products  |  Output: Structured JSON (Stage 3 schema)</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4.2  Sub-Task 1 — Macroeconomic Geo-View (per country)</w:t>
      </w:r>
    </w:p>
    <w:p>
      <w:pPr>
        <w:spacing w:after="100"/>
      </w:pPr>
      <w:r>
        <w:rPr>
          <w:rFonts w:ascii="Arial" w:cs="Arial" w:eastAsia="Arial" w:hAnsi="Arial"/>
          <w:b w:val="false"/>
          <w:bCs w:val="false"/>
          <w:color w:val="1F2937"/>
          <w:sz w:val="20"/>
          <w:szCs w:val="20"/>
        </w:rPr>
        <w:t xml:space="preserve">For each country in the company's countries of operation, the prompt instructs the model to search specific authoritative sources for the latest available value of each macroeconomic indicator.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900"/>
        <w:gridCol w:w="2760"/>
      </w:tblGrid>
      <w:tr>
        <w:trPr>
          <w:tblHeader/>
        </w:trPr>
        <w:tc>
          <w:tcPr>
            <w:tcW w:type="dxa" w:w="32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Field / Data Point</w:t>
            </w:r>
          </w:p>
        </w:tc>
        <w:tc>
          <w:tcPr>
            <w:tcW w:type="dxa" w:w="2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How Collected (Prompt Reference)</w:t>
            </w:r>
          </w:p>
        </w:tc>
        <w:tc>
          <w:tcPr>
            <w:tcW w:type="dxa" w:w="9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76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Page /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Population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"Source: World Bank Open Data" — output key: population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"Microfinance Geo-View" table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GDP per Capita PPP</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"Source: IMF World Economic Outlook" — output key: gdp_per_capita_ppp</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Geo-View table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GDP Growth Forecast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"Source: IMF World Economic Outlook" — output key: gdp_growth_forecast</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Geo-View table; used in Geographic Fit score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Inflation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"Source: IMF World Economic Outlook" — output key: inflation</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Geo-View table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Central Bank Interest Rate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"Source: Central Bank or BIS" — output key: central_bank_interest_rate</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Geo-View table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Unemployment Rate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"Source: ILOSTAT" — output key: unemployment_rate</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Geo-View table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Country Risk Rating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"Source: Atradius Country Risk Map" — output key: country_risk_rating</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Geo-View table; used in Geographic Fit score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Corruption Perceptions Index (CPI) Rank</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"Source: Transparency International" — output key: corruption_perceptions_index_rank</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Geo-View table; used in Geographic Fit score</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4.3  Sub-Task 2 — Competitive Position</w:t>
      </w:r>
    </w:p>
    <w:p>
      <w:pPr>
        <w:spacing w:after="100"/>
      </w:pPr>
      <w:r>
        <w:rPr>
          <w:rFonts w:ascii="Arial" w:cs="Arial" w:eastAsia="Arial" w:hAnsi="Arial"/>
          <w:b w:val="false"/>
          <w:bCs w:val="false"/>
          <w:color w:val="1F2937"/>
          <w:sz w:val="20"/>
          <w:szCs w:val="20"/>
        </w:rPr>
        <w:t xml:space="preserve">To prevent hallucination, the prompt explicitly instructs the model: "ensure that all competitors and market data relate to companies offering the EXACT SAME products/services and operating in the same countries."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900"/>
        <w:gridCol w:w="2760"/>
      </w:tblGrid>
      <w:tr>
        <w:trPr>
          <w:tblHeader/>
        </w:trPr>
        <w:tc>
          <w:tcPr>
            <w:tcW w:type="dxa" w:w="32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Field / Data Point</w:t>
            </w:r>
          </w:p>
        </w:tc>
        <w:tc>
          <w:tcPr>
            <w:tcW w:type="dxa" w:w="2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How Collected (Prompt Reference)</w:t>
            </w:r>
          </w:p>
        </w:tc>
        <w:tc>
          <w:tcPr>
            <w:tcW w:type="dxa" w:w="9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76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Page /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Key Competitors (array of strings)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"Key Competitors (direct competitors)" — returned as string array in key_competitors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"Key Competitors" section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Market Share Data</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schema: competitive_position.market_share_data (string)</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"Competitive Position" → Market Share 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Central Bank Sector Reports Summary</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schema: competitive_position.central_bank_sector_reports_summary</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Competitive Position → Central Bank Reports card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Industry Studies Summary</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schema: competitive_position.industry_studies_summary</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Competitive Position → Industry Studies card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Customer Growth / Attrition News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schema: competitive_position.customer_growth_or_attrition_news</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Competitive Position → Customer Growth card</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4.4  Sub-Task 3 — Management Quality</w:t>
      </w:r>
    </w:p>
    <w:p>
      <w:pPr>
        <w:spacing w:after="100"/>
      </w:pPr>
      <w:r>
        <w:rPr>
          <w:rFonts w:ascii="Arial" w:cs="Arial" w:eastAsia="Arial" w:hAnsi="Arial"/>
          <w:b w:val="false"/>
          <w:bCs w:val="false"/>
          <w:color w:val="1F2937"/>
          <w:sz w:val="20"/>
          <w:szCs w:val="20"/>
        </w:rPr>
        <w:t xml:space="preserve">For each member of the management team identified in Stage 1, the model is instructed to search LinkedIn and financial news to find professional background details.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900"/>
        <w:gridCol w:w="2760"/>
      </w:tblGrid>
      <w:tr>
        <w:trPr>
          <w:tblHeader/>
        </w:trPr>
        <w:tc>
          <w:tcPr>
            <w:tcW w:type="dxa" w:w="32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Field / Data Point</w:t>
            </w:r>
          </w:p>
        </w:tc>
        <w:tc>
          <w:tcPr>
            <w:tcW w:type="dxa" w:w="2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How Collected (Prompt Reference)</w:t>
            </w:r>
          </w:p>
        </w:tc>
        <w:tc>
          <w:tcPr>
            <w:tcW w:type="dxa" w:w="9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76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Page / Section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Manager Name</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schema: management_quality[].name — matched back to Stage 1 management_team list</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"Management Quality" cards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Manager Position / Title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schema: management_quality[].position</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Management Quality cards — position label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Previous Experience &amp; Total Years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"Total years of experience and previous important roles held"</w:t>
            </w:r>
          </w:p>
        </w:tc>
        <w:tc>
          <w:tcPr>
            <w:tcW w:type="dxa" w:w="9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Management Quality → experience detail per manager</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Tenure History (roles + durations)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3 prompt: "Tenure history (how long in each role)"</w:t>
            </w:r>
          </w:p>
        </w:tc>
        <w:tc>
          <w:tcPr>
            <w:tcW w:type="dxa" w:w="9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Business Overview → Management Quality → tenure detail per manager</w:t>
            </w:r>
          </w:p>
        </w:tc>
      </w:tr>
    </w:tbl>
    <w:p>
      <w:pPr>
        <w:spacing w:after="200"/>
      </w:pPr>
      <w:r>
        <w:t xml:space="preserve"/>
      </w:r>
    </w:p>
    <w:p>
      <w:pPr>
        <w:pStyle w:val="Heading1"/>
        <w:pBdr>
          <w:bottom w:val="single" w:color="2E75B6" w:sz="8" w:space="4"/>
        </w:pBdr>
        <w:spacing w:before="320" w:after="160"/>
      </w:pPr>
      <w:r>
        <w:rPr>
          <w:rFonts w:ascii="Arial" w:cs="Arial" w:eastAsia="Arial" w:hAnsi="Arial"/>
          <w:b/>
          <w:bCs/>
          <w:color w:val="1F4E79"/>
          <w:sz w:val="34"/>
          <w:szCs w:val="34"/>
        </w:rPr>
        <w:t xml:space="preserve">5.  Derived Financial Ratio Calculations</w:t>
      </w:r>
    </w:p>
    <w:p>
      <w:pPr>
        <w:pStyle w:val="Heading2"/>
        <w:spacing w:before="240" w:after="100"/>
      </w:pPr>
      <w:r>
        <w:rPr>
          <w:rFonts w:ascii="Arial" w:cs="Arial" w:eastAsia="Arial" w:hAnsi="Arial"/>
          <w:b/>
          <w:bCs/>
          <w:color w:val="2E75B6"/>
          <w:sz w:val="26"/>
          <w:szCs w:val="26"/>
        </w:rPr>
        <w:t xml:space="preserve">5.1  Architecture — Where Ratios Are Computed</w:t>
      </w:r>
    </w:p>
    <w:p>
      <w:pPr>
        <w:spacing w:after="100"/>
      </w:pPr>
      <w:r>
        <w:rPr>
          <w:rFonts w:ascii="Arial" w:cs="Arial" w:eastAsia="Arial" w:hAnsi="Arial"/>
          <w:b w:val="false"/>
          <w:bCs w:val="false"/>
          <w:color w:val="1F2937"/>
          <w:sz w:val="20"/>
          <w:szCs w:val="20"/>
        </w:rPr>
        <w:t xml:space="preserve">The backend (ratios.py) computes a first pass of ratios immediately after Stage 1 extraction and stores them alongside the raw metrics in PostgreSQL. However, the frontend (computeRatios.ts) is the single source of truth and recomputes all ratios client-side on every page load — this allows manual edits to financial data to immediately reflect in the UI without requiring a backend call.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3FB" w:sz="1"/>
              <w:left w:val="single" w:color="EBF3FB" w:sz="1"/>
              <w:bottom w:val="single" w:color="EBF3FB" w:sz="1"/>
              <w:right w:val="single" w:color="EBF3FB" w:sz="1"/>
            </w:tcBorders>
            <w:shd w:fill="EBF3FB" w:val="clear"/>
            <w:tcMar>
              <w:top w:type="dxa" w:w="100"/>
              <w:left w:type="dxa" w:w="160"/>
              <w:bottom w:type="dxa" w:w="100"/>
              <w:right w:type="dxa" w:w="160"/>
            </w:tcMar>
          </w:tcPr>
          <w:p>
            <w:r>
              <w:rPr>
                <w:rFonts w:ascii="Arial" w:cs="Arial" w:eastAsia="Arial" w:hAnsi="Arial"/>
                <w:b w:val="false"/>
                <w:bCs w:val="false"/>
                <w:color w:val="2E75B6"/>
                <w:sz w:val="20"/>
                <w:szCs w:val="20"/>
              </w:rPr>
              <w:t xml:space="preserve">Both backend and frontend use identical formulas. The frontend uses average-based denominators (current + previous year) for ROA and ROE wherever prior-year data is available.</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5.2  Profitability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080"/>
        <w:gridCol w:w="2280"/>
      </w:tblGrid>
      <w:tr>
        <w:trPr>
          <w:tblHeader/>
        </w:trPr>
        <w:tc>
          <w:tcPr>
            <w:tcW w:type="dxa" w:w="260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Ratio / Metric</w:t>
            </w:r>
          </w:p>
        </w:tc>
        <w:tc>
          <w:tcPr>
            <w:tcW w:type="dxa" w:w="340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Formula</w:t>
            </w:r>
          </w:p>
        </w:tc>
        <w:tc>
          <w:tcPr>
            <w:tcW w:type="dxa" w:w="108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28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Where in UI</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Profit Margin %</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PAT ÷ Total Operating Revenue × 100</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Profitability &amp; Risk → "Net Income" card (badge)</w:t>
            </w:r>
          </w:p>
        </w:tc>
      </w:tr>
      <w:tr>
        <w:tc>
          <w:tcPr>
            <w:tcW w:type="dxa" w:w="26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Return on Equity (ROE) %</w:t>
            </w:r>
          </w:p>
        </w:tc>
        <w:tc>
          <w:tcPr>
            <w:tcW w:type="dxa" w:w="34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PAT ÷ Average Total Equity × 100
(avg of current + prev year equity)</w:t>
            </w:r>
          </w:p>
        </w:tc>
        <w:tc>
          <w:tcPr>
            <w:tcW w:type="dxa" w:w="10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Balance Sheet Health → "ROE" card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Return on Assets (ROA) %</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PAT ÷ Average Total Assets × 100
(avg of current + prev year assets)</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Balance Sheet Health → "ROA" card</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5.3  Efficiency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080"/>
        <w:gridCol w:w="2280"/>
      </w:tblGrid>
      <w:tr>
        <w:trPr>
          <w:tblHeader/>
        </w:trPr>
        <w:tc>
          <w:tcPr>
            <w:tcW w:type="dxa" w:w="260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Ratio / Metric</w:t>
            </w:r>
          </w:p>
        </w:tc>
        <w:tc>
          <w:tcPr>
            <w:tcW w:type="dxa" w:w="340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Formula</w:t>
            </w:r>
          </w:p>
        </w:tc>
        <w:tc>
          <w:tcPr>
            <w:tcW w:type="dxa" w:w="108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28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Where in UI</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Cost-to-Income Ratio %</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Total Operating Expenses ÷ Total Operating Revenue × 100</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Profitability &amp; Risk → "Cost to Income" card</w:t>
            </w:r>
          </w:p>
        </w:tc>
      </w:tr>
      <w:tr>
        <w:tc>
          <w:tcPr>
            <w:tcW w:type="dxa" w:w="26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Net Interest Margin (NIM) %</w:t>
            </w:r>
          </w:p>
        </w:tc>
        <w:tc>
          <w:tcPr>
            <w:tcW w:type="dxa" w:w="34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Net Interests ÷ Gross Loan Portfolio × 100</w:t>
            </w:r>
          </w:p>
        </w:tc>
        <w:tc>
          <w:tcPr>
            <w:tcW w:type="dxa" w:w="10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Profitability &amp; Risk → "Net Int. Margin" card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Interest Coverage Ratio (ICR)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Net Interests ÷ |Total Operating Expenses|
(result is a multiplier, not %)</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Profitability &amp; Risk → "Int. Coverage" card (shown with "x" suffix)</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5.4  Asset Quality &amp; Loan Book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080"/>
        <w:gridCol w:w="2280"/>
      </w:tblGrid>
      <w:tr>
        <w:trPr>
          <w:tblHeader/>
        </w:trPr>
        <w:tc>
          <w:tcPr>
            <w:tcW w:type="dxa" w:w="260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Ratio / Metric</w:t>
            </w:r>
          </w:p>
        </w:tc>
        <w:tc>
          <w:tcPr>
            <w:tcW w:type="dxa" w:w="340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Formula</w:t>
            </w:r>
          </w:p>
        </w:tc>
        <w:tc>
          <w:tcPr>
            <w:tcW w:type="dxa" w:w="108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28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Where in UI</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PAR 30 %</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Loans with Arrears &gt; 30 days ÷ Gross Loan Portfolio × 100</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B45309"/>
                <w:sz w:val="18"/>
                <w:szCs w:val="18"/>
              </w:rPr>
              <w:t xml:space="preserve">Partial</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Stored in DB; shown in Rating Comparison KPI tables</w:t>
            </w:r>
          </w:p>
        </w:tc>
      </w:tr>
      <w:tr>
        <w:tc>
          <w:tcPr>
            <w:tcW w:type="dxa" w:w="26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GNPA % (= NPL %)</w:t>
            </w:r>
          </w:p>
        </w:tc>
        <w:tc>
          <w:tcPr>
            <w:tcW w:type="dxa" w:w="34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Gross Non-Performing Loans ÷ Gross Loan Portfolio × 100
(gnpa_percent and npl_percent are identical)</w:t>
            </w:r>
          </w:p>
        </w:tc>
        <w:tc>
          <w:tcPr>
            <w:tcW w:type="dxa" w:w="10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Rating Comparison → Loan KPIs → "NPL %" column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Provision Coverage %</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Total Loan Loss Provisions ÷ Gross Non-Performing Loans × 100
(Note: backend uses Provisions ÷ GLP; frontend uses Provisions ÷ NPL)</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Risk section → "Provision Coverage" card; Rating Comparison → Risk KPIs → "PCR %"</w:t>
            </w:r>
          </w:p>
        </w:tc>
      </w:tr>
      <w:tr>
        <w:tc>
          <w:tcPr>
            <w:tcW w:type="dxa" w:w="26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Equity to GLP %</w:t>
            </w:r>
          </w:p>
        </w:tc>
        <w:tc>
          <w:tcPr>
            <w:tcW w:type="dxa" w:w="34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Total Equity ÷ Gross Loan Portfolio × 100
(labelled "Liquidity Coverage Ratio" in the UI)</w:t>
            </w:r>
          </w:p>
        </w:tc>
        <w:tc>
          <w:tcPr>
            <w:tcW w:type="dxa" w:w="10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Loan Book → "Equity / GLP" card; Rating Comparison → Risk KPIs → "LCR %"</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Loan-to-Deposit Ratio (LDR) %</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Gross Loan Portfolio ÷ Debts to Clients × 100</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Rating Comparison → Loan KPIs → "LDR %" column</w:t>
            </w:r>
          </w:p>
        </w:tc>
      </w:tr>
      <w:tr>
        <w:tc>
          <w:tcPr>
            <w:tcW w:type="dxa" w:w="26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Loans-to-Assets Ratio (LAR) %</w:t>
            </w:r>
          </w:p>
        </w:tc>
        <w:tc>
          <w:tcPr>
            <w:tcW w:type="dxa" w:w="34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Gross Loan Portfolio ÷ Total Assets × 100</w:t>
            </w:r>
          </w:p>
        </w:tc>
        <w:tc>
          <w:tcPr>
            <w:tcW w:type="dxa" w:w="10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Rating Comparison → Loan KPIs → "LAR %" column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Depositors vs. Borrowers Ratio</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Debts to Clients ÷ Debts to Financial Institutions
(ratio, not a percentage)</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Loan Book → "Deposits / Borrowings" card</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5.5  Capital &amp; Solvency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080"/>
        <w:gridCol w:w="2280"/>
      </w:tblGrid>
      <w:tr>
        <w:trPr>
          <w:tblHeader/>
        </w:trPr>
        <w:tc>
          <w:tcPr>
            <w:tcW w:type="dxa" w:w="260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Ratio / Metric</w:t>
            </w:r>
          </w:p>
        </w:tc>
        <w:tc>
          <w:tcPr>
            <w:tcW w:type="dxa" w:w="340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Formula</w:t>
            </w:r>
          </w:p>
        </w:tc>
        <w:tc>
          <w:tcPr>
            <w:tcW w:type="dxa" w:w="108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 UI?</w:t>
            </w:r>
          </w:p>
        </w:tc>
        <w:tc>
          <w:tcPr>
            <w:tcW w:type="dxa" w:w="228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Where in UI</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Capital Adequacy Ratio (CAR) %
(simplified)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Total Equity ÷ Total Assets × 100
(proxy for Tier 1 capital adequacy; not a full Basel III computation)</w:t>
            </w:r>
          </w:p>
        </w:tc>
        <w:tc>
          <w:tcPr>
            <w:tcW w:type="dxa" w:w="10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Risk section → "Capital Adequacy" card; Rating Comparison → Risk KPIs → "CAR %"</w:t>
            </w:r>
          </w:p>
        </w:tc>
      </w:tr>
      <w:tr>
        <w:tc>
          <w:tcPr>
            <w:tcW w:type="dxa" w:w="26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Deposits to Assets %</w:t>
            </w:r>
          </w:p>
        </w:tc>
        <w:tc>
          <w:tcPr>
            <w:tcW w:type="dxa" w:w="340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Debts to Clients ÷ Total Assets × 100</w:t>
            </w:r>
          </w:p>
        </w:tc>
        <w:tc>
          <w:tcPr>
            <w:tcW w:type="dxa" w:w="10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center"/>
            </w:pPr>
            <w:r>
              <w:rPr>
                <w:rFonts w:ascii="Arial" w:cs="Arial" w:eastAsia="Arial" w:hAnsi="Arial"/>
                <w:b/>
                <w:bCs/>
                <w:color w:val="064E3B"/>
                <w:sz w:val="18"/>
                <w:szCs w:val="18"/>
              </w:rPr>
              <w:t xml:space="preserve">Yes</w:t>
            </w:r>
          </w:p>
        </w:tc>
        <w:tc>
          <w:tcPr>
            <w:tcW w:type="dxa" w:w="2280"/>
            <w:tcBorders>
              <w:top w:val="single" w:color="D1D5DB" w:sz="1"/>
              <w:left w:val="single" w:color="D1D5DB" w:sz="1"/>
              <w:bottom w:val="single" w:color="D1D5DB" w:sz="1"/>
              <w:right w:val="single" w:color="D1D5DB" w:sz="1"/>
            </w:tcBorders>
            <w:shd w:fill="E0F7FA"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Financial Health → Balance Sheet Health → "Deposits to Asset" card; Rating Comparison → Balance Sheet KPIs → "Dep/Assets %"</w:t>
            </w:r>
          </w:p>
        </w:tc>
      </w:tr>
    </w:tbl>
    <w:p>
      <w:pPr>
        <w:spacing w:after="200"/>
      </w:pPr>
      <w:r>
        <w:t xml:space="preserve"/>
      </w:r>
    </w:p>
    <w:p>
      <w:pPr>
        <w:pStyle w:val="Heading1"/>
        <w:pBdr>
          <w:bottom w:val="single" w:color="2E75B6" w:sz="8" w:space="4"/>
        </w:pBdr>
        <w:spacing w:before="320" w:after="160"/>
      </w:pPr>
      <w:r>
        <w:rPr>
          <w:rFonts w:ascii="Arial" w:cs="Arial" w:eastAsia="Arial" w:hAnsi="Arial"/>
          <w:b/>
          <w:bCs/>
          <w:color w:val="1F4E79"/>
          <w:sz w:val="34"/>
          <w:szCs w:val="34"/>
        </w:rPr>
        <w:t xml:space="preserve">6.  Peer Rating &amp; M&amp;A Scoring System</w:t>
      </w:r>
    </w:p>
    <w:p>
      <w:pPr>
        <w:pStyle w:val="Heading2"/>
        <w:spacing w:before="240" w:after="100"/>
      </w:pPr>
      <w:r>
        <w:rPr>
          <w:rFonts w:ascii="Arial" w:cs="Arial" w:eastAsia="Arial" w:hAnsi="Arial"/>
          <w:b/>
          <w:bCs/>
          <w:color w:val="2E75B6"/>
          <w:sz w:val="26"/>
          <w:szCs w:val="26"/>
        </w:rPr>
        <w:t xml:space="preserve">6.1  Architecture Overview</w:t>
      </w:r>
    </w:p>
    <w:p>
      <w:pPr>
        <w:spacing w:after="100"/>
      </w:pPr>
      <w:r>
        <w:rPr>
          <w:rFonts w:ascii="Arial" w:cs="Arial" w:eastAsia="Arial" w:hAnsi="Arial"/>
          <w:b w:val="false"/>
          <w:bCs w:val="false"/>
          <w:color w:val="1F2937"/>
          <w:sz w:val="20"/>
          <w:szCs w:val="20"/>
        </w:rPr>
        <w:t xml:space="preserve">The Peer Rating module scores each company on nine M&amp;A attractiveness criteria using a 1–5 integer scale. Criteria 1–3 and 5 are scored deterministically using absolute thresholds applied to pre-converted USD values. Criteria 4, 6, 7, 8, and 9 are evaluated in a single LLM call that receives only the qualitative data fields relevant to each rubric — no financial numbers are passed to the LLM.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F3C7" w:sz="1"/>
              <w:left w:val="single" w:color="FEF3C7" w:sz="1"/>
              <w:bottom w:val="single" w:color="FEF3C7" w:sz="1"/>
              <w:right w:val="single" w:color="FEF3C7" w:sz="1"/>
            </w:tcBorders>
            <w:shd w:fill="FEF3C7" w:val="clear"/>
            <w:tcMar>
              <w:top w:type="dxa" w:w="100"/>
              <w:left w:type="dxa" w:w="160"/>
              <w:bottom w:type="dxa" w:w="100"/>
              <w:right w:type="dxa" w:w="160"/>
            </w:tcMar>
          </w:tcPr>
          <w:p>
            <w:r>
              <w:rPr>
                <w:rFonts w:ascii="Arial" w:cs="Arial" w:eastAsia="Arial" w:hAnsi="Arial"/>
                <w:b w:val="false"/>
                <w:bCs w:val="false"/>
                <w:color w:val="B45309"/>
                <w:sz w:val="20"/>
                <w:szCs w:val="20"/>
              </w:rPr>
              <w:t xml:space="preserve">Currency conversion is performed before scoring. PAT, Total Equity, and Gross Loan Portfolio are converted to USD millions before being passed to the deterministic scorers.</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6.2  The Nine Criteria, Tiers &amp; Default Weights</w:t>
      </w:r>
    </w:p>
    <w:p>
      <w:pPr>
        <w:spacing w:after="100"/>
      </w:pPr>
      <w:r>
        <w:rPr>
          <w:rFonts w:ascii="Arial" w:cs="Arial" w:eastAsia="Arial" w:hAnsi="Arial"/>
          <w:b w:val="false"/>
          <w:bCs w:val="false"/>
          <w:color w:val="1F2937"/>
          <w:sz w:val="20"/>
          <w:szCs w:val="20"/>
        </w:rPr>
        <w:t xml:space="preserve">The criteria are grouped into three tiers and carry default weights that sum to 9.0 (roughly equivalent to a 100-point scale). Users can customise weights via the UI as long as the total remains 9.0.</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500"/>
        <w:gridCol w:w="1500"/>
        <w:gridCol w:w="2660"/>
      </w:tblGrid>
      <w:tr>
        <w:trPr>
          <w:tblHeader/>
        </w:trPr>
        <w:tc>
          <w:tcPr>
            <w:tcW w:type="dxa" w:w="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w:t>
            </w:r>
          </w:p>
        </w:tc>
        <w:tc>
          <w:tcPr>
            <w:tcW w:type="dxa" w:w="32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Criterion</w:t>
            </w:r>
          </w:p>
        </w:tc>
        <w:tc>
          <w:tcPr>
            <w:tcW w:type="dxa" w:w="1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Tier</w:t>
            </w:r>
          </w:p>
        </w:tc>
        <w:tc>
          <w:tcPr>
            <w:tcW w:type="dxa" w:w="1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Method</w:t>
            </w:r>
          </w:p>
        </w:tc>
        <w:tc>
          <w:tcPr>
            <w:tcW w:type="dxa" w:w="266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Default Weight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Contribution to Profitability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Tier 1 – Strategic Fit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064E3B"/>
                <w:sz w:val="18"/>
                <w:szCs w:val="18"/>
              </w:rPr>
              <w:t xml:space="preserve">Deterministic</w:t>
            </w:r>
          </w:p>
        </w:tc>
        <w:tc>
          <w:tcPr>
            <w:tcW w:type="dxa" w:w="26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F2937"/>
                <w:sz w:val="18"/>
                <w:szCs w:val="18"/>
              </w:rPr>
              <w:t xml:space="preserve">1.1</w:t>
            </w:r>
          </w:p>
        </w:tc>
      </w:tr>
      <w:tr>
        <w:tc>
          <w:tcPr>
            <w:tcW w:type="dxa" w:w="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2</w:t>
            </w:r>
          </w:p>
        </w:tc>
        <w:tc>
          <w:tcPr>
            <w:tcW w:type="dxa" w:w="32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Size of Transaction</w:t>
            </w:r>
          </w:p>
        </w:tc>
        <w:tc>
          <w:tcPr>
            <w:tcW w:type="dxa" w:w="1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Tier 1 – Strategic Fit</w:t>
            </w:r>
          </w:p>
        </w:tc>
        <w:tc>
          <w:tcPr>
            <w:tcW w:type="dxa" w:w="1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bCs/>
                <w:color w:val="064E3B"/>
                <w:sz w:val="18"/>
                <w:szCs w:val="18"/>
              </w:rPr>
              <w:t xml:space="preserve">Deterministic</w:t>
            </w:r>
          </w:p>
        </w:tc>
        <w:tc>
          <w:tcPr>
            <w:tcW w:type="dxa" w:w="266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color w:val="1F2937"/>
                <w:sz w:val="18"/>
                <w:szCs w:val="18"/>
              </w:rPr>
              <w:t xml:space="preserve">1.1</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Geographic / Strategic Fit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Tier 1 – Strategic Fit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064E3B"/>
                <w:sz w:val="18"/>
                <w:szCs w:val="18"/>
              </w:rPr>
              <w:t xml:space="preserve">Deterministic</w:t>
            </w:r>
          </w:p>
        </w:tc>
        <w:tc>
          <w:tcPr>
            <w:tcW w:type="dxa" w:w="26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F2937"/>
                <w:sz w:val="18"/>
                <w:szCs w:val="18"/>
              </w:rPr>
              <w:t xml:space="preserve">1.1</w:t>
            </w:r>
          </w:p>
        </w:tc>
      </w:tr>
      <w:tr>
        <w:tc>
          <w:tcPr>
            <w:tcW w:type="dxa" w:w="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4</w:t>
            </w:r>
          </w:p>
        </w:tc>
        <w:tc>
          <w:tcPr>
            <w:tcW w:type="dxa" w:w="32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Product / Market Strategy Fit</w:t>
            </w:r>
          </w:p>
        </w:tc>
        <w:tc>
          <w:tcPr>
            <w:tcW w:type="dxa" w:w="1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Tier 1 – Strategic Fit</w:t>
            </w:r>
          </w:p>
        </w:tc>
        <w:tc>
          <w:tcPr>
            <w:tcW w:type="dxa" w:w="1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bCs/>
                <w:color w:val="5B21B6"/>
                <w:sz w:val="18"/>
                <w:szCs w:val="18"/>
              </w:rPr>
              <w:t xml:space="preserve">LLM</w:t>
            </w:r>
          </w:p>
        </w:tc>
        <w:tc>
          <w:tcPr>
            <w:tcW w:type="dxa" w:w="266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color w:val="1F2937"/>
                <w:sz w:val="18"/>
                <w:szCs w:val="18"/>
              </w:rPr>
              <w:t xml:space="preserve">1.1</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Ease of Execution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Tier 2 – Execution Complexity &amp; Transactional Risk</w:t>
            </w:r>
          </w:p>
        </w:tc>
        <w:tc>
          <w:tcPr>
            <w:tcW w:type="dxa" w:w="1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064E3B"/>
                <w:sz w:val="18"/>
                <w:szCs w:val="18"/>
              </w:rPr>
              <w:t xml:space="preserve">Deterministic</w:t>
            </w:r>
          </w:p>
        </w:tc>
        <w:tc>
          <w:tcPr>
            <w:tcW w:type="dxa" w:w="26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F2937"/>
                <w:sz w:val="18"/>
                <w:szCs w:val="18"/>
              </w:rPr>
              <w:t xml:space="preserve">1.0</w:t>
            </w:r>
          </w:p>
        </w:tc>
      </w:tr>
      <w:tr>
        <w:tc>
          <w:tcPr>
            <w:tcW w:type="dxa" w:w="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6</w:t>
            </w:r>
          </w:p>
        </w:tc>
        <w:tc>
          <w:tcPr>
            <w:tcW w:type="dxa" w:w="32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Quality &amp; Depth of Management</w:t>
            </w:r>
          </w:p>
        </w:tc>
        <w:tc>
          <w:tcPr>
            <w:tcW w:type="dxa" w:w="1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Tier 2 – Execution Complexity &amp; Transactional Risk</w:t>
            </w:r>
          </w:p>
        </w:tc>
        <w:tc>
          <w:tcPr>
            <w:tcW w:type="dxa" w:w="1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bCs/>
                <w:color w:val="5B21B6"/>
                <w:sz w:val="18"/>
                <w:szCs w:val="18"/>
              </w:rPr>
              <w:t xml:space="preserve">LLM</w:t>
            </w:r>
          </w:p>
        </w:tc>
        <w:tc>
          <w:tcPr>
            <w:tcW w:type="dxa" w:w="266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color w:val="1F2937"/>
                <w:sz w:val="18"/>
                <w:szCs w:val="18"/>
              </w:rPr>
              <w:t xml:space="preserve">0.9</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7</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Strategic Partners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Tier 2 – Execution Complexity &amp; Transactional Risk</w:t>
            </w:r>
          </w:p>
        </w:tc>
        <w:tc>
          <w:tcPr>
            <w:tcW w:type="dxa" w:w="1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5B21B6"/>
                <w:sz w:val="18"/>
                <w:szCs w:val="18"/>
              </w:rPr>
              <w:t xml:space="preserve">LLM</w:t>
            </w:r>
          </w:p>
        </w:tc>
        <w:tc>
          <w:tcPr>
            <w:tcW w:type="dxa" w:w="26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F2937"/>
                <w:sz w:val="18"/>
                <w:szCs w:val="18"/>
              </w:rPr>
              <w:t xml:space="preserve">0.9</w:t>
            </w:r>
          </w:p>
        </w:tc>
      </w:tr>
      <w:tr>
        <w:tc>
          <w:tcPr>
            <w:tcW w:type="dxa" w:w="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8</w:t>
            </w:r>
          </w:p>
        </w:tc>
        <w:tc>
          <w:tcPr>
            <w:tcW w:type="dxa" w:w="32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Quality of IT &amp; Data</w:t>
            </w:r>
          </w:p>
        </w:tc>
        <w:tc>
          <w:tcPr>
            <w:tcW w:type="dxa" w:w="1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Tier 3 – Platform Quality</w:t>
            </w:r>
          </w:p>
        </w:tc>
        <w:tc>
          <w:tcPr>
            <w:tcW w:type="dxa" w:w="1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bCs/>
                <w:color w:val="5B21B6"/>
                <w:sz w:val="18"/>
                <w:szCs w:val="18"/>
              </w:rPr>
              <w:t xml:space="preserve">LLM</w:t>
            </w:r>
          </w:p>
        </w:tc>
        <w:tc>
          <w:tcPr>
            <w:tcW w:type="dxa" w:w="266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center"/>
            </w:pPr>
            <w:r>
              <w:rPr>
                <w:rFonts w:ascii="Arial" w:cs="Arial" w:eastAsia="Arial" w:hAnsi="Arial"/>
                <w:b w:val="false"/>
                <w:bCs w:val="false"/>
                <w:color w:val="1F2937"/>
                <w:sz w:val="18"/>
                <w:szCs w:val="18"/>
              </w:rPr>
              <w:t xml:space="preserve">0.9</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9</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Competitor Positioning</w:t>
            </w:r>
          </w:p>
        </w:tc>
        <w:tc>
          <w:tcPr>
            <w:tcW w:type="dxa" w:w="1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Tier 3 – Platform Quality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5B21B6"/>
                <w:sz w:val="18"/>
                <w:szCs w:val="18"/>
              </w:rPr>
              <w:t xml:space="preserve">LLM</w:t>
            </w:r>
          </w:p>
        </w:tc>
        <w:tc>
          <w:tcPr>
            <w:tcW w:type="dxa" w:w="26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F2937"/>
                <w:sz w:val="18"/>
                <w:szCs w:val="18"/>
              </w:rPr>
              <w:t xml:space="preserve">0.9</w:t>
            </w:r>
          </w:p>
        </w:tc>
      </w:tr>
    </w:tbl>
    <w:p>
      <w:pPr>
        <w:spacing w:after="200"/>
      </w:pPr>
      <w:r>
        <w:t xml:space="preserve"/>
      </w:r>
    </w:p>
    <w:p>
      <w:pPr>
        <w:pStyle w:val="Heading2"/>
        <w:spacing w:before="240" w:after="100"/>
      </w:pPr>
      <w:r>
        <w:rPr>
          <w:rFonts w:ascii="Arial" w:cs="Arial" w:eastAsia="Arial" w:hAnsi="Arial"/>
          <w:b/>
          <w:bCs/>
          <w:color w:val="2E75B6"/>
          <w:sz w:val="26"/>
          <w:szCs w:val="26"/>
        </w:rPr>
        <w:t xml:space="preserve">6.3  Criterion-by-Criterion Scoring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560"/>
        <w:gridCol w:w="3200"/>
      </w:tblGrid>
      <w:tr>
        <w:trPr>
          <w:tblHeader/>
        </w:trPr>
        <w:tc>
          <w:tcPr>
            <w:tcW w:type="dxa" w:w="2400"/>
            <w:gridSpan w:val="1"/>
            <w:tcBorders>
              <w:top w:val="single" w:color="D1D5DB" w:sz="1"/>
              <w:left w:val="single" w:color="D1D5DB" w:sz="1"/>
              <w:bottom w:val="single" w:color="D1D5DB" w:sz="1"/>
              <w:right w:val="single" w:color="D1D5DB" w:sz="1"/>
            </w:tcBorders>
            <w:shd w:fill="5B21B6"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Criterion</w:t>
            </w:r>
          </w:p>
        </w:tc>
        <w:tc>
          <w:tcPr>
            <w:tcW w:type="dxa" w:w="1200"/>
            <w:gridSpan w:val="1"/>
            <w:tcBorders>
              <w:top w:val="single" w:color="D1D5DB" w:sz="1"/>
              <w:left w:val="single" w:color="D1D5DB" w:sz="1"/>
              <w:bottom w:val="single" w:color="D1D5DB" w:sz="1"/>
              <w:right w:val="single" w:color="D1D5DB" w:sz="1"/>
            </w:tcBorders>
            <w:shd w:fill="5B21B6"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Method</w:t>
            </w:r>
          </w:p>
        </w:tc>
        <w:tc>
          <w:tcPr>
            <w:tcW w:type="dxa" w:w="2560"/>
            <w:gridSpan w:val="1"/>
            <w:tcBorders>
              <w:top w:val="single" w:color="D1D5DB" w:sz="1"/>
              <w:left w:val="single" w:color="D1D5DB" w:sz="1"/>
              <w:bottom w:val="single" w:color="D1D5DB" w:sz="1"/>
              <w:right w:val="single" w:color="D1D5DB" w:sz="1"/>
            </w:tcBorders>
            <w:shd w:fill="5B21B6"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Inputs Used</w:t>
            </w:r>
          </w:p>
        </w:tc>
        <w:tc>
          <w:tcPr>
            <w:tcW w:type="dxa" w:w="3200"/>
            <w:gridSpan w:val="1"/>
            <w:tcBorders>
              <w:top w:val="single" w:color="D1D5DB" w:sz="1"/>
              <w:left w:val="single" w:color="D1D5DB" w:sz="1"/>
              <w:bottom w:val="single" w:color="D1D5DB" w:sz="1"/>
              <w:right w:val="single" w:color="D1D5DB" w:sz="1"/>
            </w:tcBorders>
            <w:shd w:fill="5B21B6"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Scoring Logic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1. Contribution to Profitability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064E3B"/>
                <w:sz w:val="18"/>
                <w:szCs w:val="18"/>
              </w:rPr>
              <w:t xml:space="preserve">Deterministic</w:t>
            </w:r>
          </w:p>
        </w:tc>
        <w:tc>
          <w:tcPr>
            <w:tcW w:type="dxa" w:w="2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PAT (USD millions), Total Equity (USD millions)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PAT sub-score: &gt;20M→5, 10–20M→4, 5–10M→3, 0–5M→2, &lt;0→1
ROE sub-score: ROE = PAT ÷ Equity × 100; &gt;20%→5, 10–20%→3, &lt;10%→1
Final = round(avg of sub-scores)</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2. Size of Transaction</w:t>
            </w:r>
          </w:p>
        </w:tc>
        <w:tc>
          <w:tcPr>
            <w:tcW w:type="dxa" w:w="12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bCs/>
                <w:color w:val="064E3B"/>
                <w:sz w:val="18"/>
                <w:szCs w:val="18"/>
              </w:rPr>
              <w:t xml:space="preserve">Deterministic</w:t>
            </w:r>
          </w:p>
        </w:tc>
        <w:tc>
          <w:tcPr>
            <w:tcW w:type="dxa" w:w="256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Gross Loan Portfolio (USDm), Total Equity (USDm), Countries of Operation count</w:t>
            </w:r>
          </w:p>
        </w:tc>
        <w:tc>
          <w:tcPr>
            <w:tcW w:type="dxa" w:w="32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GLP: &gt;500→5, 300–500→4, 100–300→3, 50–100→2, &lt;50→1
Equity: &gt;150→5, 100–150→4, 50–100→3, &lt;50→2
Geo Reach: &gt;3 countries→5, 2–3→4, 1→3
Final = round(avg of sub-scores)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3. Geographic / Strategic Fit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064E3B"/>
                <w:sz w:val="18"/>
                <w:szCs w:val="18"/>
              </w:rPr>
              <w:t xml:space="preserve">Deterministic</w:t>
            </w:r>
          </w:p>
        </w:tc>
        <w:tc>
          <w:tcPr>
            <w:tcW w:type="dxa" w:w="2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Population, GDP Growth Forecast, Country Risk Rating, Corruption Perceptions Index — per country (Stage 3 data)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Four indicators parsed per country into 1–4 integer sub-scores:
Population: &lt;53M→1, &lt;79M→2, &lt;139M→3, ≥139M→4
GDP Growth: &lt;2.7%→1, &lt;4.6%→2, &lt;6.2%→3, ≥6.2%→4
Country Risk: Very High→1, High→2, Moderate-High→3, Moderate/Low→4
CPI Score: &lt;26→1, &lt;34→2, &lt;37→3, ≥37→4
Per country: avg = (Pop + GDP + Risk + CPI) ÷ 4
Final = round(max country avg)</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4. Product / Market Strategy Fit</w:t>
            </w:r>
          </w:p>
        </w:tc>
        <w:tc>
          <w:tcPr>
            <w:tcW w:type="dxa" w:w="12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bCs/>
                <w:color w:val="5B21B6"/>
                <w:sz w:val="18"/>
                <w:szCs w:val="18"/>
              </w:rPr>
              <w:t xml:space="preserve">LLM</w:t>
            </w:r>
          </w:p>
        </w:tc>
        <w:tc>
          <w:tcPr>
            <w:tcW w:type="dxa" w:w="256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products_and_services (text), countries_of_operation (list)</w:t>
            </w:r>
          </w:p>
        </w:tc>
        <w:tc>
          <w:tcPr>
            <w:tcW w:type="dxa" w:w="32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Rubric: 5 = Clear focus on Lending (MSME, Retail, Corporate) and Microfinance; 3 = Deposits and payments only; 1 = Niche products with limited scalability or heavy reliance on unsecured retail microloans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5. Ease of Execution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064E3B"/>
                <w:sz w:val="18"/>
                <w:szCs w:val="18"/>
              </w:rPr>
              <w:t xml:space="preserve">Deterministic</w:t>
            </w:r>
          </w:p>
        </w:tc>
        <w:tc>
          <w:tcPr>
            <w:tcW w:type="dxa" w:w="2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is_publicly_listed (boolean), shareholder_structure (ownership %)</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Listing: Private→5, Public→3
Concentration: Single shareholder &gt;80%→5; Top 2 &gt;50%→4; Top 3 &gt;50%→2; else→2
Final = round(avg of sub-scores)</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6. Quality &amp; Depth of Management</w:t>
            </w:r>
          </w:p>
        </w:tc>
        <w:tc>
          <w:tcPr>
            <w:tcW w:type="dxa" w:w="12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bCs/>
                <w:color w:val="5B21B6"/>
                <w:sz w:val="18"/>
                <w:szCs w:val="18"/>
              </w:rPr>
              <w:t xml:space="preserve">LLM</w:t>
            </w:r>
          </w:p>
        </w:tc>
        <w:tc>
          <w:tcPr>
            <w:tcW w:type="dxa" w:w="256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management_team (name + position + experience from Stage 3)</w:t>
            </w:r>
          </w:p>
        </w:tc>
        <w:tc>
          <w:tcPr>
            <w:tcW w:type="dxa" w:w="32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Rubric: 5 = Deep institutional experience (former Top-tier Bank / Consulting execs); 3 = Solid domestic or regional experience; 2 = Limited track record or thin C-suite presence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7. Strategic Partners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5B21B6"/>
                <w:sz w:val="18"/>
                <w:szCs w:val="18"/>
              </w:rPr>
              <w:t xml:space="preserve">LLM</w:t>
            </w:r>
          </w:p>
        </w:tc>
        <w:tc>
          <w:tcPr>
            <w:tcW w:type="dxa" w:w="2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strategic_partners (list of partner names)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Rubric: 5 = Major international DFIs (IFC, EIB, Proparco, Norfund); 4 = Reliable regional players or local government; 3 = Local commercial banks, unknown entities, or none</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8. Quality of IT &amp; Data</w:t>
            </w:r>
          </w:p>
        </w:tc>
        <w:tc>
          <w:tcPr>
            <w:tcW w:type="dxa" w:w="12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bCs/>
                <w:color w:val="5B21B6"/>
                <w:sz w:val="18"/>
                <w:szCs w:val="18"/>
              </w:rPr>
              <w:t xml:space="preserve">LLM</w:t>
            </w:r>
          </w:p>
        </w:tc>
        <w:tc>
          <w:tcPr>
            <w:tcW w:type="dxa" w:w="256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it_details (core_banking_systems, digital_channel_adoption, system_upgrades, vendor_partnerships, cyber_incidents)</w:t>
            </w:r>
          </w:p>
        </w:tc>
        <w:tc>
          <w:tcPr>
            <w:tcW w:type="dxa" w:w="32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Rubric: 5 = Modern Core Banking (Temenos, Mambu), Cloud-native, high digital adoption; 3 = Legacy with recent upgrades; 1 = Outdated legacy or lack of digital data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9. Competitor Positioning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5B21B6"/>
                <w:sz w:val="18"/>
                <w:szCs w:val="18"/>
              </w:rPr>
              <w:t xml:space="preserve">LLM</w:t>
            </w:r>
          </w:p>
        </w:tc>
        <w:tc>
          <w:tcPr>
            <w:tcW w:type="dxa" w:w="25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competitive_position (market share data from Stage 3), countries_of_operation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Rubric: 5 = Top 1–3 in at least 2 markets; 4 = Top 1–3 in at least 1 market; 3 = Top 4–6 in at least 2 markets; 1 = Otherwise</w:t>
            </w:r>
          </w:p>
        </w:tc>
      </w:tr>
    </w:tbl>
    <w:p>
      <w:pPr>
        <w:spacing w:after="200"/>
      </w:pPr>
      <w:r>
        <w:t xml:space="preserve"/>
      </w:r>
    </w:p>
    <w:p>
      <w:pPr>
        <w:pStyle w:val="Heading2"/>
        <w:spacing w:before="240" w:after="100"/>
      </w:pPr>
      <w:r>
        <w:rPr>
          <w:rFonts w:ascii="Arial" w:cs="Arial" w:eastAsia="Arial" w:hAnsi="Arial"/>
          <w:b/>
          <w:bCs/>
          <w:color w:val="2E75B6"/>
          <w:sz w:val="26"/>
          <w:szCs w:val="26"/>
        </w:rPr>
        <w:t xml:space="preserve">6.4  Weighted Overall Score Calculation</w:t>
      </w:r>
    </w:p>
    <w:p>
      <w:pPr>
        <w:spacing w:after="100"/>
      </w:pPr>
      <w:r>
        <w:rPr>
          <w:rFonts w:ascii="Arial" w:cs="Arial" w:eastAsia="Arial" w:hAnsi="Arial"/>
          <w:b w:val="false"/>
          <w:bCs w:val="false"/>
          <w:color w:val="1F2937"/>
          <w:sz w:val="20"/>
          <w:szCs w:val="20"/>
        </w:rPr>
        <w:t xml:space="preserve">After all nine criteria are scored, the frontend computes a weighted M&amp;A attractiveness score for each company. The formula is: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BF3FB" w:sz="1"/>
              <w:left w:val="single" w:color="EBF3FB" w:sz="1"/>
              <w:bottom w:val="single" w:color="EBF3FB" w:sz="1"/>
              <w:right w:val="single" w:color="EBF3FB" w:sz="1"/>
            </w:tcBorders>
            <w:shd w:fill="EBF3FB" w:val="clear"/>
            <w:tcMar>
              <w:top w:type="dxa" w:w="100"/>
              <w:left w:type="dxa" w:w="160"/>
              <w:bottom w:type="dxa" w:w="100"/>
              <w:right w:type="dxa" w:w="160"/>
            </w:tcMar>
          </w:tcPr>
          <w:p>
            <w:r>
              <w:rPr>
                <w:rFonts w:ascii="Arial" w:cs="Arial" w:eastAsia="Arial" w:hAnsi="Arial"/>
                <w:b w:val="false"/>
                <w:bCs w:val="false"/>
                <w:color w:val="2E75B6"/>
                <w:sz w:val="20"/>
                <w:szCs w:val="20"/>
              </w:rPr>
              <w:t xml:space="preserve">Weighted Score = Σ (criterion_score × criterion_weight) ÷ Σ (criterion_weights)
Default total weight = 9.0. The score is not multiplied further — it remains on the 1–5 scale.</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6.5  Tier 1 Gating Rule</w:t>
      </w:r>
    </w:p>
    <w:p>
      <w:pPr>
        <w:spacing w:after="100"/>
      </w:pPr>
      <w:r>
        <w:rPr>
          <w:rFonts w:ascii="Arial" w:cs="Arial" w:eastAsia="Arial" w:hAnsi="Arial"/>
          <w:b w:val="false"/>
          <w:bCs w:val="false"/>
          <w:color w:val="1F2937"/>
          <w:sz w:val="20"/>
          <w:szCs w:val="20"/>
        </w:rPr>
        <w:t xml:space="preserve">Before assigning a verdict, the system checks whether the Tier 1 average (average of the four Tier 1 criteria: Profitability, Size, Geographic Fit, Product Fit) exceeds the minimum threshold of 3. If it does not, the company is flagged as "Not Worth Progressing" regardless of its overall weighted score.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EE2E2" w:sz="1"/>
              <w:left w:val="single" w:color="FEE2E2" w:sz="1"/>
              <w:bottom w:val="single" w:color="FEE2E2" w:sz="1"/>
              <w:right w:val="single" w:color="FEE2E2" w:sz="1"/>
            </w:tcBorders>
            <w:shd w:fill="FEE2E2" w:val="clear"/>
            <w:tcMar>
              <w:top w:type="dxa" w:w="100"/>
              <w:left w:type="dxa" w:w="160"/>
              <w:bottom w:type="dxa" w:w="100"/>
              <w:right w:type="dxa" w:w="160"/>
            </w:tcMar>
          </w:tcPr>
          <w:p>
            <w:r>
              <w:rPr>
                <w:rFonts w:ascii="Arial" w:cs="Arial" w:eastAsia="Arial" w:hAnsi="Arial"/>
                <w:b w:val="false"/>
                <w:bCs w:val="false"/>
                <w:color w:val="9B1C1C"/>
                <w:sz w:val="20"/>
                <w:szCs w:val="20"/>
              </w:rPr>
              <w:t xml:space="preserve">Gating rule: If average(Tier 1 criteria scores) ≤ 3 → flag as "Not Worth Progressing (Failed T1 Gating)" and display in red. This overrides the verdict lookup.</w:t>
            </w:r>
          </w:p>
        </w:tc>
      </w:tr>
    </w:tbl>
    <w:p>
      <w:pPr>
        <w:spacing w:after="100"/>
      </w:pPr>
      <w:r>
        <w:t xml:space="preserve"/>
      </w:r>
    </w:p>
    <w:p>
      <w:pPr>
        <w:pStyle w:val="Heading2"/>
        <w:spacing w:before="240" w:after="100"/>
      </w:pPr>
      <w:r>
        <w:rPr>
          <w:rFonts w:ascii="Arial" w:cs="Arial" w:eastAsia="Arial" w:hAnsi="Arial"/>
          <w:b/>
          <w:bCs/>
          <w:color w:val="2E75B6"/>
          <w:sz w:val="26"/>
          <w:szCs w:val="26"/>
        </w:rPr>
        <w:t xml:space="preserve">6.6  Verdict Lookup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gridSpan w:val="1"/>
            <w:tcBorders>
              <w:top w:val="single" w:color="D1D5DB" w:sz="1"/>
              <w:left w:val="single" w:color="D1D5DB" w:sz="1"/>
              <w:bottom w:val="single" w:color="D1D5DB" w:sz="1"/>
              <w:right w:val="single" w:color="D1D5DB" w:sz="1"/>
            </w:tcBorders>
            <w:shd w:fill="5B21B6"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Weighted Score Range</w:t>
            </w:r>
          </w:p>
        </w:tc>
        <w:tc>
          <w:tcPr>
            <w:tcW w:type="dxa" w:w="4800"/>
            <w:gridSpan w:val="1"/>
            <w:tcBorders>
              <w:top w:val="single" w:color="D1D5DB" w:sz="1"/>
              <w:left w:val="single" w:color="D1D5DB" w:sz="1"/>
              <w:bottom w:val="single" w:color="D1D5DB" w:sz="1"/>
              <w:right w:val="single" w:color="D1D5DB" w:sz="1"/>
            </w:tcBorders>
            <w:shd w:fill="5B21B6"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Verdict</w:t>
            </w:r>
          </w:p>
        </w:tc>
        <w:tc>
          <w:tcPr>
            <w:tcW w:type="dxa" w:w="2160"/>
            <w:gridSpan w:val="1"/>
            <w:tcBorders>
              <w:top w:val="single" w:color="D1D5DB" w:sz="1"/>
              <w:left w:val="single" w:color="D1D5DB" w:sz="1"/>
              <w:bottom w:val="single" w:color="D1D5DB" w:sz="1"/>
              <w:right w:val="single" w:color="D1D5DB" w:sz="1"/>
            </w:tcBorders>
            <w:shd w:fill="5B21B6"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Colour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 4.0</w:t>
            </w:r>
          </w:p>
        </w:tc>
        <w:tc>
          <w:tcPr>
            <w:tcW w:type="dxa" w:w="4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Strong Acquisition Target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Emerald green</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3.25 – 3.99</w:t>
            </w:r>
          </w:p>
        </w:tc>
        <w:tc>
          <w:tcPr>
            <w:tcW w:type="dxa" w:w="48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Conditional Acquisition Target</w:t>
            </w:r>
          </w:p>
        </w:tc>
        <w:tc>
          <w:tcPr>
            <w:tcW w:type="dxa" w:w="216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Amber / orange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2.50 – 3.24</w:t>
            </w:r>
          </w:p>
        </w:tc>
        <w:tc>
          <w:tcPr>
            <w:tcW w:type="dxa" w:w="4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Moderate Acquisition Target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Blue</w:t>
            </w:r>
          </w:p>
        </w:tc>
      </w:tr>
      <w:tr>
        <w:tc>
          <w:tcPr>
            <w:tcW w:type="dxa" w:w="24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&lt; 2.50</w:t>
            </w:r>
          </w:p>
        </w:tc>
        <w:tc>
          <w:tcPr>
            <w:tcW w:type="dxa" w:w="480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Weak Acquisition Target</w:t>
            </w:r>
          </w:p>
        </w:tc>
        <w:tc>
          <w:tcPr>
            <w:tcW w:type="dxa" w:w="2160"/>
            <w:tcBorders>
              <w:top w:val="single" w:color="D1D5DB" w:sz="1"/>
              <w:left w:val="single" w:color="D1D5DB" w:sz="1"/>
              <w:bottom w:val="single" w:color="D1D5DB" w:sz="1"/>
              <w:right w:val="single" w:color="D1D5DB" w:sz="1"/>
            </w:tcBorders>
            <w:shd w:fill="EDE9FE"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Red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Tier 1 avg ≤ 3</w:t>
            </w:r>
          </w:p>
        </w:tc>
        <w:tc>
          <w:tcPr>
            <w:tcW w:type="dxa" w:w="48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Not Worth Progressing (T1 Gate Fail)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Red — overrides score</w:t>
            </w:r>
          </w:p>
        </w:tc>
      </w:tr>
    </w:tbl>
    <w:p>
      <w:pPr>
        <w:spacing w:after="200"/>
      </w:pPr>
      <w:r>
        <w:t xml:space="preserve"/>
      </w:r>
    </w:p>
    <w:p>
      <w:pPr>
        <w:pStyle w:val="Heading1"/>
        <w:pBdr>
          <w:bottom w:val="single" w:color="2E75B6" w:sz="8" w:space="4"/>
        </w:pBdr>
        <w:spacing w:before="320" w:after="160"/>
      </w:pPr>
      <w:r>
        <w:rPr>
          <w:rFonts w:ascii="Arial" w:cs="Arial" w:eastAsia="Arial" w:hAnsi="Arial"/>
          <w:b/>
          <w:bCs/>
          <w:color w:val="1F4E79"/>
          <w:sz w:val="34"/>
          <w:szCs w:val="34"/>
        </w:rPr>
        <w:t xml:space="preserve">7.  UI Page &amp; Section Map</w:t>
      </w:r>
    </w:p>
    <w:p>
      <w:pPr>
        <w:pStyle w:val="Heading2"/>
        <w:spacing w:before="240" w:after="100"/>
      </w:pPr>
      <w:r>
        <w:rPr>
          <w:rFonts w:ascii="Arial" w:cs="Arial" w:eastAsia="Arial" w:hAnsi="Arial"/>
          <w:b/>
          <w:bCs/>
          <w:color w:val="2E75B6"/>
          <w:sz w:val="26"/>
          <w:szCs w:val="26"/>
        </w:rPr>
        <w:t xml:space="preserve">7.1  Three Main Pages</w:t>
      </w:r>
    </w:p>
    <w:p>
      <w:pPr>
        <w:spacing w:after="100"/>
      </w:pPr>
      <w:r>
        <w:rPr>
          <w:rFonts w:ascii="Arial" w:cs="Arial" w:eastAsia="Arial" w:hAnsi="Arial"/>
          <w:b w:val="false"/>
          <w:bCs w:val="false"/>
          <w:color w:val="1F2937"/>
          <w:sz w:val="20"/>
          <w:szCs w:val="20"/>
        </w:rPr>
        <w:t xml:space="preserve">The frontend is a single-page React app with three tab-based views. The table below summarises what each page displays and which data stage feeds it.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Page / Tab</w:t>
            </w:r>
          </w:p>
        </w:tc>
        <w:tc>
          <w:tcPr>
            <w:tcW w:type="dxa" w:w="350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Sections</w:t>
            </w:r>
          </w:p>
        </w:tc>
        <w:tc>
          <w:tcPr>
            <w:tcW w:type="dxa" w:w="3460"/>
            <w:gridSpan w:val="1"/>
            <w:tcBorders>
              <w:top w:val="single" w:color="1F4E79" w:sz="1"/>
              <w:left w:val="single" w:color="1F4E79" w:sz="1"/>
              <w:bottom w:val="single" w:color="1F4E79" w:sz="1"/>
              <w:right w:val="single" w:color="1F4E79" w:sz="1"/>
            </w:tcBorders>
            <w:shd w:fill="1F4E79"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Primary Data Source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Business Overview</w:t>
            </w:r>
          </w:p>
        </w:tc>
        <w:tc>
          <w:tcPr>
            <w:tcW w:type="dxa" w:w="3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Product Offerings &amp; Market Reach · Operational Stats (Branches / Employees / Customers / Countries) · Management Quality · Strategic Partners · Key Competitors · Quality of IT &amp; Data · Competitive Position · Microfinance Geo-View</w:t>
            </w:r>
          </w:p>
        </w:tc>
        <w:tc>
          <w:tcPr>
            <w:tcW w:type="dxa" w:w="34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(overview, management, shareholders, partners) + Stage 2 (IT details, listing status) + Stage 3 (macro data, competitors, competitive position, management depth)</w:t>
            </w:r>
          </w:p>
        </w:tc>
      </w:tr>
      <w:tr>
        <w:tc>
          <w:tcPr>
            <w:tcW w:type="dxa" w:w="24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Financial Health</w:t>
            </w:r>
          </w:p>
        </w:tc>
        <w:tc>
          <w:tcPr>
            <w:tcW w:type="dxa" w:w="350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Balance Sheet Health (Assets, Liabilities, Equity + ROA/ROE) · Asset / Liability / Equity Line-Item Tables + Common-Size Pie Charts · Profitability &amp; Risk (Op. Income, NII, PAT, NIM, ICR, Cost-to-Income) · Loan Book (GLP, Credit Rating, Deposits/Borrowings, Disbursals, Equity/GLP) · Risks &amp; Anomalies (coloured risk cards)</w:t>
            </w:r>
          </w:p>
        </w:tc>
        <w:tc>
          <w:tcPr>
            <w:tcW w:type="dxa" w:w="3460"/>
            <w:tcBorders>
              <w:top w:val="single" w:color="D1D5DB" w:sz="1"/>
              <w:left w:val="single" w:color="D1D5DB" w:sz="1"/>
              <w:bottom w:val="single" w:color="D1D5DB" w:sz="1"/>
              <w:right w:val="single" w:color="D1D5DB" w:sz="1"/>
            </w:tcBorders>
            <w:shd w:fill="EBF3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Stage 1 (all financial_data fields) + client-side ratio computation (computeRatios.ts)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Rating &amp; Comparison</w:t>
            </w:r>
          </w:p>
        </w:tc>
        <w:tc>
          <w:tcPr>
            <w:tcW w:type="dxa" w:w="3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Weight Editor · Target Company Score Card (overall score, verdict, Tier 1 gating flag, radar chart) · Criterion Score Breakdown (by tier, with sub-scores and LLM justifications) · Peer Company Score Table · KPI Comparison Tables (Balance Sheet, Profitability, Loan, Risk) · GLP + Equity dual-axis trend chart</w:t>
            </w:r>
          </w:p>
        </w:tc>
        <w:tc>
          <w:tcPr>
            <w:tcW w:type="dxa" w:w="34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All three stages (peer scoring uses each company's latest year financial data + qualitative data). Weighted score computed client-side.</w:t>
            </w:r>
          </w:p>
        </w:tc>
      </w:tr>
    </w:tbl>
    <w:p>
      <w:pPr>
        <w:spacing w:after="200"/>
      </w:pPr>
      <w:r>
        <w:t xml:space="preserve"/>
      </w:r>
    </w:p>
    <w:p>
      <w:pPr>
        <w:pStyle w:val="Heading2"/>
        <w:spacing w:before="240" w:after="100"/>
      </w:pPr>
      <w:r>
        <w:rPr>
          <w:rFonts w:ascii="Arial" w:cs="Arial" w:eastAsia="Arial" w:hAnsi="Arial"/>
          <w:b/>
          <w:bCs/>
          <w:color w:val="2E75B6"/>
          <w:sz w:val="26"/>
          <w:szCs w:val="26"/>
        </w:rPr>
        <w:t xml:space="preserve">7.2  Data Source Badges</w:t>
      </w:r>
    </w:p>
    <w:p>
      <w:pPr>
        <w:spacing w:after="100"/>
      </w:pPr>
      <w:r>
        <w:rPr>
          <w:rFonts w:ascii="Arial" w:cs="Arial" w:eastAsia="Arial" w:hAnsi="Arial"/>
          <w:b w:val="false"/>
          <w:bCs w:val="false"/>
          <w:color w:val="1F2937"/>
          <w:sz w:val="20"/>
          <w:szCs w:val="20"/>
        </w:rPr>
        <w:t xml:space="preserve">The UI uses colour-coded "source badges" next to each data section to indicate where the information was retrieved from:</w:t>
      </w:r>
    </w:p>
    <w:p>
      <w:pPr>
        <w:pStyle w:val="ListParagraph"/>
        <w:numPr>
          <w:ilvl w:val="0"/>
          <w:numId w:val="2"/>
        </w:numPr>
        <w:spacing w:after="60"/>
      </w:pPr>
      <w:r>
        <w:rPr>
          <w:rFonts w:ascii="Arial" w:cs="Arial" w:eastAsia="Arial" w:hAnsi="Arial"/>
          <w:b w:val="false"/>
          <w:bCs w:val="false"/>
          <w:color w:val="1F2937"/>
          <w:sz w:val="20"/>
          <w:szCs w:val="20"/>
        </w:rPr>
        <w:t xml:space="preserve">"Files Upload" badge (blue)  — data extracted directly from the uploaded document in Stage 1</w:t>
      </w:r>
    </w:p>
    <w:p>
      <w:pPr>
        <w:pStyle w:val="ListParagraph"/>
        <w:numPr>
          <w:ilvl w:val="0"/>
          <w:numId w:val="2"/>
        </w:numPr>
        <w:spacing w:after="60"/>
      </w:pPr>
      <w:r>
        <w:rPr>
          <w:rFonts w:ascii="Arial" w:cs="Arial" w:eastAsia="Arial" w:hAnsi="Arial"/>
          <w:b w:val="false"/>
          <w:bCs w:val="false"/>
          <w:color w:val="1F2937"/>
          <w:sz w:val="20"/>
          <w:szCs w:val="20"/>
        </w:rPr>
        <w:t xml:space="preserve">"Web Search" badge (green)  — data retrieved via Google Search in Stage 2 or Stage 3</w:t>
      </w:r>
    </w:p>
    <w:p>
      <w:pPr>
        <w:pStyle w:val="ListParagraph"/>
        <w:numPr>
          <w:ilvl w:val="0"/>
          <w:numId w:val="2"/>
        </w:numPr>
        <w:spacing w:after="60"/>
      </w:pPr>
      <w:r>
        <w:rPr>
          <w:rFonts w:ascii="Arial" w:cs="Arial" w:eastAsia="Arial" w:hAnsi="Arial"/>
          <w:b w:val="false"/>
          <w:bCs w:val="false"/>
          <w:color w:val="1F2937"/>
          <w:sz w:val="20"/>
          <w:szCs w:val="20"/>
        </w:rPr>
        <w:t xml:space="preserve">Where both sources contribute, both badges appear side by side</w:t>
      </w:r>
    </w:p>
    <w:p>
      <w:pPr>
        <w:spacing w:after="200"/>
      </w:pPr>
      <w:r>
        <w:t xml:space="preserve"/>
      </w:r>
    </w:p>
    <w:p>
      <w:pPr>
        <w:pStyle w:val="Heading1"/>
        <w:pBdr>
          <w:bottom w:val="single" w:color="2E75B6" w:sz="8" w:space="4"/>
        </w:pBdr>
        <w:spacing w:before="320" w:after="160"/>
      </w:pPr>
      <w:r>
        <w:rPr>
          <w:rFonts w:ascii="Arial" w:cs="Arial" w:eastAsia="Arial" w:hAnsi="Arial"/>
          <w:b/>
          <w:bCs/>
          <w:color w:val="1F4E79"/>
          <w:sz w:val="34"/>
          <w:szCs w:val="34"/>
        </w:rPr>
        <w:t xml:space="preserve">8.  Notes on Implementation Differences</w:t>
      </w:r>
    </w:p>
    <w:p>
      <w:pPr>
        <w:pStyle w:val="Heading2"/>
        <w:spacing w:before="240" w:after="100"/>
      </w:pPr>
      <w:r>
        <w:rPr>
          <w:rFonts w:ascii="Arial" w:cs="Arial" w:eastAsia="Arial" w:hAnsi="Arial"/>
          <w:b/>
          <w:bCs/>
          <w:color w:val="2E75B6"/>
          <w:sz w:val="26"/>
          <w:szCs w:val="26"/>
        </w:rPr>
        <w:t xml:space="preserve">8.1  Provision Coverage — Backend vs. Frontend Formula</w:t>
      </w:r>
    </w:p>
    <w:p>
      <w:pPr>
        <w:spacing w:after="100"/>
      </w:pPr>
      <w:r>
        <w:rPr>
          <w:rFonts w:ascii="Arial" w:cs="Arial" w:eastAsia="Arial" w:hAnsi="Arial"/>
          <w:b w:val="false"/>
          <w:bCs w:val="false"/>
          <w:color w:val="1F2937"/>
          <w:sz w:val="20"/>
          <w:szCs w:val="20"/>
        </w:rPr>
        <w:t xml:space="preserve">There is a deliberate difference in how Provision Coverage is computed in the backend versus the frontend: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rPr>
          <w:tblHeader/>
        </w:trPr>
        <w:tc>
          <w:tcPr>
            <w:tcW w:type="dxa" w:w="200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Layer</w:t>
            </w:r>
          </w:p>
        </w:tc>
        <w:tc>
          <w:tcPr>
            <w:tcW w:type="dxa" w:w="468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Formula</w:t>
            </w:r>
          </w:p>
        </w:tc>
        <w:tc>
          <w:tcPr>
            <w:tcW w:type="dxa" w:w="2680"/>
            <w:gridSpan w:val="1"/>
            <w:tcBorders>
              <w:top w:val="single" w:color="D1D5DB" w:sz="1"/>
              <w:left w:val="single" w:color="D1D5DB" w:sz="1"/>
              <w:bottom w:val="single" w:color="D1D5DB" w:sz="1"/>
              <w:right w:val="single" w:color="D1D5DB" w:sz="1"/>
            </w:tcBorders>
            <w:shd w:fill="006064"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Backend (ratios.py)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Total Loan Loss Provisions ÷ Gross Loan Portfolio × 100</w:t>
            </w:r>
          </w:p>
        </w:tc>
        <w:tc>
          <w:tcPr>
            <w:tcW w:type="dxa" w:w="268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Measures provisions as a share of the entire loan book</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bCs/>
                <w:color w:val="1F2937"/>
                <w:sz w:val="18"/>
                <w:szCs w:val="18"/>
              </w:rPr>
              <w:t xml:space="preserve">Frontend (computeRatios.ts)</w:t>
            </w:r>
          </w:p>
        </w:tc>
        <w:tc>
          <w:tcPr>
            <w:tcW w:type="dxa" w:w="46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Total Loan Loss Provisions ÷ Gross Non-Performing Loans × 100</w:t>
            </w:r>
          </w:p>
        </w:tc>
        <w:tc>
          <w:tcPr>
            <w:tcW w:type="dxa" w:w="268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Industry-standard PCR: how much of NPLs are covered by provisions</w:t>
            </w:r>
          </w:p>
        </w:tc>
      </w:tr>
    </w:tbl>
    <w:p>
      <w:pPr>
        <w:spacing w:after="100"/>
      </w:pPr>
      <w:r>
        <w:t xml:space="preserve"/>
      </w:r>
    </w:p>
    <w:p>
      <w:pPr>
        <w:spacing w:after="100"/>
      </w:pPr>
      <w:r>
        <w:rPr>
          <w:rFonts w:ascii="Arial" w:cs="Arial" w:eastAsia="Arial" w:hAnsi="Arial"/>
          <w:b w:val="false"/>
          <w:bCs w:val="false"/>
          <w:color w:val="1F2937"/>
          <w:sz w:val="20"/>
          <w:szCs w:val="20"/>
        </w:rPr>
        <w:t xml:space="preserve">The frontend value is the one rendered in the UI and used in peer comparison tables. The backend value is stored in the database and is only used if the frontend calculation is unavailable.</w:t>
      </w:r>
    </w:p>
    <w:p>
      <w:pPr>
        <w:spacing w:after="100"/>
      </w:pPr>
      <w:r>
        <w:t xml:space="preserve"/>
      </w:r>
    </w:p>
    <w:p>
      <w:pPr>
        <w:pStyle w:val="Heading2"/>
        <w:spacing w:before="240" w:after="100"/>
      </w:pPr>
      <w:r>
        <w:rPr>
          <w:rFonts w:ascii="Arial" w:cs="Arial" w:eastAsia="Arial" w:hAnsi="Arial"/>
          <w:b/>
          <w:bCs/>
          <w:color w:val="2E75B6"/>
          <w:sz w:val="26"/>
          <w:szCs w:val="26"/>
        </w:rPr>
        <w:t xml:space="preserve">8.2  ROA and ROE — Average vs. Point-in-Time</w:t>
      </w:r>
    </w:p>
    <w:p>
      <w:pPr>
        <w:spacing w:after="100"/>
      </w:pPr>
      <w:r>
        <w:rPr>
          <w:rFonts w:ascii="Arial" w:cs="Arial" w:eastAsia="Arial" w:hAnsi="Arial"/>
          <w:b w:val="false"/>
          <w:bCs w:val="false"/>
          <w:color w:val="1F2937"/>
          <w:sz w:val="20"/>
          <w:szCs w:val="20"/>
        </w:rPr>
        <w:t xml:space="preserve">Both the backend and the frontend compute ROA and ROE using an average denominator when the prior year's data is available. If no prior year exists in the dataset (e.g., first year of analysis), the current year value is used as-is (no averaging). This is consistent with the standard financial analysis convention.</w:t>
      </w:r>
    </w:p>
    <w:p>
      <w:pPr>
        <w:spacing w:after="100"/>
      </w:pPr>
      <w:r>
        <w:t xml:space="preserve"/>
      </w:r>
    </w:p>
    <w:p>
      <w:pPr>
        <w:pStyle w:val="Heading2"/>
        <w:spacing w:before="240" w:after="100"/>
      </w:pPr>
      <w:r>
        <w:rPr>
          <w:rFonts w:ascii="Arial" w:cs="Arial" w:eastAsia="Arial" w:hAnsi="Arial"/>
          <w:b/>
          <w:bCs/>
          <w:color w:val="2E75B6"/>
          <w:sz w:val="26"/>
          <w:szCs w:val="26"/>
        </w:rPr>
        <w:t xml:space="preserve">8.3  Capital Adequacy — Simplified Proxy</w:t>
      </w:r>
    </w:p>
    <w:p>
      <w:pPr>
        <w:spacing w:after="100"/>
      </w:pPr>
      <w:r>
        <w:rPr>
          <w:rFonts w:ascii="Arial" w:cs="Arial" w:eastAsia="Arial" w:hAnsi="Arial"/>
          <w:b w:val="false"/>
          <w:bCs w:val="false"/>
          <w:color w:val="1F2937"/>
          <w:sz w:val="20"/>
          <w:szCs w:val="20"/>
        </w:rPr>
        <w:t xml:space="preserve">The CAR shown in the UI (Total Equity ÷ Total Assets × 100) is a simplified leverage-based proxy, not a full Basel III risk-weighted capital adequacy ratio. A full Basel III computation would require risk-weight schedules for each asset class, which are not available from public annual reports alone. This is noted implicitly by the Risk Detection Framework in Stage 1, which instructs the model to "compare key prudential ratios against local regulatory requirements" as a qualitative risk flag rather than a hard calculation.</w:t>
      </w:r>
    </w:p>
    <w:p>
      <w:pPr>
        <w:spacing w:after="200"/>
      </w:pPr>
      <w:r>
        <w:t xml:space="preserve"/>
      </w:r>
    </w:p>
    <w:p>
      <w:pPr>
        <w:pStyle w:val="Heading1"/>
        <w:pBdr>
          <w:bottom w:val="single" w:color="2E75B6" w:sz="8" w:space="4"/>
        </w:pBdr>
        <w:spacing w:before="320" w:after="160"/>
      </w:pPr>
      <w:r>
        <w:rPr>
          <w:rFonts w:ascii="Arial" w:cs="Arial" w:eastAsia="Arial" w:hAnsi="Arial"/>
          <w:b/>
          <w:bCs/>
          <w:color w:val="1F4E79"/>
          <w:sz w:val="34"/>
          <w:szCs w:val="34"/>
        </w:rPr>
        <w:t xml:space="preserve">9.  End-to-End Data Flow Summary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300"/>
        <w:gridCol w:w="2300"/>
        <w:gridCol w:w="1960"/>
      </w:tblGrid>
      <w:tr>
        <w:trPr>
          <w:tblHeader/>
        </w:trPr>
        <w:tc>
          <w:tcPr>
            <w:tcW w:type="dxa" w:w="500"/>
            <w:gridSpan w:val="1"/>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Step</w:t>
            </w:r>
          </w:p>
        </w:tc>
        <w:tc>
          <w:tcPr>
            <w:tcW w:type="dxa" w:w="2300"/>
            <w:gridSpan w:val="1"/>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Action</w:t>
            </w:r>
          </w:p>
        </w:tc>
        <w:tc>
          <w:tcPr>
            <w:tcW w:type="dxa" w:w="2300"/>
            <w:gridSpan w:val="1"/>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Output</w:t>
            </w:r>
          </w:p>
        </w:tc>
        <w:tc>
          <w:tcPr>
            <w:tcW w:type="dxa" w:w="2300"/>
            <w:gridSpan w:val="1"/>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Storage</w:t>
            </w:r>
          </w:p>
        </w:tc>
        <w:tc>
          <w:tcPr>
            <w:tcW w:type="dxa" w:w="1960"/>
            <w:gridSpan w:val="1"/>
            <w:tcBorders>
              <w:top w:val="single" w:color="D1D5DB" w:sz="1"/>
              <w:left w:val="single" w:color="D1D5DB" w:sz="1"/>
              <w:bottom w:val="single" w:color="D1D5DB" w:sz="1"/>
              <w:right w:val="single" w:color="D1D5DB" w:sz="1"/>
            </w:tcBorders>
            <w:shd w:fill="1F2937" w:val="clear"/>
            <w:tcMar>
              <w:top w:type="dxa" w:w="90"/>
              <w:left w:type="dxa" w:w="130"/>
              <w:bottom w:type="dxa" w:w="90"/>
              <w:right w:type="dxa" w:w="130"/>
            </w:tcMar>
            <w:vAlign w:val="center"/>
          </w:tcPr>
          <w:p>
            <w:pPr>
              <w:jc w:val="left"/>
            </w:pPr>
            <w:r>
              <w:rPr>
                <w:rFonts w:ascii="Arial" w:cs="Arial" w:eastAsia="Arial" w:hAnsi="Arial"/>
                <w:b/>
                <w:bCs/>
                <w:color w:val="FFFFFF"/>
                <w:sz w:val="18"/>
                <w:szCs w:val="18"/>
              </w:rPr>
              <w:t xml:space="preserve">UI Destination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1</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User uploads document(s)</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Raw text/pages extracted by file_ingest.py</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Temp memory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2E75B6"/>
                <w:sz w:val="18"/>
                <w:szCs w:val="18"/>
              </w:rPr>
              <w:t xml:space="preserve">—</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2</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Stage 1 LLM extraction</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company_overview + financial_data (all years) + anomalies_and_risks</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PostgreSQL</w:t>
            </w:r>
          </w:p>
        </w:tc>
        <w:tc>
          <w:tcPr>
            <w:tcW w:type="dxa" w:w="1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2E75B6"/>
                <w:sz w:val="18"/>
                <w:szCs w:val="18"/>
              </w:rPr>
              <w:t xml:space="preserve">Financial Health, Business Overview</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3</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Ratio computation (backend)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Derived ratios injected into financial_health dicts</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PostgreSQL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2E75B6"/>
                <w:sz w:val="18"/>
                <w:szCs w:val="18"/>
              </w:rPr>
              <w:t xml:space="preserve">Cached; overridden client-side</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4</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Stage 2 LLM web enrichment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Patched financial_data gaps + is_publicly_listed + quality_of_it</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PostgreSQL (merged)</w:t>
            </w:r>
          </w:p>
        </w:tc>
        <w:tc>
          <w:tcPr>
            <w:tcW w:type="dxa" w:w="1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2E75B6"/>
                <w:sz w:val="18"/>
                <w:szCs w:val="18"/>
              </w:rPr>
              <w:t xml:space="preserve">Business Overview (IT section)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5</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Stage 3 LLM deep dive</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macroeconomic_geo_view + competitive_position + management_quality</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PostgreSQL</w:t>
            </w:r>
          </w:p>
        </w:tc>
        <w:tc>
          <w:tcPr>
            <w:tcW w:type="dxa" w:w="1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2E75B6"/>
                <w:sz w:val="18"/>
                <w:szCs w:val="18"/>
              </w:rPr>
              <w:t xml:space="preserve">Business Overview (Geo-View, Competitive, Management)</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6</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Frontend loads data</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Raw metrics fetched from API</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Client memory</w:t>
            </w:r>
          </w:p>
        </w:tc>
        <w:tc>
          <w:tcPr>
            <w:tcW w:type="dxa" w:w="1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2E75B6"/>
                <w:sz w:val="18"/>
                <w:szCs w:val="18"/>
              </w:rPr>
              <w:t xml:space="preserv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7</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Client-side ratio computation</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computeRatios.ts derives all displayed ratios</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Client memory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2E75B6"/>
                <w:sz w:val="18"/>
                <w:szCs w:val="18"/>
              </w:rPr>
              <w:t xml:space="preserve">Financial Health, Rating &amp; Comparison KPI tables</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8</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User triggers Rating</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peer_rating_scorer.py scores 9 criteria (det. + LLM)</w:t>
            </w:r>
          </w:p>
        </w:tc>
        <w:tc>
          <w:tcPr>
            <w:tcW w:type="dxa" w:w="230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PostgreSQL</w:t>
            </w:r>
          </w:p>
        </w:tc>
        <w:tc>
          <w:tcPr>
            <w:tcW w:type="dxa" w:w="1960"/>
            <w:tcBorders>
              <w:top w:val="single" w:color="D1D5DB" w:sz="1"/>
              <w:left w:val="single" w:color="D1D5DB" w:sz="1"/>
              <w:bottom w:val="single" w:color="D1D5DB" w:sz="1"/>
              <w:right w:val="single" w:color="D1D5DB" w:sz="1"/>
            </w:tcBorders>
            <w:shd w:fill="F9FAFB" w:val="clear"/>
            <w:tcMar>
              <w:top w:type="dxa" w:w="80"/>
              <w:left w:type="dxa" w:w="130"/>
              <w:bottom w:type="dxa" w:w="80"/>
              <w:right w:type="dxa" w:w="130"/>
            </w:tcMar>
            <w:vAlign w:val="center"/>
          </w:tcPr>
          <w:p>
            <w:pPr>
              <w:jc w:val="left"/>
            </w:pPr>
            <w:r>
              <w:rPr>
                <w:rFonts w:ascii="Arial" w:cs="Arial" w:eastAsia="Arial" w:hAnsi="Arial"/>
                <w:b w:val="false"/>
                <w:bCs w:val="false"/>
                <w:color w:val="2E75B6"/>
                <w:sz w:val="18"/>
                <w:szCs w:val="18"/>
              </w:rPr>
              <w:t xml:space="preserve">Rating &amp; Comparison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center"/>
            </w:pPr>
            <w:r>
              <w:rPr>
                <w:rFonts w:ascii="Arial" w:cs="Arial" w:eastAsia="Arial" w:hAnsi="Arial"/>
                <w:b/>
                <w:bCs/>
                <w:color w:val="1F2937"/>
                <w:sz w:val="18"/>
                <w:szCs w:val="18"/>
              </w:rPr>
              <w:t xml:space="preserve">9</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F2937"/>
                <w:sz w:val="18"/>
                <w:szCs w:val="18"/>
              </w:rPr>
              <w:t xml:space="preserve">Weighted score + verdict</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computeWeightedScore() + gating check in frontend</w:t>
            </w:r>
          </w:p>
        </w:tc>
        <w:tc>
          <w:tcPr>
            <w:tcW w:type="dxa" w:w="230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6B7280"/>
                <w:sz w:val="18"/>
                <w:szCs w:val="18"/>
              </w:rPr>
              <w:t xml:space="preserve">Client memory</w:t>
            </w:r>
          </w:p>
        </w:tc>
        <w:tc>
          <w:tcPr>
            <w:tcW w:type="dxa" w:w="1960"/>
            <w:tcBorders>
              <w:top w:val="single" w:color="D1D5DB" w:sz="1"/>
              <w:left w:val="single" w:color="D1D5DB" w:sz="1"/>
              <w:bottom w:val="single" w:color="D1D5DB" w:sz="1"/>
              <w:right w:val="single" w:color="D1D5DB"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2E75B6"/>
                <w:sz w:val="18"/>
                <w:szCs w:val="18"/>
              </w:rPr>
              <w:t xml:space="preserve">Rating &amp; Comparison — score card + verdict</w:t>
            </w:r>
          </w:p>
        </w:tc>
      </w:tr>
    </w:tbl>
    <w:p>
      <w:pPr>
        <w:spacing w:after="300"/>
      </w:pPr>
      <w:r>
        <w:t xml:space="preserve"/>
      </w:r>
    </w:p>
    <w:p>
      <w:pPr>
        <w:pBdr>
          <w:top w:val="single" w:color="2E75B6" w:sz="4" w:space="4"/>
        </w:pBdr>
        <w:spacing w:before="400"/>
        <w:jc w:val="center"/>
      </w:pPr>
      <w:r>
        <w:rPr>
          <w:rFonts w:ascii="Arial" w:cs="Arial" w:eastAsia="Arial" w:hAnsi="Arial"/>
          <w:color w:val="6B7280"/>
          <w:sz w:val="18"/>
          <w:szCs w:val="18"/>
        </w:rPr>
        <w:t xml:space="preserve">End of Document  ·  DealLens Technical Reference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6B7280"/>
        <w:sz w:val="18"/>
        <w:szCs w:val="18"/>
      </w:rPr>
      <w:t xml:space="preserve">DealLens  |  AI-Driven M&amp;A Assessment System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2026-03-18T08:27:52.985Z</dcterms:created>
  <dcterms:modified xsi:type="dcterms:W3CDTF">2026-03-18T08:27:52.986Z</dcterms:modified>
</cp:coreProperties>
</file>

<file path=docProps/custom.xml><?xml version="1.0" encoding="utf-8"?>
<Properties xmlns="http://schemas.openxmlformats.org/officeDocument/2006/custom-properties" xmlns:vt="http://schemas.openxmlformats.org/officeDocument/2006/docPropsVTypes"/>
</file>