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362F9" w14:textId="77777777" w:rsidR="00C802F1" w:rsidRPr="00C802F1" w:rsidRDefault="00C802F1" w:rsidP="00C802F1">
      <w:pPr>
        <w:tabs>
          <w:tab w:val="num" w:pos="720"/>
        </w:tabs>
        <w:spacing w:after="0" w:line="240" w:lineRule="auto"/>
        <w:textAlignment w:val="baseline"/>
        <w:rPr>
          <w:rFonts w:ascii="Arial" w:hAnsi="Arial" w:cs="Arial"/>
          <w:b/>
          <w:bCs/>
          <w:u w:val="single"/>
        </w:rPr>
      </w:pPr>
      <w:bookmarkStart w:id="0" w:name="_GoBack"/>
      <w:bookmarkEnd w:id="0"/>
      <w:r w:rsidRPr="00C802F1">
        <w:rPr>
          <w:rFonts w:ascii="Arial" w:hAnsi="Arial" w:cs="Arial"/>
          <w:b/>
          <w:bCs/>
          <w:u w:val="single"/>
        </w:rPr>
        <w:t>Risk Factors</w:t>
      </w:r>
    </w:p>
    <w:p w14:paraId="53E8BA08" w14:textId="77777777" w:rsidR="00C802F1" w:rsidRDefault="00C802F1" w:rsidP="00C802F1">
      <w:pPr>
        <w:tabs>
          <w:tab w:val="num" w:pos="720"/>
        </w:tabs>
        <w:spacing w:after="0" w:line="240" w:lineRule="auto"/>
        <w:textAlignment w:val="baseline"/>
        <w:rPr>
          <w:rFonts w:ascii="Arial" w:hAnsi="Arial" w:cs="Arial"/>
          <w:b/>
          <w:bCs/>
        </w:rPr>
      </w:pPr>
    </w:p>
    <w:p w14:paraId="22359B00" w14:textId="77777777" w:rsidR="00C802F1" w:rsidRDefault="00C802F1" w:rsidP="00C802F1">
      <w:pPr>
        <w:tabs>
          <w:tab w:val="num" w:pos="720"/>
        </w:tabs>
        <w:spacing w:after="0" w:line="240" w:lineRule="auto"/>
        <w:textAlignment w:val="baseline"/>
        <w:rPr>
          <w:rFonts w:ascii="Arial" w:hAnsi="Arial" w:cs="Arial"/>
          <w:b/>
          <w:bCs/>
        </w:rPr>
      </w:pPr>
    </w:p>
    <w:p w14:paraId="7D881D85" w14:textId="77777777" w:rsidR="00FB00C9" w:rsidRDefault="00C802F1" w:rsidP="00C802F1">
      <w:pPr>
        <w:tabs>
          <w:tab w:val="num" w:pos="720"/>
        </w:tabs>
        <w:spacing w:after="0" w:line="240" w:lineRule="auto"/>
        <w:textAlignment w:val="baseline"/>
        <w:rPr>
          <w:rFonts w:ascii="Arial" w:hAnsi="Arial" w:cs="Arial"/>
          <w:b/>
          <w:bCs/>
        </w:rPr>
      </w:pPr>
      <w:r>
        <w:rPr>
          <w:rFonts w:ascii="Arial" w:hAnsi="Arial" w:cs="Arial"/>
          <w:b/>
          <w:bCs/>
        </w:rPr>
        <w:t>Chosen</w:t>
      </w:r>
      <w:r w:rsidR="00FB00C9" w:rsidRPr="00FB00C9">
        <w:rPr>
          <w:rFonts w:ascii="Arial" w:hAnsi="Arial" w:cs="Arial"/>
          <w:b/>
          <w:bCs/>
        </w:rPr>
        <w:t xml:space="preserve"> Factors:</w:t>
      </w:r>
    </w:p>
    <w:p w14:paraId="69E1854E" w14:textId="77777777" w:rsidR="00C802F1" w:rsidRPr="00C802F1" w:rsidRDefault="00C802F1" w:rsidP="00C802F1">
      <w:pPr>
        <w:pStyle w:val="ListParagraph"/>
        <w:numPr>
          <w:ilvl w:val="0"/>
          <w:numId w:val="12"/>
        </w:numPr>
        <w:rPr>
          <w:rFonts w:ascii="Arial" w:hAnsi="Arial" w:cs="Arial"/>
        </w:rPr>
      </w:pPr>
      <w:r w:rsidRPr="00C802F1">
        <w:rPr>
          <w:rFonts w:ascii="Arial" w:eastAsia="Times New Roman" w:hAnsi="Arial" w:cs="Arial"/>
          <w:color w:val="000000"/>
          <w:lang w:eastAsia="en-GB"/>
        </w:rPr>
        <w:t>Yield on high-quality corporate bonds</w:t>
      </w:r>
    </w:p>
    <w:p w14:paraId="0BC3E345" w14:textId="77777777" w:rsidR="00C802F1" w:rsidRPr="00C802F1" w:rsidRDefault="00C802F1" w:rsidP="00C802F1">
      <w:pPr>
        <w:pStyle w:val="ListParagraph"/>
        <w:numPr>
          <w:ilvl w:val="0"/>
          <w:numId w:val="12"/>
        </w:numPr>
        <w:rPr>
          <w:rFonts w:ascii="Arial" w:hAnsi="Arial" w:cs="Arial"/>
        </w:rPr>
      </w:pPr>
      <w:r w:rsidRPr="00C802F1">
        <w:rPr>
          <w:rFonts w:ascii="Arial" w:eastAsia="Times New Roman" w:hAnsi="Arial" w:cs="Arial"/>
          <w:color w:val="000000"/>
          <w:lang w:eastAsia="en-GB"/>
        </w:rPr>
        <w:t>Interest rates</w:t>
      </w:r>
    </w:p>
    <w:p w14:paraId="74F2910D" w14:textId="77777777" w:rsidR="00C802F1" w:rsidRPr="00C802F1" w:rsidRDefault="00C802F1" w:rsidP="00C802F1">
      <w:pPr>
        <w:pStyle w:val="ListParagraph"/>
        <w:numPr>
          <w:ilvl w:val="0"/>
          <w:numId w:val="12"/>
        </w:numPr>
        <w:rPr>
          <w:rFonts w:ascii="Arial" w:hAnsi="Arial" w:cs="Arial"/>
        </w:rPr>
      </w:pPr>
      <w:r w:rsidRPr="00C802F1">
        <w:rPr>
          <w:rFonts w:ascii="Arial" w:eastAsia="Times New Roman" w:hAnsi="Arial" w:cs="Arial"/>
          <w:color w:val="000000"/>
          <w:lang w:eastAsia="en-GB"/>
        </w:rPr>
        <w:t xml:space="preserve">Inflation </w:t>
      </w:r>
    </w:p>
    <w:p w14:paraId="18B38866" w14:textId="77777777" w:rsidR="00C802F1" w:rsidRPr="00C802F1" w:rsidRDefault="00C802F1" w:rsidP="00C802F1">
      <w:pPr>
        <w:pStyle w:val="ListParagraph"/>
        <w:numPr>
          <w:ilvl w:val="0"/>
          <w:numId w:val="12"/>
        </w:numPr>
        <w:rPr>
          <w:rFonts w:ascii="Arial" w:hAnsi="Arial" w:cs="Arial"/>
        </w:rPr>
      </w:pPr>
      <w:r w:rsidRPr="00C802F1">
        <w:rPr>
          <w:rFonts w:ascii="Arial" w:eastAsia="Times New Roman" w:hAnsi="Arial" w:cs="Arial"/>
          <w:color w:val="000000"/>
          <w:lang w:eastAsia="en-GB"/>
        </w:rPr>
        <w:t>GDP growth</w:t>
      </w:r>
    </w:p>
    <w:p w14:paraId="3A848174" w14:textId="77777777" w:rsidR="00FB00C9" w:rsidRDefault="00C802F1" w:rsidP="00C802F1">
      <w:pPr>
        <w:pStyle w:val="ListParagraph"/>
        <w:numPr>
          <w:ilvl w:val="0"/>
          <w:numId w:val="12"/>
        </w:numPr>
        <w:tabs>
          <w:tab w:val="num" w:pos="720"/>
        </w:tabs>
        <w:spacing w:after="0" w:line="240" w:lineRule="auto"/>
        <w:textAlignment w:val="baseline"/>
        <w:rPr>
          <w:rFonts w:ascii="Arial" w:hAnsi="Arial" w:cs="Arial"/>
        </w:rPr>
      </w:pPr>
      <w:r w:rsidRPr="00C802F1">
        <w:rPr>
          <w:rFonts w:ascii="Arial" w:hAnsi="Arial" w:cs="Arial"/>
        </w:rPr>
        <w:t>Risk free rate</w:t>
      </w:r>
    </w:p>
    <w:p w14:paraId="08671529" w14:textId="77777777" w:rsidR="00C802F1" w:rsidRPr="00C802F1" w:rsidRDefault="00C802F1" w:rsidP="00C802F1">
      <w:pPr>
        <w:pStyle w:val="ListParagraph"/>
        <w:numPr>
          <w:ilvl w:val="0"/>
          <w:numId w:val="12"/>
        </w:numPr>
        <w:tabs>
          <w:tab w:val="num" w:pos="720"/>
        </w:tabs>
        <w:spacing w:after="0" w:line="240" w:lineRule="auto"/>
        <w:textAlignment w:val="baseline"/>
        <w:rPr>
          <w:rFonts w:ascii="Arial" w:hAnsi="Arial" w:cs="Arial"/>
        </w:rPr>
      </w:pPr>
      <w:r>
        <w:rPr>
          <w:rFonts w:ascii="Arial" w:hAnsi="Arial" w:cs="Arial"/>
        </w:rPr>
        <w:t>Mortality</w:t>
      </w:r>
    </w:p>
    <w:p w14:paraId="75A38D73" w14:textId="77777777" w:rsidR="00C802F1" w:rsidRDefault="00C802F1" w:rsidP="00C802F1">
      <w:pPr>
        <w:tabs>
          <w:tab w:val="num" w:pos="720"/>
        </w:tabs>
        <w:spacing w:after="0" w:line="240" w:lineRule="auto"/>
        <w:textAlignment w:val="baseline"/>
      </w:pPr>
    </w:p>
    <w:tbl>
      <w:tblPr>
        <w:tblStyle w:val="TableGrid"/>
        <w:tblW w:w="0" w:type="auto"/>
        <w:tblLayout w:type="fixed"/>
        <w:tblLook w:val="04A0" w:firstRow="1" w:lastRow="0" w:firstColumn="1" w:lastColumn="0" w:noHBand="0" w:noVBand="1"/>
      </w:tblPr>
      <w:tblGrid>
        <w:gridCol w:w="4248"/>
        <w:gridCol w:w="4768"/>
      </w:tblGrid>
      <w:tr w:rsidR="00C802F1" w14:paraId="4A67888A" w14:textId="77777777" w:rsidTr="00BE5FA7">
        <w:tc>
          <w:tcPr>
            <w:tcW w:w="4248" w:type="dxa"/>
          </w:tcPr>
          <w:p w14:paraId="1E766087" w14:textId="77777777" w:rsidR="00C802F1" w:rsidRPr="00C802F1" w:rsidRDefault="00C802F1" w:rsidP="00C802F1">
            <w:pPr>
              <w:tabs>
                <w:tab w:val="num" w:pos="720"/>
              </w:tabs>
              <w:textAlignment w:val="baseline"/>
              <w:rPr>
                <w:rFonts w:ascii="Arial" w:hAnsi="Arial" w:cs="Arial"/>
                <w:b/>
                <w:bCs/>
              </w:rPr>
            </w:pPr>
            <w:r>
              <w:rPr>
                <w:rFonts w:ascii="Arial" w:hAnsi="Arial" w:cs="Arial"/>
                <w:b/>
                <w:bCs/>
              </w:rPr>
              <w:t>Chosen</w:t>
            </w:r>
            <w:r w:rsidRPr="00FB00C9">
              <w:rPr>
                <w:rFonts w:ascii="Arial" w:hAnsi="Arial" w:cs="Arial"/>
                <w:b/>
                <w:bCs/>
              </w:rPr>
              <w:t xml:space="preserve"> Factors:</w:t>
            </w:r>
          </w:p>
        </w:tc>
        <w:tc>
          <w:tcPr>
            <w:tcW w:w="4768" w:type="dxa"/>
          </w:tcPr>
          <w:p w14:paraId="3E61D650" w14:textId="77777777" w:rsidR="00C802F1" w:rsidRPr="00C802F1" w:rsidRDefault="00C802F1" w:rsidP="00C802F1">
            <w:pPr>
              <w:tabs>
                <w:tab w:val="num" w:pos="720"/>
              </w:tabs>
              <w:textAlignment w:val="baseline"/>
              <w:rPr>
                <w:b/>
                <w:bCs/>
              </w:rPr>
            </w:pPr>
            <w:r>
              <w:rPr>
                <w:b/>
                <w:bCs/>
              </w:rPr>
              <w:t>Data source:</w:t>
            </w:r>
          </w:p>
        </w:tc>
      </w:tr>
      <w:tr w:rsidR="00C802F1" w14:paraId="24BCEAA9" w14:textId="77777777" w:rsidTr="00BE5FA7">
        <w:tc>
          <w:tcPr>
            <w:tcW w:w="4248" w:type="dxa"/>
          </w:tcPr>
          <w:p w14:paraId="00EDE8EF" w14:textId="77777777" w:rsidR="00C802F1" w:rsidRPr="00C802F1" w:rsidRDefault="00C802F1" w:rsidP="00C802F1">
            <w:pPr>
              <w:pStyle w:val="ListParagraph"/>
              <w:numPr>
                <w:ilvl w:val="0"/>
                <w:numId w:val="14"/>
              </w:numPr>
              <w:rPr>
                <w:rFonts w:ascii="Arial" w:hAnsi="Arial" w:cs="Arial"/>
              </w:rPr>
            </w:pPr>
            <w:r w:rsidRPr="00C802F1">
              <w:rPr>
                <w:rFonts w:ascii="Arial" w:eastAsia="Times New Roman" w:hAnsi="Arial" w:cs="Arial"/>
                <w:color w:val="000000"/>
                <w:lang w:eastAsia="en-GB"/>
              </w:rPr>
              <w:t>Yield on high-quality corporate bonds</w:t>
            </w:r>
          </w:p>
        </w:tc>
        <w:tc>
          <w:tcPr>
            <w:tcW w:w="4768" w:type="dxa"/>
          </w:tcPr>
          <w:p w14:paraId="420DC149" w14:textId="77777777" w:rsidR="00C802F1" w:rsidRDefault="00C802F1" w:rsidP="00C802F1">
            <w:pPr>
              <w:tabs>
                <w:tab w:val="num" w:pos="720"/>
              </w:tabs>
              <w:textAlignment w:val="baseline"/>
            </w:pPr>
          </w:p>
        </w:tc>
      </w:tr>
      <w:tr w:rsidR="00C802F1" w14:paraId="7AEEC04B" w14:textId="77777777" w:rsidTr="00BE5FA7">
        <w:trPr>
          <w:trHeight w:val="1087"/>
        </w:trPr>
        <w:tc>
          <w:tcPr>
            <w:tcW w:w="4248" w:type="dxa"/>
          </w:tcPr>
          <w:p w14:paraId="7E830BDD" w14:textId="77777777" w:rsidR="00C802F1" w:rsidRPr="00C802F1" w:rsidRDefault="00C802F1" w:rsidP="00C802F1">
            <w:pPr>
              <w:pStyle w:val="ListParagraph"/>
              <w:numPr>
                <w:ilvl w:val="0"/>
                <w:numId w:val="14"/>
              </w:numPr>
              <w:rPr>
                <w:rFonts w:ascii="Arial" w:hAnsi="Arial" w:cs="Arial"/>
              </w:rPr>
            </w:pPr>
            <w:r w:rsidRPr="00C802F1">
              <w:rPr>
                <w:rFonts w:ascii="Arial" w:eastAsia="Times New Roman" w:hAnsi="Arial" w:cs="Arial"/>
                <w:color w:val="000000"/>
                <w:lang w:eastAsia="en-GB"/>
              </w:rPr>
              <w:t>Interest rates</w:t>
            </w:r>
          </w:p>
        </w:tc>
        <w:tc>
          <w:tcPr>
            <w:tcW w:w="4768" w:type="dxa"/>
          </w:tcPr>
          <w:p w14:paraId="046B1F84" w14:textId="77777777" w:rsidR="00BE5FA7" w:rsidRDefault="00FE7115" w:rsidP="00C802F1">
            <w:pPr>
              <w:tabs>
                <w:tab w:val="num" w:pos="720"/>
              </w:tabs>
              <w:textAlignment w:val="baseline"/>
            </w:pPr>
            <w:hyperlink r:id="rId5" w:history="1">
              <w:r w:rsidR="00604428">
                <w:rPr>
                  <w:rStyle w:val="Hyperlink"/>
                </w:rPr>
                <w:t>https://www.bankofengland.co.uk/inflation-report/2019/august-2019/visual-summary</w:t>
              </w:r>
            </w:hyperlink>
            <w:r w:rsidR="00BE5FA7">
              <w:t xml:space="preserve">    or </w:t>
            </w:r>
          </w:p>
          <w:p w14:paraId="1CA4B2BE" w14:textId="77777777" w:rsidR="00BE5FA7" w:rsidRDefault="00BE5FA7" w:rsidP="00C802F1">
            <w:pPr>
              <w:tabs>
                <w:tab w:val="num" w:pos="720"/>
              </w:tabs>
              <w:textAlignment w:val="baseline"/>
            </w:pPr>
          </w:p>
          <w:p w14:paraId="7569E7CE" w14:textId="77777777" w:rsidR="00BE5FA7" w:rsidRPr="00BE5FA7" w:rsidRDefault="00FE7115" w:rsidP="00C802F1">
            <w:pPr>
              <w:tabs>
                <w:tab w:val="num" w:pos="720"/>
              </w:tabs>
              <w:textAlignment w:val="baseline"/>
              <w:rPr>
                <w:sz w:val="12"/>
                <w:szCs w:val="12"/>
              </w:rPr>
            </w:pPr>
            <w:hyperlink r:id="rId6" w:anchor="BM" w:history="1">
              <w:r w:rsidR="00BE5FA7" w:rsidRPr="00F05EE7">
                <w:rPr>
                  <w:rStyle w:val="Hyperlink"/>
                  <w:sz w:val="18"/>
                  <w:szCs w:val="18"/>
                </w:rPr>
                <w:t>https://www.bankofengland.co.uk/boeapps/database/index.asp?Travel=NIxIRx&amp;levels=2&amp;XNotes=Y&amp;A4051XNode4051.x=6&amp;A4051XNode4051.y=17&amp;Nodes=&amp;SectionRequired=I&amp;HideNums=-1&amp;ExtraInfo=true#BM</w:t>
              </w:r>
            </w:hyperlink>
          </w:p>
        </w:tc>
      </w:tr>
      <w:tr w:rsidR="00C802F1" w14:paraId="0A758D33" w14:textId="77777777" w:rsidTr="00BE5FA7">
        <w:tc>
          <w:tcPr>
            <w:tcW w:w="4248" w:type="dxa"/>
          </w:tcPr>
          <w:p w14:paraId="34540431" w14:textId="77777777" w:rsidR="00C802F1" w:rsidRPr="00C802F1" w:rsidRDefault="00C802F1" w:rsidP="00C802F1">
            <w:pPr>
              <w:pStyle w:val="ListParagraph"/>
              <w:numPr>
                <w:ilvl w:val="0"/>
                <w:numId w:val="14"/>
              </w:numPr>
              <w:rPr>
                <w:rFonts w:ascii="Arial" w:hAnsi="Arial" w:cs="Arial"/>
              </w:rPr>
            </w:pPr>
            <w:r w:rsidRPr="00C802F1">
              <w:rPr>
                <w:rFonts w:ascii="Arial" w:eastAsia="Times New Roman" w:hAnsi="Arial" w:cs="Arial"/>
                <w:color w:val="000000"/>
                <w:lang w:eastAsia="en-GB"/>
              </w:rPr>
              <w:t>Inflation</w:t>
            </w:r>
          </w:p>
        </w:tc>
        <w:tc>
          <w:tcPr>
            <w:tcW w:w="4768" w:type="dxa"/>
          </w:tcPr>
          <w:p w14:paraId="1631AAE3" w14:textId="77777777" w:rsidR="00C802F1" w:rsidRDefault="00FE7115" w:rsidP="00C802F1">
            <w:pPr>
              <w:tabs>
                <w:tab w:val="num" w:pos="720"/>
              </w:tabs>
              <w:textAlignment w:val="baseline"/>
            </w:pPr>
            <w:hyperlink r:id="rId7" w:history="1">
              <w:r w:rsidR="00604428">
                <w:rPr>
                  <w:rStyle w:val="Hyperlink"/>
                </w:rPr>
                <w:t>https://www.bankofengland.co.uk/inflation-report/2019/august-2019/visual-summary</w:t>
              </w:r>
            </w:hyperlink>
          </w:p>
        </w:tc>
      </w:tr>
      <w:tr w:rsidR="00C802F1" w14:paraId="6EFC696A" w14:textId="77777777" w:rsidTr="00BE5FA7">
        <w:tc>
          <w:tcPr>
            <w:tcW w:w="4248" w:type="dxa"/>
          </w:tcPr>
          <w:p w14:paraId="5AB6A2FC" w14:textId="77777777" w:rsidR="00C802F1" w:rsidRPr="00C802F1" w:rsidRDefault="00C802F1" w:rsidP="00C802F1">
            <w:pPr>
              <w:pStyle w:val="ListParagraph"/>
              <w:numPr>
                <w:ilvl w:val="0"/>
                <w:numId w:val="14"/>
              </w:numPr>
              <w:rPr>
                <w:rFonts w:ascii="Arial" w:hAnsi="Arial" w:cs="Arial"/>
              </w:rPr>
            </w:pPr>
            <w:r w:rsidRPr="00C802F1">
              <w:rPr>
                <w:rFonts w:ascii="Arial" w:eastAsia="Times New Roman" w:hAnsi="Arial" w:cs="Arial"/>
                <w:color w:val="000000"/>
                <w:lang w:eastAsia="en-GB"/>
              </w:rPr>
              <w:t>GDP growth</w:t>
            </w:r>
          </w:p>
        </w:tc>
        <w:tc>
          <w:tcPr>
            <w:tcW w:w="4768" w:type="dxa"/>
          </w:tcPr>
          <w:p w14:paraId="2B978600" w14:textId="77777777" w:rsidR="00C802F1" w:rsidRDefault="00FE7115" w:rsidP="00C802F1">
            <w:pPr>
              <w:tabs>
                <w:tab w:val="num" w:pos="720"/>
              </w:tabs>
              <w:textAlignment w:val="baseline"/>
            </w:pPr>
            <w:hyperlink r:id="rId8" w:history="1">
              <w:r w:rsidR="00BE5FA7">
                <w:rPr>
                  <w:rStyle w:val="Hyperlink"/>
                </w:rPr>
                <w:t>https://www.bankofengland.co.uk/statistics/gdp-real-time-database</w:t>
              </w:r>
            </w:hyperlink>
          </w:p>
        </w:tc>
      </w:tr>
      <w:tr w:rsidR="00C802F1" w14:paraId="1A69A87B" w14:textId="77777777" w:rsidTr="00BE5FA7">
        <w:tc>
          <w:tcPr>
            <w:tcW w:w="4248" w:type="dxa"/>
          </w:tcPr>
          <w:p w14:paraId="64650948" w14:textId="77777777" w:rsidR="00C802F1" w:rsidRPr="00C802F1" w:rsidRDefault="00C802F1" w:rsidP="00C802F1">
            <w:pPr>
              <w:pStyle w:val="ListParagraph"/>
              <w:numPr>
                <w:ilvl w:val="0"/>
                <w:numId w:val="14"/>
              </w:numPr>
              <w:textAlignment w:val="baseline"/>
              <w:rPr>
                <w:rFonts w:ascii="Arial" w:hAnsi="Arial" w:cs="Arial"/>
              </w:rPr>
            </w:pPr>
            <w:r w:rsidRPr="00C802F1">
              <w:rPr>
                <w:rFonts w:ascii="Arial" w:hAnsi="Arial" w:cs="Arial"/>
              </w:rPr>
              <w:t>Risk free rate</w:t>
            </w:r>
          </w:p>
        </w:tc>
        <w:tc>
          <w:tcPr>
            <w:tcW w:w="4768" w:type="dxa"/>
          </w:tcPr>
          <w:p w14:paraId="13220014" w14:textId="77777777" w:rsidR="00C802F1" w:rsidRDefault="00604428" w:rsidP="00C802F1">
            <w:pPr>
              <w:tabs>
                <w:tab w:val="num" w:pos="720"/>
              </w:tabs>
              <w:textAlignment w:val="baseline"/>
            </w:pPr>
            <w:r>
              <w:t xml:space="preserve">UK Gilts: </w:t>
            </w:r>
            <w:hyperlink r:id="rId9" w:history="1">
              <w:r>
                <w:rPr>
                  <w:rStyle w:val="Hyperlink"/>
                </w:rPr>
                <w:t>https://www.bankofengland.co.uk/statistics/yield-curves</w:t>
              </w:r>
            </w:hyperlink>
          </w:p>
        </w:tc>
      </w:tr>
      <w:tr w:rsidR="00C802F1" w14:paraId="64A53D88" w14:textId="77777777" w:rsidTr="00BE5FA7">
        <w:tc>
          <w:tcPr>
            <w:tcW w:w="4248" w:type="dxa"/>
          </w:tcPr>
          <w:p w14:paraId="62712669" w14:textId="77777777" w:rsidR="00C802F1" w:rsidRPr="00C802F1" w:rsidRDefault="00C802F1" w:rsidP="00C802F1">
            <w:pPr>
              <w:pStyle w:val="ListParagraph"/>
              <w:numPr>
                <w:ilvl w:val="0"/>
                <w:numId w:val="14"/>
              </w:numPr>
              <w:tabs>
                <w:tab w:val="num" w:pos="720"/>
              </w:tabs>
              <w:textAlignment w:val="baseline"/>
              <w:rPr>
                <w:rFonts w:ascii="Arial" w:hAnsi="Arial" w:cs="Arial"/>
              </w:rPr>
            </w:pPr>
            <w:r>
              <w:rPr>
                <w:rFonts w:ascii="Arial" w:hAnsi="Arial" w:cs="Arial"/>
              </w:rPr>
              <w:t>Mortality</w:t>
            </w:r>
          </w:p>
        </w:tc>
        <w:tc>
          <w:tcPr>
            <w:tcW w:w="4768" w:type="dxa"/>
          </w:tcPr>
          <w:p w14:paraId="29DB7F09" w14:textId="77777777" w:rsidR="00C802F1" w:rsidRDefault="00FE7115" w:rsidP="00C802F1">
            <w:pPr>
              <w:tabs>
                <w:tab w:val="num" w:pos="720"/>
              </w:tabs>
              <w:textAlignment w:val="baseline"/>
            </w:pPr>
            <w:hyperlink r:id="rId10" w:history="1">
              <w:r w:rsidR="00BE5FA7">
                <w:rPr>
                  <w:rStyle w:val="Hyperlink"/>
                </w:rPr>
                <w:t>https://www.ons.gov.uk/peoplepopulationandcommunity/populationandmigration/populationestimates/datasets/vitalstatisticspopulationandhealthreferencetables</w:t>
              </w:r>
            </w:hyperlink>
          </w:p>
        </w:tc>
      </w:tr>
    </w:tbl>
    <w:p w14:paraId="32366C44" w14:textId="77777777" w:rsidR="00C802F1" w:rsidRDefault="00C802F1" w:rsidP="00C802F1">
      <w:pPr>
        <w:tabs>
          <w:tab w:val="num" w:pos="720"/>
        </w:tabs>
        <w:spacing w:after="0" w:line="240" w:lineRule="auto"/>
        <w:textAlignment w:val="baseline"/>
      </w:pPr>
    </w:p>
    <w:p w14:paraId="6CE428B8" w14:textId="77777777" w:rsidR="00AD5553" w:rsidRDefault="00AD5553" w:rsidP="00C802F1">
      <w:pPr>
        <w:tabs>
          <w:tab w:val="num" w:pos="720"/>
        </w:tabs>
        <w:spacing w:after="0" w:line="240" w:lineRule="auto"/>
        <w:textAlignment w:val="baseline"/>
      </w:pPr>
    </w:p>
    <w:p w14:paraId="07FB07A5" w14:textId="77777777" w:rsidR="00AD5553" w:rsidRPr="00AD5553" w:rsidRDefault="00AD5553" w:rsidP="004E45D9">
      <w:pPr>
        <w:tabs>
          <w:tab w:val="num" w:pos="720"/>
        </w:tabs>
        <w:spacing w:after="0" w:line="240" w:lineRule="auto"/>
        <w:textAlignment w:val="baseline"/>
        <w:rPr>
          <w:rFonts w:ascii="Arial" w:hAnsi="Arial" w:cs="Arial"/>
        </w:rPr>
      </w:pPr>
      <w:r w:rsidRPr="00AD5553">
        <w:rPr>
          <w:rFonts w:ascii="Arial" w:hAnsi="Arial" w:cs="Arial"/>
          <w:b/>
          <w:bCs/>
        </w:rPr>
        <w:t xml:space="preserve">Initial note: </w:t>
      </w:r>
      <w:r w:rsidRPr="00AD5553">
        <w:rPr>
          <w:rFonts w:ascii="Arial" w:hAnsi="Arial" w:cs="Arial"/>
        </w:rPr>
        <w:t xml:space="preserve">I think the Equity release mortgages pose a significant risk and is one which includes significant correlation between inflation, interest, risk free and mortality. I have found some documentation on </w:t>
      </w:r>
      <w:proofErr w:type="gramStart"/>
      <w:r w:rsidRPr="00AD5553">
        <w:rPr>
          <w:rFonts w:ascii="Arial" w:hAnsi="Arial" w:cs="Arial"/>
        </w:rPr>
        <w:t>it</w:t>
      </w:r>
      <w:proofErr w:type="gramEnd"/>
      <w:r w:rsidRPr="00AD5553">
        <w:rPr>
          <w:rFonts w:ascii="Arial" w:hAnsi="Arial" w:cs="Arial"/>
        </w:rPr>
        <w:t xml:space="preserve"> but I was wondering if we could get some help on how to model this. Since it is a growing asset help by large insurers like AVIVA and Total Equity Release Lending Activity as more than doubled in the past five years and because these are rather illiquid an </w:t>
      </w:r>
      <w:proofErr w:type="gramStart"/>
      <w:r w:rsidRPr="00AD5553">
        <w:rPr>
          <w:rFonts w:ascii="Arial" w:hAnsi="Arial" w:cs="Arial"/>
        </w:rPr>
        <w:t>unrated assets</w:t>
      </w:r>
      <w:proofErr w:type="gramEnd"/>
      <w:r w:rsidRPr="00AD5553">
        <w:rPr>
          <w:rFonts w:ascii="Arial" w:hAnsi="Arial" w:cs="Arial"/>
        </w:rPr>
        <w:t xml:space="preserve">. </w:t>
      </w:r>
      <w:r w:rsidR="000620BA">
        <w:rPr>
          <w:rFonts w:ascii="Arial" w:hAnsi="Arial" w:cs="Arial"/>
        </w:rPr>
        <w:t xml:space="preserve">My understanding is that we can model these </w:t>
      </w:r>
      <w:r w:rsidR="004E45D9">
        <w:rPr>
          <w:rFonts w:ascii="Arial" w:hAnsi="Arial" w:cs="Arial"/>
        </w:rPr>
        <w:t xml:space="preserve">by under stochastic models which </w:t>
      </w:r>
      <w:r w:rsidR="004E45D9" w:rsidRPr="004E45D9">
        <w:rPr>
          <w:rFonts w:ascii="Arial" w:hAnsi="Arial" w:cs="Arial"/>
        </w:rPr>
        <w:t>allow for a more sophisticated approach to be adopted</w:t>
      </w:r>
      <w:r w:rsidR="004E45D9">
        <w:rPr>
          <w:rFonts w:ascii="Arial" w:hAnsi="Arial" w:cs="Arial"/>
        </w:rPr>
        <w:t xml:space="preserve"> </w:t>
      </w:r>
      <w:r w:rsidR="004E45D9" w:rsidRPr="004E45D9">
        <w:rPr>
          <w:rFonts w:ascii="Arial" w:hAnsi="Arial" w:cs="Arial"/>
        </w:rPr>
        <w:t>with, for example, correlations between interest rates and property prices, interest rates,</w:t>
      </w:r>
      <w:r w:rsidR="004E45D9">
        <w:rPr>
          <w:rFonts w:ascii="Arial" w:hAnsi="Arial" w:cs="Arial"/>
        </w:rPr>
        <w:t xml:space="preserve"> and</w:t>
      </w:r>
      <w:r w:rsidR="004E45D9" w:rsidRPr="004E45D9">
        <w:rPr>
          <w:rFonts w:ascii="Arial" w:hAnsi="Arial" w:cs="Arial"/>
        </w:rPr>
        <w:t xml:space="preserve"> early</w:t>
      </w:r>
      <w:r w:rsidR="004E45D9">
        <w:rPr>
          <w:rFonts w:ascii="Arial" w:hAnsi="Arial" w:cs="Arial"/>
        </w:rPr>
        <w:t xml:space="preserve"> </w:t>
      </w:r>
      <w:r w:rsidR="004E45D9" w:rsidRPr="004E45D9">
        <w:rPr>
          <w:rFonts w:ascii="Arial" w:hAnsi="Arial" w:cs="Arial"/>
        </w:rPr>
        <w:t>terminations</w:t>
      </w:r>
      <w:r w:rsidR="004E45D9">
        <w:rPr>
          <w:rFonts w:ascii="Arial" w:hAnsi="Arial" w:cs="Arial"/>
        </w:rPr>
        <w:t>.</w:t>
      </w:r>
    </w:p>
    <w:p w14:paraId="4460EE87" w14:textId="77777777" w:rsidR="00AD5553" w:rsidRDefault="00AD5553" w:rsidP="00C802F1">
      <w:pPr>
        <w:tabs>
          <w:tab w:val="num" w:pos="720"/>
        </w:tabs>
        <w:spacing w:after="0" w:line="240" w:lineRule="auto"/>
        <w:textAlignment w:val="baseline"/>
      </w:pPr>
    </w:p>
    <w:p w14:paraId="55AB839D" w14:textId="77777777" w:rsidR="00C802F1" w:rsidRPr="00C802F1" w:rsidRDefault="00C802F1" w:rsidP="00C802F1">
      <w:pPr>
        <w:tabs>
          <w:tab w:val="num" w:pos="720"/>
        </w:tabs>
        <w:spacing w:after="0" w:line="240" w:lineRule="auto"/>
        <w:textAlignment w:val="baseline"/>
        <w:rPr>
          <w:rFonts w:ascii="Arial" w:hAnsi="Arial" w:cs="Arial"/>
          <w:b/>
          <w:bCs/>
        </w:rPr>
      </w:pPr>
      <w:r w:rsidRPr="00C802F1">
        <w:rPr>
          <w:rFonts w:ascii="Arial" w:hAnsi="Arial" w:cs="Arial"/>
          <w:b/>
          <w:bCs/>
        </w:rPr>
        <w:t>Risk factor choice motivation</w:t>
      </w:r>
      <w:r>
        <w:rPr>
          <w:rFonts w:ascii="Arial" w:hAnsi="Arial" w:cs="Arial"/>
          <w:b/>
          <w:bCs/>
        </w:rPr>
        <w:t>:</w:t>
      </w:r>
    </w:p>
    <w:p w14:paraId="2FE4FE52" w14:textId="77777777" w:rsidR="00C802F1" w:rsidRDefault="00C802F1" w:rsidP="00042262">
      <w:pPr>
        <w:tabs>
          <w:tab w:val="num" w:pos="720"/>
        </w:tabs>
        <w:spacing w:after="0" w:line="240" w:lineRule="auto"/>
        <w:ind w:left="720" w:hanging="360"/>
        <w:textAlignment w:val="baseline"/>
      </w:pPr>
    </w:p>
    <w:p w14:paraId="7EFD52EC" w14:textId="77777777" w:rsidR="00042262" w:rsidRPr="00D661A0" w:rsidRDefault="00042262" w:rsidP="00042262">
      <w:pPr>
        <w:numPr>
          <w:ilvl w:val="0"/>
          <w:numId w:val="1"/>
        </w:numPr>
        <w:spacing w:after="0" w:line="240" w:lineRule="auto"/>
        <w:textAlignment w:val="baseline"/>
        <w:rPr>
          <w:rFonts w:ascii="Arial" w:eastAsia="Times New Roman" w:hAnsi="Arial" w:cs="Arial"/>
          <w:b/>
          <w:bCs/>
          <w:color w:val="000000"/>
          <w:lang w:eastAsia="en-GB"/>
        </w:rPr>
      </w:pPr>
      <w:r w:rsidRPr="00D661A0">
        <w:rPr>
          <w:rFonts w:ascii="Arial" w:eastAsia="Times New Roman" w:hAnsi="Arial" w:cs="Arial"/>
          <w:b/>
          <w:bCs/>
          <w:color w:val="000000"/>
          <w:lang w:eastAsia="en-GB"/>
        </w:rPr>
        <w:t>Pension Scheme Risk: </w:t>
      </w:r>
    </w:p>
    <w:p w14:paraId="57631E58" w14:textId="77777777" w:rsidR="00042262" w:rsidRPr="00D661A0" w:rsidRDefault="00042262" w:rsidP="00042262">
      <w:pPr>
        <w:numPr>
          <w:ilvl w:val="1"/>
          <w:numId w:val="1"/>
        </w:numPr>
        <w:spacing w:after="0" w:line="240" w:lineRule="auto"/>
        <w:textAlignment w:val="baseline"/>
        <w:rPr>
          <w:rFonts w:ascii="Arial" w:eastAsia="Times New Roman" w:hAnsi="Arial" w:cs="Arial"/>
          <w:b/>
          <w:bCs/>
          <w:color w:val="000000"/>
          <w:lang w:eastAsia="en-GB"/>
        </w:rPr>
      </w:pPr>
      <w:r w:rsidRPr="00D661A0">
        <w:rPr>
          <w:rFonts w:ascii="Arial" w:eastAsia="Times New Roman" w:hAnsi="Arial" w:cs="Arial"/>
          <w:color w:val="000000"/>
          <w:lang w:eastAsia="en-GB"/>
        </w:rPr>
        <w:t xml:space="preserve">Where pension schemes are valued on the Solvency II balance sheet under IAS19, insurers use the </w:t>
      </w:r>
      <w:r w:rsidRPr="00D661A0">
        <w:rPr>
          <w:rFonts w:ascii="Arial" w:eastAsia="Times New Roman" w:hAnsi="Arial" w:cs="Arial"/>
          <w:color w:val="000000"/>
          <w:shd w:val="clear" w:color="auto" w:fill="00FF00"/>
          <w:lang w:eastAsia="en-GB"/>
        </w:rPr>
        <w:t xml:space="preserve">yield on high-quality corporate bonds </w:t>
      </w:r>
      <w:r w:rsidRPr="00D661A0">
        <w:rPr>
          <w:rFonts w:ascii="Arial" w:eastAsia="Times New Roman" w:hAnsi="Arial" w:cs="Arial"/>
          <w:color w:val="000000"/>
          <w:lang w:eastAsia="en-GB"/>
        </w:rPr>
        <w:t xml:space="preserve">for the valuation of the liabilities. </w:t>
      </w:r>
      <w:r w:rsidRPr="00D661A0">
        <w:rPr>
          <w:rFonts w:ascii="Arial" w:eastAsia="Times New Roman" w:hAnsi="Arial" w:cs="Arial"/>
          <w:color w:val="000000"/>
          <w:shd w:val="clear" w:color="auto" w:fill="00FF00"/>
          <w:lang w:eastAsia="en-GB"/>
        </w:rPr>
        <w:t xml:space="preserve">This may differ from the yield on assets </w:t>
      </w:r>
      <w:proofErr w:type="gramStart"/>
      <w:r w:rsidRPr="00D661A0">
        <w:rPr>
          <w:rFonts w:ascii="Arial" w:eastAsia="Times New Roman" w:hAnsi="Arial" w:cs="Arial"/>
          <w:color w:val="000000"/>
          <w:shd w:val="clear" w:color="auto" w:fill="00FF00"/>
          <w:lang w:eastAsia="en-GB"/>
        </w:rPr>
        <w:t>actually held</w:t>
      </w:r>
      <w:proofErr w:type="gramEnd"/>
      <w:r w:rsidRPr="00D661A0">
        <w:rPr>
          <w:rFonts w:ascii="Arial" w:eastAsia="Times New Roman" w:hAnsi="Arial" w:cs="Arial"/>
          <w:color w:val="000000"/>
          <w:shd w:val="clear" w:color="auto" w:fill="00FF00"/>
          <w:lang w:eastAsia="en-GB"/>
        </w:rPr>
        <w:t xml:space="preserve"> by the scheme</w:t>
      </w:r>
      <w:r w:rsidRPr="00D661A0">
        <w:rPr>
          <w:rFonts w:ascii="Arial" w:eastAsia="Times New Roman" w:hAnsi="Arial" w:cs="Arial"/>
          <w:color w:val="000000"/>
          <w:lang w:eastAsia="en-GB"/>
        </w:rPr>
        <w:t>.</w:t>
      </w:r>
    </w:p>
    <w:p w14:paraId="1090047E" w14:textId="77777777" w:rsidR="004E45D9" w:rsidRPr="00042262" w:rsidRDefault="00042262" w:rsidP="00042262">
      <w:pPr>
        <w:pStyle w:val="ListParagraph"/>
        <w:numPr>
          <w:ilvl w:val="0"/>
          <w:numId w:val="2"/>
        </w:numPr>
        <w:rPr>
          <w:rFonts w:ascii="Arial" w:hAnsi="Arial" w:cs="Arial"/>
        </w:rPr>
      </w:pPr>
      <w:proofErr w:type="gramStart"/>
      <w:r w:rsidRPr="00042262">
        <w:rPr>
          <w:rFonts w:ascii="Arial" w:eastAsia="Times New Roman" w:hAnsi="Arial" w:cs="Arial"/>
          <w:color w:val="000000"/>
          <w:lang w:eastAsia="en-GB"/>
        </w:rPr>
        <w:t>So</w:t>
      </w:r>
      <w:proofErr w:type="gramEnd"/>
      <w:r w:rsidRPr="00042262">
        <w:rPr>
          <w:rFonts w:ascii="Arial" w:eastAsia="Times New Roman" w:hAnsi="Arial" w:cs="Arial"/>
          <w:color w:val="000000"/>
          <w:lang w:eastAsia="en-GB"/>
        </w:rPr>
        <w:t xml:space="preserve"> the </w:t>
      </w:r>
      <w:r w:rsidRPr="005D0EB5">
        <w:rPr>
          <w:rFonts w:ascii="Arial" w:eastAsia="Times New Roman" w:hAnsi="Arial" w:cs="Arial"/>
          <w:b/>
          <w:bCs/>
          <w:color w:val="000000"/>
          <w:lang w:eastAsia="en-GB"/>
        </w:rPr>
        <w:t>yield on high-quality corporate bonds</w:t>
      </w:r>
      <w:r w:rsidRPr="00042262">
        <w:rPr>
          <w:rFonts w:ascii="Arial" w:eastAsia="Times New Roman" w:hAnsi="Arial" w:cs="Arial"/>
          <w:color w:val="000000"/>
          <w:lang w:eastAsia="en-GB"/>
        </w:rPr>
        <w:t xml:space="preserve"> is a risk factor</w:t>
      </w:r>
    </w:p>
    <w:p w14:paraId="0009062E" w14:textId="77777777" w:rsidR="00042262" w:rsidRPr="005D0EB5" w:rsidRDefault="00042262" w:rsidP="00042262">
      <w:pPr>
        <w:pStyle w:val="ListParagraph"/>
        <w:numPr>
          <w:ilvl w:val="1"/>
          <w:numId w:val="2"/>
        </w:numPr>
        <w:rPr>
          <w:rFonts w:ascii="Arial" w:hAnsi="Arial" w:cs="Arial"/>
          <w:b/>
          <w:bCs/>
        </w:rPr>
      </w:pPr>
      <w:r>
        <w:rPr>
          <w:rFonts w:ascii="Arial" w:eastAsia="Times New Roman" w:hAnsi="Arial" w:cs="Arial"/>
          <w:color w:val="000000"/>
          <w:lang w:eastAsia="en-GB"/>
        </w:rPr>
        <w:t xml:space="preserve">These are influenced by </w:t>
      </w:r>
      <w:r w:rsidRPr="005D0EB5">
        <w:rPr>
          <w:rFonts w:ascii="Arial" w:eastAsia="Times New Roman" w:hAnsi="Arial" w:cs="Arial"/>
          <w:b/>
          <w:bCs/>
          <w:color w:val="000000"/>
          <w:lang w:eastAsia="en-GB"/>
        </w:rPr>
        <w:t>interest rates</w:t>
      </w:r>
      <w:r>
        <w:rPr>
          <w:rFonts w:ascii="Arial" w:eastAsia="Times New Roman" w:hAnsi="Arial" w:cs="Arial"/>
          <w:color w:val="000000"/>
          <w:lang w:eastAsia="en-GB"/>
        </w:rPr>
        <w:t xml:space="preserve">, </w:t>
      </w:r>
      <w:r w:rsidRPr="005D0EB5">
        <w:rPr>
          <w:rFonts w:ascii="Arial" w:eastAsia="Times New Roman" w:hAnsi="Arial" w:cs="Arial"/>
          <w:b/>
          <w:bCs/>
          <w:color w:val="000000"/>
          <w:lang w:eastAsia="en-GB"/>
        </w:rPr>
        <w:t>inflation</w:t>
      </w:r>
      <w:r>
        <w:rPr>
          <w:rFonts w:ascii="Arial" w:eastAsia="Times New Roman" w:hAnsi="Arial" w:cs="Arial"/>
          <w:color w:val="000000"/>
          <w:lang w:eastAsia="en-GB"/>
        </w:rPr>
        <w:t xml:space="preserve"> and </w:t>
      </w:r>
      <w:r w:rsidRPr="005D0EB5">
        <w:rPr>
          <w:rFonts w:ascii="Arial" w:eastAsia="Times New Roman" w:hAnsi="Arial" w:cs="Arial"/>
          <w:b/>
          <w:bCs/>
          <w:color w:val="000000"/>
          <w:lang w:eastAsia="en-GB"/>
        </w:rPr>
        <w:t>GDP growth</w:t>
      </w:r>
    </w:p>
    <w:p w14:paraId="753ED339" w14:textId="77777777" w:rsidR="005D0EB5" w:rsidRPr="005D0EB5" w:rsidRDefault="005D0EB5" w:rsidP="005D0EB5">
      <w:pPr>
        <w:spacing w:after="0" w:line="240" w:lineRule="auto"/>
        <w:textAlignment w:val="baseline"/>
        <w:rPr>
          <w:rFonts w:ascii="Arial" w:eastAsia="Times New Roman" w:hAnsi="Arial" w:cs="Arial"/>
          <w:b/>
          <w:bCs/>
          <w:color w:val="000000"/>
          <w:lang w:eastAsia="en-GB"/>
        </w:rPr>
      </w:pPr>
      <w:r>
        <w:rPr>
          <w:rFonts w:ascii="Arial" w:eastAsia="Times New Roman" w:hAnsi="Arial" w:cs="Arial"/>
          <w:b/>
          <w:bCs/>
          <w:color w:val="000000"/>
          <w:lang w:eastAsia="en-GB"/>
        </w:rPr>
        <w:lastRenderedPageBreak/>
        <w:t>Note:</w:t>
      </w:r>
    </w:p>
    <w:p w14:paraId="063A1A9D" w14:textId="77777777" w:rsidR="005D0EB5" w:rsidRPr="00D661A0" w:rsidRDefault="005D0EB5" w:rsidP="005D0EB5">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For all</w:t>
      </w:r>
      <w:r w:rsidRPr="00D661A0">
        <w:rPr>
          <w:rFonts w:ascii="Arial" w:eastAsia="Times New Roman" w:hAnsi="Arial" w:cs="Arial"/>
          <w:color w:val="000000"/>
          <w:lang w:eastAsia="en-GB"/>
        </w:rPr>
        <w:t xml:space="preserve"> participants for which it is relevant assume</w:t>
      </w:r>
      <w:r>
        <w:rPr>
          <w:rFonts w:ascii="Arial" w:eastAsia="Times New Roman" w:hAnsi="Arial" w:cs="Arial"/>
          <w:color w:val="000000"/>
          <w:lang w:eastAsia="en-GB"/>
        </w:rPr>
        <w:t>d</w:t>
      </w:r>
      <w:r w:rsidRPr="00D661A0">
        <w:rPr>
          <w:rFonts w:ascii="Arial" w:eastAsia="Times New Roman" w:hAnsi="Arial" w:cs="Arial"/>
          <w:color w:val="000000"/>
          <w:lang w:eastAsia="en-GB"/>
        </w:rPr>
        <w:t xml:space="preserve"> a medium or high positive correlation between credit spread and equity risks. The assumptions are broadly consistent with the Standard Formula’s prescribed high positive correlation (+75%). </w:t>
      </w:r>
    </w:p>
    <w:p w14:paraId="7E1B9F52" w14:textId="77777777" w:rsidR="005D0EB5" w:rsidRPr="005D0EB5" w:rsidRDefault="005D0EB5" w:rsidP="005D0EB5">
      <w:pPr>
        <w:rPr>
          <w:rFonts w:ascii="Arial" w:hAnsi="Arial" w:cs="Arial"/>
          <w:b/>
          <w:bCs/>
        </w:rPr>
      </w:pPr>
    </w:p>
    <w:p w14:paraId="04BC0607" w14:textId="77777777" w:rsidR="00042262" w:rsidRPr="00042262" w:rsidRDefault="00042262" w:rsidP="00042262">
      <w:pPr>
        <w:pStyle w:val="ListParagraph"/>
        <w:ind w:left="1440"/>
        <w:rPr>
          <w:rFonts w:ascii="Arial" w:hAnsi="Arial" w:cs="Arial"/>
        </w:rPr>
      </w:pPr>
    </w:p>
    <w:p w14:paraId="3C3FEA1F" w14:textId="77777777" w:rsidR="00042262" w:rsidRPr="00042262" w:rsidRDefault="00042262" w:rsidP="00042262">
      <w:pPr>
        <w:pStyle w:val="ListParagraph"/>
        <w:numPr>
          <w:ilvl w:val="0"/>
          <w:numId w:val="3"/>
        </w:numPr>
        <w:spacing w:after="0" w:line="240" w:lineRule="auto"/>
        <w:textAlignment w:val="baseline"/>
        <w:rPr>
          <w:rFonts w:ascii="Arial" w:eastAsia="Times New Roman" w:hAnsi="Arial" w:cs="Arial"/>
          <w:b/>
          <w:bCs/>
          <w:color w:val="000000"/>
          <w:lang w:eastAsia="en-GB"/>
        </w:rPr>
      </w:pPr>
      <w:r w:rsidRPr="00042262">
        <w:rPr>
          <w:rFonts w:ascii="Arial" w:eastAsia="Times New Roman" w:hAnsi="Arial" w:cs="Arial"/>
          <w:b/>
          <w:bCs/>
          <w:color w:val="000000"/>
          <w:lang w:eastAsia="en-GB"/>
        </w:rPr>
        <w:t>Equity release mortgages</w:t>
      </w:r>
    </w:p>
    <w:p w14:paraId="7B058E36" w14:textId="77777777" w:rsidR="00042262" w:rsidRPr="00042262" w:rsidRDefault="00042262" w:rsidP="00042262">
      <w:pPr>
        <w:pStyle w:val="ListParagraph"/>
        <w:numPr>
          <w:ilvl w:val="1"/>
          <w:numId w:val="3"/>
        </w:numPr>
        <w:rPr>
          <w:rFonts w:ascii="Arial" w:hAnsi="Arial" w:cs="Arial"/>
        </w:rPr>
      </w:pPr>
      <w:r w:rsidRPr="00042262">
        <w:rPr>
          <w:rFonts w:ascii="Arial" w:eastAsia="Times New Roman" w:hAnsi="Arial" w:cs="Arial"/>
          <w:color w:val="000000"/>
          <w:shd w:val="clear" w:color="auto" w:fill="00FF00"/>
          <w:lang w:eastAsia="en-GB"/>
        </w:rPr>
        <w:t>Illiquid unrated assets such as equity release mortgages (ERM) have been increasingly used by life insurers with large annuity books in recent years to optimise their capital position under Solvency II.</w:t>
      </w:r>
      <w:r w:rsidRPr="00042262">
        <w:rPr>
          <w:rFonts w:ascii="Arial" w:eastAsia="Times New Roman" w:hAnsi="Arial" w:cs="Arial"/>
          <w:color w:val="000000"/>
          <w:lang w:eastAsia="en-GB"/>
        </w:rPr>
        <w:t xml:space="preserve"> As of </w:t>
      </w:r>
      <w:proofErr w:type="gramStart"/>
      <w:r w:rsidRPr="00042262">
        <w:rPr>
          <w:rFonts w:ascii="Arial" w:eastAsia="Times New Roman" w:hAnsi="Arial" w:cs="Arial"/>
          <w:color w:val="000000"/>
          <w:shd w:val="clear" w:color="auto" w:fill="00FF00"/>
          <w:lang w:eastAsia="en-GB"/>
        </w:rPr>
        <w:t>July 2017</w:t>
      </w:r>
      <w:proofErr w:type="gramEnd"/>
      <w:r w:rsidRPr="00042262">
        <w:rPr>
          <w:rFonts w:ascii="Arial" w:eastAsia="Times New Roman" w:hAnsi="Arial" w:cs="Arial"/>
          <w:color w:val="000000"/>
          <w:shd w:val="clear" w:color="auto" w:fill="00FF00"/>
          <w:lang w:eastAsia="en-GB"/>
        </w:rPr>
        <w:t xml:space="preserve"> it was noted that 25% of annuity liabilities were backed by illiquid direct investment assets with the Prudential Regulation Authority (PRA) expecting this to increase to 40% by 2020.</w:t>
      </w:r>
    </w:p>
    <w:p w14:paraId="1F2D9D7D" w14:textId="77777777" w:rsidR="00042262" w:rsidRPr="00042262" w:rsidRDefault="00042262" w:rsidP="00042262">
      <w:pPr>
        <w:pStyle w:val="ListParagraph"/>
        <w:numPr>
          <w:ilvl w:val="0"/>
          <w:numId w:val="5"/>
        </w:numPr>
        <w:rPr>
          <w:rFonts w:ascii="Arial" w:hAnsi="Arial" w:cs="Arial"/>
        </w:rPr>
      </w:pPr>
      <w:r w:rsidRPr="00042262">
        <w:rPr>
          <w:rFonts w:ascii="Arial" w:hAnsi="Arial" w:cs="Arial"/>
        </w:rPr>
        <w:t xml:space="preserve">Property growth: we can </w:t>
      </w:r>
      <w:r w:rsidRPr="00D661A0">
        <w:rPr>
          <w:rFonts w:ascii="Arial" w:eastAsia="Times New Roman" w:hAnsi="Arial" w:cs="Arial"/>
          <w:color w:val="000000"/>
          <w:lang w:eastAsia="en-GB"/>
        </w:rPr>
        <w:t xml:space="preserve">model the best estimate property growth assumption in one of two ways – either using a </w:t>
      </w:r>
      <w:r w:rsidRPr="00D661A0">
        <w:rPr>
          <w:rFonts w:ascii="Arial" w:eastAsia="Times New Roman" w:hAnsi="Arial" w:cs="Arial"/>
          <w:b/>
          <w:bCs/>
          <w:color w:val="000000"/>
          <w:shd w:val="clear" w:color="auto" w:fill="00FF00"/>
          <w:lang w:eastAsia="en-GB"/>
        </w:rPr>
        <w:t>risk-free rate</w:t>
      </w:r>
      <w:r w:rsidRPr="00D661A0">
        <w:rPr>
          <w:rFonts w:ascii="Arial" w:eastAsia="Times New Roman" w:hAnsi="Arial" w:cs="Arial"/>
          <w:color w:val="000000"/>
          <w:lang w:eastAsia="en-GB"/>
        </w:rPr>
        <w:t xml:space="preserve"> or as a</w:t>
      </w:r>
      <w:r w:rsidRPr="00D661A0">
        <w:rPr>
          <w:rFonts w:ascii="Arial" w:eastAsia="Times New Roman" w:hAnsi="Arial" w:cs="Arial"/>
          <w:color w:val="000000"/>
          <w:shd w:val="clear" w:color="auto" w:fill="00FF00"/>
          <w:lang w:eastAsia="en-GB"/>
        </w:rPr>
        <w:t xml:space="preserve"> margin over Retail Price </w:t>
      </w:r>
      <w:proofErr w:type="gramStart"/>
      <w:r w:rsidRPr="00D661A0">
        <w:rPr>
          <w:rFonts w:ascii="Arial" w:eastAsia="Times New Roman" w:hAnsi="Arial" w:cs="Arial"/>
          <w:color w:val="000000"/>
          <w:shd w:val="clear" w:color="auto" w:fill="00FF00"/>
          <w:lang w:eastAsia="en-GB"/>
        </w:rPr>
        <w:t>Index(</w:t>
      </w:r>
      <w:proofErr w:type="gramEnd"/>
      <w:r w:rsidRPr="00D661A0">
        <w:rPr>
          <w:rFonts w:ascii="Arial" w:eastAsia="Times New Roman" w:hAnsi="Arial" w:cs="Arial"/>
          <w:color w:val="000000"/>
          <w:shd w:val="clear" w:color="auto" w:fill="00FF00"/>
          <w:lang w:eastAsia="en-GB"/>
        </w:rPr>
        <w:t>RPI)</w:t>
      </w:r>
      <w:r w:rsidRPr="00D661A0">
        <w:rPr>
          <w:rFonts w:ascii="Arial" w:eastAsia="Times New Roman" w:hAnsi="Arial" w:cs="Arial"/>
          <w:color w:val="000000"/>
          <w:lang w:eastAsia="en-GB"/>
        </w:rPr>
        <w:t xml:space="preserve"> or the </w:t>
      </w:r>
      <w:r w:rsidRPr="00D661A0">
        <w:rPr>
          <w:rFonts w:ascii="Arial" w:eastAsia="Times New Roman" w:hAnsi="Arial" w:cs="Arial"/>
          <w:color w:val="000000"/>
          <w:shd w:val="clear" w:color="auto" w:fill="00FF00"/>
          <w:lang w:eastAsia="en-GB"/>
        </w:rPr>
        <w:t>RPI swap</w:t>
      </w:r>
      <w:r w:rsidRPr="00D661A0">
        <w:rPr>
          <w:rFonts w:ascii="Arial" w:eastAsia="Times New Roman" w:hAnsi="Arial" w:cs="Arial"/>
          <w:color w:val="000000"/>
          <w:lang w:eastAsia="en-GB"/>
        </w:rPr>
        <w:t xml:space="preserve"> curve, with the margin ranging from 0.5% to 2%.</w:t>
      </w:r>
    </w:p>
    <w:p w14:paraId="33FF7F3B" w14:textId="77777777" w:rsidR="00042262" w:rsidRPr="00042262" w:rsidRDefault="00042262" w:rsidP="00042262">
      <w:pPr>
        <w:pStyle w:val="ListParagraph"/>
        <w:numPr>
          <w:ilvl w:val="0"/>
          <w:numId w:val="5"/>
        </w:numPr>
        <w:spacing w:after="0" w:line="240" w:lineRule="auto"/>
        <w:textAlignment w:val="baseline"/>
        <w:rPr>
          <w:rFonts w:ascii="Arial" w:eastAsia="Times New Roman" w:hAnsi="Arial" w:cs="Arial"/>
          <w:color w:val="000000"/>
          <w:lang w:eastAsia="en-GB"/>
        </w:rPr>
      </w:pPr>
      <w:r w:rsidRPr="00042262">
        <w:rPr>
          <w:rFonts w:ascii="Arial" w:eastAsia="Times New Roman" w:hAnsi="Arial" w:cs="Arial"/>
          <w:color w:val="000000"/>
          <w:shd w:val="clear" w:color="auto" w:fill="00FF00"/>
          <w:lang w:eastAsia="en-GB"/>
        </w:rPr>
        <w:t xml:space="preserve">Those using a risk-free rate apply a stress in line with the interest rate calibration. The other participants apply a reduction to the assumed best estimate growth rate, ranging between about 1.25% p.a. and 2.60% </w:t>
      </w:r>
      <w:proofErr w:type="gramStart"/>
      <w:r w:rsidRPr="00042262">
        <w:rPr>
          <w:rFonts w:ascii="Arial" w:eastAsia="Times New Roman" w:hAnsi="Arial" w:cs="Arial"/>
          <w:color w:val="000000"/>
          <w:shd w:val="clear" w:color="auto" w:fill="00FF00"/>
          <w:lang w:eastAsia="en-GB"/>
        </w:rPr>
        <w:t>p.a. .</w:t>
      </w:r>
      <w:proofErr w:type="gramEnd"/>
    </w:p>
    <w:p w14:paraId="6BC0C476" w14:textId="77777777" w:rsidR="00042262" w:rsidRPr="00D661A0" w:rsidRDefault="00042262" w:rsidP="00042262">
      <w:pPr>
        <w:numPr>
          <w:ilvl w:val="1"/>
          <w:numId w:val="5"/>
        </w:numPr>
        <w:spacing w:after="0" w:line="240" w:lineRule="auto"/>
        <w:textAlignment w:val="baseline"/>
        <w:rPr>
          <w:rFonts w:ascii="Arial" w:eastAsia="Times New Roman" w:hAnsi="Arial" w:cs="Arial"/>
          <w:color w:val="000000"/>
          <w:lang w:eastAsia="en-GB"/>
        </w:rPr>
      </w:pPr>
      <w:r w:rsidRPr="00D661A0">
        <w:rPr>
          <w:rFonts w:ascii="Arial" w:eastAsia="Times New Roman" w:hAnsi="Arial" w:cs="Arial"/>
          <w:color w:val="000000"/>
          <w:lang w:eastAsia="en-GB"/>
        </w:rPr>
        <w:t>In short, we need to model inflation</w:t>
      </w:r>
    </w:p>
    <w:p w14:paraId="5D3DCE63" w14:textId="77777777" w:rsidR="00042262" w:rsidRPr="00D661A0" w:rsidRDefault="00042262" w:rsidP="00042262">
      <w:pPr>
        <w:numPr>
          <w:ilvl w:val="1"/>
          <w:numId w:val="5"/>
        </w:numPr>
        <w:spacing w:after="0" w:line="240" w:lineRule="auto"/>
        <w:textAlignment w:val="baseline"/>
        <w:rPr>
          <w:rFonts w:ascii="Arial" w:eastAsia="Times New Roman" w:hAnsi="Arial" w:cs="Arial"/>
          <w:color w:val="000000"/>
          <w:lang w:eastAsia="en-GB"/>
        </w:rPr>
      </w:pPr>
      <w:r w:rsidRPr="00D661A0">
        <w:rPr>
          <w:rFonts w:ascii="Arial" w:eastAsia="Times New Roman" w:hAnsi="Arial" w:cs="Arial"/>
          <w:color w:val="000000"/>
          <w:lang w:eastAsia="en-GB"/>
        </w:rPr>
        <w:t xml:space="preserve">Those using the </w:t>
      </w:r>
      <w:proofErr w:type="gramStart"/>
      <w:r w:rsidRPr="00D661A0">
        <w:rPr>
          <w:rFonts w:ascii="Arial" w:eastAsia="Times New Roman" w:hAnsi="Arial" w:cs="Arial"/>
          <w:color w:val="000000"/>
          <w:lang w:eastAsia="en-GB"/>
        </w:rPr>
        <w:t>risk free</w:t>
      </w:r>
      <w:proofErr w:type="gramEnd"/>
      <w:r w:rsidRPr="00D661A0">
        <w:rPr>
          <w:rFonts w:ascii="Arial" w:eastAsia="Times New Roman" w:hAnsi="Arial" w:cs="Arial"/>
          <w:color w:val="000000"/>
          <w:lang w:eastAsia="en-GB"/>
        </w:rPr>
        <w:t xml:space="preserve"> rate that will be stressed in line with interest rates, I believe it means that we need to model the interest rate under macroeconomic factors. </w:t>
      </w:r>
      <w:proofErr w:type="gramStart"/>
      <w:r w:rsidRPr="00D661A0">
        <w:rPr>
          <w:rFonts w:ascii="Arial" w:eastAsia="Times New Roman" w:hAnsi="Arial" w:cs="Arial"/>
          <w:color w:val="000000"/>
          <w:lang w:eastAsia="en-GB"/>
        </w:rPr>
        <w:t>So</w:t>
      </w:r>
      <w:proofErr w:type="gramEnd"/>
      <w:r w:rsidRPr="00D661A0">
        <w:rPr>
          <w:rFonts w:ascii="Arial" w:eastAsia="Times New Roman" w:hAnsi="Arial" w:cs="Arial"/>
          <w:color w:val="000000"/>
          <w:lang w:eastAsia="en-GB"/>
        </w:rPr>
        <w:t xml:space="preserve"> I think we need to generate forecasts for the dynamic paths of macroeconomic factors such as GDP, money rates, and government yields under different scenarios. Along with those for the interest rates we can estimate them jointly in a vector autoregressive system.</w:t>
      </w:r>
    </w:p>
    <w:p w14:paraId="27239EFB" w14:textId="77777777" w:rsidR="005D0EB5" w:rsidRDefault="005D0EB5" w:rsidP="005D0EB5">
      <w:pPr>
        <w:pStyle w:val="ListParagraph"/>
        <w:ind w:left="0"/>
        <w:rPr>
          <w:rFonts w:ascii="Arial" w:hAnsi="Arial" w:cs="Arial"/>
        </w:rPr>
      </w:pPr>
    </w:p>
    <w:p w14:paraId="1C96D60F" w14:textId="77777777" w:rsidR="005D0EB5" w:rsidRDefault="005D0EB5" w:rsidP="005D0EB5">
      <w:pPr>
        <w:pStyle w:val="ListParagraph"/>
        <w:ind w:left="0"/>
        <w:rPr>
          <w:rFonts w:ascii="Arial" w:hAnsi="Arial" w:cs="Arial"/>
          <w:b/>
          <w:bCs/>
        </w:rPr>
      </w:pPr>
      <w:r>
        <w:rPr>
          <w:rFonts w:ascii="Arial" w:hAnsi="Arial" w:cs="Arial"/>
          <w:b/>
          <w:bCs/>
        </w:rPr>
        <w:t xml:space="preserve">A note on interest rates: </w:t>
      </w:r>
    </w:p>
    <w:p w14:paraId="619EACE1" w14:textId="77777777" w:rsidR="005D0EB5" w:rsidRPr="00D661A0" w:rsidRDefault="005D0EB5" w:rsidP="005D0EB5">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Insurers have begun making an </w:t>
      </w:r>
      <w:r w:rsidRPr="00D661A0">
        <w:rPr>
          <w:rFonts w:ascii="Arial" w:eastAsia="Times New Roman" w:hAnsi="Arial" w:cs="Arial"/>
          <w:color w:val="000000"/>
          <w:lang w:eastAsia="en-GB"/>
        </w:rPr>
        <w:t>allowance for interest rates to fall below 0% in their interest rate stress calibration. Nearly half of participants</w:t>
      </w:r>
      <w:r>
        <w:rPr>
          <w:rFonts w:ascii="Arial" w:eastAsia="Times New Roman" w:hAnsi="Arial" w:cs="Arial"/>
          <w:color w:val="000000"/>
          <w:lang w:eastAsia="en-GB"/>
        </w:rPr>
        <w:t xml:space="preserve"> surveyed said they</w:t>
      </w:r>
      <w:r w:rsidRPr="00D661A0">
        <w:rPr>
          <w:rFonts w:ascii="Arial" w:eastAsia="Times New Roman" w:hAnsi="Arial" w:cs="Arial"/>
          <w:color w:val="000000"/>
          <w:lang w:eastAsia="en-GB"/>
        </w:rPr>
        <w:t xml:space="preserve"> appl</w:t>
      </w:r>
      <w:r>
        <w:rPr>
          <w:rFonts w:ascii="Arial" w:eastAsia="Times New Roman" w:hAnsi="Arial" w:cs="Arial"/>
          <w:color w:val="000000"/>
          <w:lang w:eastAsia="en-GB"/>
        </w:rPr>
        <w:t>ied</w:t>
      </w:r>
      <w:r w:rsidRPr="00D661A0">
        <w:rPr>
          <w:rFonts w:ascii="Arial" w:eastAsia="Times New Roman" w:hAnsi="Arial" w:cs="Arial"/>
          <w:color w:val="000000"/>
          <w:lang w:eastAsia="en-GB"/>
        </w:rPr>
        <w:t xml:space="preserve"> a floor, with a variety of approaches to implementing this in practice, including a fixed floor, a shifted log-normal model or a floor based on the largest historical negative rates observed. Where a floor is not applied, most participants observe negative interest rate scenarios at the medium and long term within their models.</w:t>
      </w:r>
    </w:p>
    <w:p w14:paraId="1F5B0CC1" w14:textId="77777777" w:rsidR="005D0EB5" w:rsidRDefault="005D0EB5" w:rsidP="005D0EB5">
      <w:pPr>
        <w:pStyle w:val="ListParagraph"/>
        <w:ind w:left="0"/>
        <w:rPr>
          <w:rFonts w:ascii="Arial" w:hAnsi="Arial" w:cs="Arial"/>
          <w:b/>
          <w:bCs/>
        </w:rPr>
      </w:pPr>
    </w:p>
    <w:p w14:paraId="030519DD" w14:textId="77777777" w:rsidR="00FB00C9" w:rsidRPr="00D661A0" w:rsidRDefault="00FB00C9" w:rsidP="00FB00C9">
      <w:pPr>
        <w:numPr>
          <w:ilvl w:val="0"/>
          <w:numId w:val="8"/>
        </w:numPr>
        <w:spacing w:after="0" w:line="240" w:lineRule="auto"/>
        <w:textAlignment w:val="baseline"/>
        <w:rPr>
          <w:rFonts w:ascii="Arial" w:eastAsia="Times New Roman" w:hAnsi="Arial" w:cs="Arial"/>
          <w:b/>
          <w:bCs/>
          <w:color w:val="000000"/>
          <w:lang w:eastAsia="en-GB"/>
        </w:rPr>
      </w:pPr>
      <w:r w:rsidRPr="00D661A0">
        <w:rPr>
          <w:rFonts w:ascii="Arial" w:eastAsia="Times New Roman" w:hAnsi="Arial" w:cs="Arial"/>
          <w:b/>
          <w:bCs/>
          <w:color w:val="000000"/>
          <w:lang w:eastAsia="en-GB"/>
        </w:rPr>
        <w:t>Mortality </w:t>
      </w:r>
    </w:p>
    <w:p w14:paraId="75BDED47" w14:textId="77777777" w:rsidR="00FB00C9" w:rsidRDefault="00FB00C9" w:rsidP="00FB00C9">
      <w:pPr>
        <w:numPr>
          <w:ilvl w:val="1"/>
          <w:numId w:val="9"/>
        </w:numPr>
        <w:spacing w:after="0" w:line="240" w:lineRule="auto"/>
        <w:textAlignment w:val="baseline"/>
        <w:rPr>
          <w:rFonts w:ascii="Arial" w:eastAsia="Times New Roman" w:hAnsi="Arial" w:cs="Arial"/>
          <w:color w:val="000000"/>
          <w:lang w:eastAsia="en-GB"/>
        </w:rPr>
      </w:pPr>
      <w:r w:rsidRPr="00D661A0">
        <w:rPr>
          <w:rFonts w:ascii="Arial" w:eastAsia="Times New Roman" w:hAnsi="Arial" w:cs="Arial"/>
          <w:b/>
          <w:bCs/>
          <w:color w:val="000000"/>
          <w:lang w:eastAsia="en-GB"/>
        </w:rPr>
        <w:t>Mortality</w:t>
      </w:r>
      <w:r w:rsidRPr="00D661A0">
        <w:rPr>
          <w:rFonts w:ascii="Arial" w:eastAsia="Times New Roman" w:hAnsi="Arial" w:cs="Arial"/>
          <w:color w:val="000000"/>
          <w:lang w:eastAsia="en-GB"/>
        </w:rPr>
        <w:t xml:space="preserve"> risk, as defined by Solvency II, is the risk of loss, or of adverse change in the value of insurance liabilities, resulting from changes in the level, trend or volatility of mortality rates, where an increase in the mortality rate leads to an increase in the value of insurance liabilities. It affects predominantly protection contracts, such as term assurance. </w:t>
      </w:r>
    </w:p>
    <w:p w14:paraId="1244AD44" w14:textId="77777777" w:rsidR="00FB00C9" w:rsidRPr="00FB00C9" w:rsidRDefault="00FB00C9" w:rsidP="00FB00C9">
      <w:pPr>
        <w:numPr>
          <w:ilvl w:val="2"/>
          <w:numId w:val="9"/>
        </w:numPr>
        <w:spacing w:after="0" w:line="240" w:lineRule="auto"/>
        <w:textAlignment w:val="baseline"/>
        <w:rPr>
          <w:rFonts w:ascii="Arial" w:eastAsia="Times New Roman" w:hAnsi="Arial" w:cs="Arial"/>
          <w:color w:val="000000"/>
          <w:lang w:eastAsia="en-GB"/>
        </w:rPr>
      </w:pPr>
      <w:r w:rsidRPr="00D661A0">
        <w:rPr>
          <w:rFonts w:ascii="Arial" w:eastAsia="Times New Roman" w:hAnsi="Arial" w:cs="Arial"/>
          <w:color w:val="000000"/>
          <w:lang w:eastAsia="en-GB"/>
        </w:rPr>
        <w:t xml:space="preserve">Longevity risk, as defined by Solvency II, is the risk of loss, or of adverse change in the value of insurance liabilities, resulting from changes in the level, trend or volatility of </w:t>
      </w:r>
      <w:r w:rsidRPr="00D661A0">
        <w:rPr>
          <w:rFonts w:ascii="Arial" w:eastAsia="Times New Roman" w:hAnsi="Arial" w:cs="Arial"/>
          <w:color w:val="000000"/>
          <w:shd w:val="clear" w:color="auto" w:fill="00FF00"/>
          <w:lang w:eastAsia="en-GB"/>
        </w:rPr>
        <w:t>mortality rates</w:t>
      </w:r>
      <w:r w:rsidRPr="00D661A0">
        <w:rPr>
          <w:rFonts w:ascii="Arial" w:eastAsia="Times New Roman" w:hAnsi="Arial" w:cs="Arial"/>
          <w:color w:val="000000"/>
          <w:lang w:eastAsia="en-GB"/>
        </w:rPr>
        <w:t xml:space="preserve">, where a </w:t>
      </w:r>
      <w:r w:rsidRPr="00D661A0">
        <w:rPr>
          <w:rFonts w:ascii="Arial" w:eastAsia="Times New Roman" w:hAnsi="Arial" w:cs="Arial"/>
          <w:color w:val="000000"/>
          <w:shd w:val="clear" w:color="auto" w:fill="00FF00"/>
          <w:lang w:eastAsia="en-GB"/>
        </w:rPr>
        <w:t>decrease in the mortality rates leads to an increase in the value of the insurance liabilities. Longevity risk affects contracts where benefits depend on the likelihood of survival</w:t>
      </w:r>
    </w:p>
    <w:p w14:paraId="6FB7C678" w14:textId="77777777" w:rsidR="00FB00C9" w:rsidRPr="00D661A0" w:rsidRDefault="00FB00C9" w:rsidP="00FB00C9">
      <w:pPr>
        <w:spacing w:after="0" w:line="240" w:lineRule="auto"/>
        <w:ind w:left="2160"/>
        <w:textAlignment w:val="baseline"/>
        <w:rPr>
          <w:rFonts w:ascii="Arial" w:eastAsia="Times New Roman" w:hAnsi="Arial" w:cs="Arial"/>
          <w:color w:val="000000"/>
          <w:lang w:eastAsia="en-GB"/>
        </w:rPr>
      </w:pPr>
    </w:p>
    <w:p w14:paraId="7845CF58" w14:textId="77777777" w:rsidR="00FB00C9" w:rsidRDefault="00FB00C9" w:rsidP="005D0EB5">
      <w:pPr>
        <w:pStyle w:val="ListParagraph"/>
        <w:ind w:left="0"/>
        <w:rPr>
          <w:rFonts w:ascii="Arial" w:hAnsi="Arial" w:cs="Arial"/>
          <w:b/>
          <w:bCs/>
        </w:rPr>
      </w:pPr>
      <w:r>
        <w:rPr>
          <w:rFonts w:ascii="Arial" w:hAnsi="Arial" w:cs="Arial"/>
          <w:b/>
          <w:bCs/>
        </w:rPr>
        <w:t xml:space="preserve">Note: </w:t>
      </w:r>
    </w:p>
    <w:p w14:paraId="29305696" w14:textId="77777777" w:rsidR="00FB00C9" w:rsidRPr="00D661A0" w:rsidRDefault="00FB00C9" w:rsidP="00FB00C9">
      <w:pPr>
        <w:spacing w:after="0" w:line="240" w:lineRule="auto"/>
        <w:textAlignment w:val="baseline"/>
        <w:rPr>
          <w:rFonts w:ascii="Arial" w:eastAsia="Times New Roman" w:hAnsi="Arial" w:cs="Arial"/>
          <w:color w:val="000000"/>
          <w:lang w:eastAsia="en-GB"/>
        </w:rPr>
      </w:pPr>
      <w:r w:rsidRPr="00D661A0">
        <w:rPr>
          <w:rFonts w:ascii="Arial" w:eastAsia="Times New Roman" w:hAnsi="Arial" w:cs="Arial"/>
          <w:color w:val="000000"/>
          <w:lang w:eastAsia="en-GB"/>
        </w:rPr>
        <w:lastRenderedPageBreak/>
        <w:t>Aviva’s most material risk changed from market to non-life underwriting. This followed a slight reduction in the level of market risk whilst non-life underwriting risk is broadly unchanged since last year.</w:t>
      </w:r>
    </w:p>
    <w:p w14:paraId="3E767675" w14:textId="77777777" w:rsidR="00FB00C9" w:rsidRPr="00D661A0" w:rsidRDefault="00FB00C9" w:rsidP="00FB00C9">
      <w:pPr>
        <w:numPr>
          <w:ilvl w:val="1"/>
          <w:numId w:val="11"/>
        </w:numPr>
        <w:spacing w:after="0" w:line="240" w:lineRule="auto"/>
        <w:textAlignment w:val="baseline"/>
        <w:rPr>
          <w:rFonts w:ascii="Arial" w:eastAsia="Times New Roman" w:hAnsi="Arial" w:cs="Arial"/>
          <w:color w:val="000000"/>
          <w:lang w:eastAsia="en-GB"/>
        </w:rPr>
      </w:pPr>
      <w:r w:rsidRPr="00D661A0">
        <w:rPr>
          <w:rFonts w:ascii="Arial" w:eastAsia="Times New Roman" w:hAnsi="Arial" w:cs="Arial"/>
          <w:color w:val="000000"/>
          <w:lang w:eastAsia="en-GB"/>
        </w:rPr>
        <w:t>Non-life indicates general insurance</w:t>
      </w:r>
    </w:p>
    <w:p w14:paraId="61AB48A9" w14:textId="77777777" w:rsidR="00FB00C9" w:rsidRPr="00FB00C9" w:rsidRDefault="00FB00C9" w:rsidP="00FB00C9">
      <w:pPr>
        <w:pStyle w:val="ListParagraph"/>
        <w:numPr>
          <w:ilvl w:val="1"/>
          <w:numId w:val="11"/>
        </w:numPr>
        <w:rPr>
          <w:rFonts w:ascii="Arial" w:hAnsi="Arial" w:cs="Arial"/>
          <w:b/>
          <w:bCs/>
        </w:rPr>
      </w:pPr>
      <w:r w:rsidRPr="00D661A0">
        <w:rPr>
          <w:rFonts w:ascii="Arial" w:eastAsia="Times New Roman" w:hAnsi="Arial" w:cs="Arial"/>
          <w:color w:val="000000"/>
          <w:lang w:eastAsia="en-GB"/>
        </w:rPr>
        <w:t>General liability insurers, in aggregate, hold a greater proportion of their investments in government and corporate bonds than property insurers (78% versus 33%). This may reflect the longer-tailed nature of the liabilities of general liability insurers, compared to property insurers, meaning longer duration assets are required</w:t>
      </w:r>
    </w:p>
    <w:sectPr w:rsidR="00FB00C9" w:rsidRPr="00FB0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F4D6"/>
      </v:shape>
    </w:pict>
  </w:numPicBullet>
  <w:abstractNum w:abstractNumId="0" w15:restartNumberingAfterBreak="0">
    <w:nsid w:val="00FC6E53"/>
    <w:multiLevelType w:val="multilevel"/>
    <w:tmpl w:val="820A2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4774"/>
    <w:multiLevelType w:val="hybridMultilevel"/>
    <w:tmpl w:val="DB7E1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70FBF"/>
    <w:multiLevelType w:val="hybridMultilevel"/>
    <w:tmpl w:val="6EBE10A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4FF2102"/>
    <w:multiLevelType w:val="multilevel"/>
    <w:tmpl w:val="E5044C04"/>
    <w:lvl w:ilvl="0">
      <w:start w:val="1"/>
      <w:numFmt w:val="decimal"/>
      <w:lvlText w:val="%1."/>
      <w:lvlJc w:val="left"/>
      <w:pPr>
        <w:tabs>
          <w:tab w:val="num" w:pos="360"/>
        </w:tabs>
        <w:ind w:left="360" w:hanging="360"/>
      </w:pPr>
      <w:rPr>
        <w:rFonts w:hint="default"/>
        <w:b w:val="0"/>
        <w:bCs w:val="0"/>
        <w:sz w:val="20"/>
      </w:rPr>
    </w:lvl>
    <w:lvl w:ilvl="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4" w15:restartNumberingAfterBreak="0">
    <w:nsid w:val="1FA77B65"/>
    <w:multiLevelType w:val="multilevel"/>
    <w:tmpl w:val="E5044C04"/>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76"/>
        </w:tabs>
        <w:ind w:left="1876" w:hanging="360"/>
      </w:pPr>
      <w:rPr>
        <w:rFonts w:ascii="Courier New" w:hAnsi="Courier New" w:hint="default"/>
        <w:sz w:val="20"/>
      </w:rPr>
    </w:lvl>
    <w:lvl w:ilvl="2" w:tentative="1">
      <w:start w:val="1"/>
      <w:numFmt w:val="bullet"/>
      <w:lvlText w:val=""/>
      <w:lvlJc w:val="left"/>
      <w:pPr>
        <w:tabs>
          <w:tab w:val="num" w:pos="2596"/>
        </w:tabs>
        <w:ind w:left="2596" w:hanging="360"/>
      </w:pPr>
      <w:rPr>
        <w:rFonts w:ascii="Wingdings" w:hAnsi="Wingdings" w:hint="default"/>
        <w:sz w:val="20"/>
      </w:rPr>
    </w:lvl>
    <w:lvl w:ilvl="3" w:tentative="1">
      <w:start w:val="1"/>
      <w:numFmt w:val="bullet"/>
      <w:lvlText w:val=""/>
      <w:lvlJc w:val="left"/>
      <w:pPr>
        <w:tabs>
          <w:tab w:val="num" w:pos="3316"/>
        </w:tabs>
        <w:ind w:left="3316" w:hanging="360"/>
      </w:pPr>
      <w:rPr>
        <w:rFonts w:ascii="Wingdings" w:hAnsi="Wingdings" w:hint="default"/>
        <w:sz w:val="20"/>
      </w:rPr>
    </w:lvl>
    <w:lvl w:ilvl="4" w:tentative="1">
      <w:start w:val="1"/>
      <w:numFmt w:val="bullet"/>
      <w:lvlText w:val=""/>
      <w:lvlJc w:val="left"/>
      <w:pPr>
        <w:tabs>
          <w:tab w:val="num" w:pos="4036"/>
        </w:tabs>
        <w:ind w:left="4036" w:hanging="360"/>
      </w:pPr>
      <w:rPr>
        <w:rFonts w:ascii="Wingdings" w:hAnsi="Wingdings" w:hint="default"/>
        <w:sz w:val="20"/>
      </w:rPr>
    </w:lvl>
    <w:lvl w:ilvl="5" w:tentative="1">
      <w:start w:val="1"/>
      <w:numFmt w:val="bullet"/>
      <w:lvlText w:val=""/>
      <w:lvlJc w:val="left"/>
      <w:pPr>
        <w:tabs>
          <w:tab w:val="num" w:pos="4756"/>
        </w:tabs>
        <w:ind w:left="4756" w:hanging="360"/>
      </w:pPr>
      <w:rPr>
        <w:rFonts w:ascii="Wingdings" w:hAnsi="Wingdings" w:hint="default"/>
        <w:sz w:val="20"/>
      </w:rPr>
    </w:lvl>
    <w:lvl w:ilvl="6" w:tentative="1">
      <w:start w:val="1"/>
      <w:numFmt w:val="bullet"/>
      <w:lvlText w:val=""/>
      <w:lvlJc w:val="left"/>
      <w:pPr>
        <w:tabs>
          <w:tab w:val="num" w:pos="5476"/>
        </w:tabs>
        <w:ind w:left="5476" w:hanging="360"/>
      </w:pPr>
      <w:rPr>
        <w:rFonts w:ascii="Wingdings" w:hAnsi="Wingdings" w:hint="default"/>
        <w:sz w:val="20"/>
      </w:rPr>
    </w:lvl>
    <w:lvl w:ilvl="7" w:tentative="1">
      <w:start w:val="1"/>
      <w:numFmt w:val="bullet"/>
      <w:lvlText w:val=""/>
      <w:lvlJc w:val="left"/>
      <w:pPr>
        <w:tabs>
          <w:tab w:val="num" w:pos="6196"/>
        </w:tabs>
        <w:ind w:left="6196" w:hanging="360"/>
      </w:pPr>
      <w:rPr>
        <w:rFonts w:ascii="Wingdings" w:hAnsi="Wingdings" w:hint="default"/>
        <w:sz w:val="20"/>
      </w:rPr>
    </w:lvl>
    <w:lvl w:ilvl="8" w:tentative="1">
      <w:start w:val="1"/>
      <w:numFmt w:val="bullet"/>
      <w:lvlText w:val=""/>
      <w:lvlJc w:val="left"/>
      <w:pPr>
        <w:tabs>
          <w:tab w:val="num" w:pos="6916"/>
        </w:tabs>
        <w:ind w:left="6916" w:hanging="360"/>
      </w:pPr>
      <w:rPr>
        <w:rFonts w:ascii="Wingdings" w:hAnsi="Wingdings" w:hint="default"/>
        <w:sz w:val="20"/>
      </w:rPr>
    </w:lvl>
  </w:abstractNum>
  <w:abstractNum w:abstractNumId="5" w15:restartNumberingAfterBreak="0">
    <w:nsid w:val="227B020B"/>
    <w:multiLevelType w:val="hybridMultilevel"/>
    <w:tmpl w:val="FA843510"/>
    <w:lvl w:ilvl="0" w:tplc="08090007">
      <w:start w:val="1"/>
      <w:numFmt w:val="bullet"/>
      <w:lvlText w:val=""/>
      <w:lvlPicBulletId w:val="0"/>
      <w:lvlJc w:val="left"/>
      <w:pPr>
        <w:ind w:left="144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A7318C"/>
    <w:multiLevelType w:val="multilevel"/>
    <w:tmpl w:val="E5044C04"/>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76"/>
        </w:tabs>
        <w:ind w:left="1876" w:hanging="360"/>
      </w:pPr>
      <w:rPr>
        <w:rFonts w:ascii="Courier New" w:hAnsi="Courier New" w:hint="default"/>
        <w:sz w:val="20"/>
      </w:rPr>
    </w:lvl>
    <w:lvl w:ilvl="2" w:tentative="1">
      <w:start w:val="1"/>
      <w:numFmt w:val="bullet"/>
      <w:lvlText w:val=""/>
      <w:lvlJc w:val="left"/>
      <w:pPr>
        <w:tabs>
          <w:tab w:val="num" w:pos="2596"/>
        </w:tabs>
        <w:ind w:left="2596" w:hanging="360"/>
      </w:pPr>
      <w:rPr>
        <w:rFonts w:ascii="Wingdings" w:hAnsi="Wingdings" w:hint="default"/>
        <w:sz w:val="20"/>
      </w:rPr>
    </w:lvl>
    <w:lvl w:ilvl="3" w:tentative="1">
      <w:start w:val="1"/>
      <w:numFmt w:val="bullet"/>
      <w:lvlText w:val=""/>
      <w:lvlJc w:val="left"/>
      <w:pPr>
        <w:tabs>
          <w:tab w:val="num" w:pos="3316"/>
        </w:tabs>
        <w:ind w:left="3316" w:hanging="360"/>
      </w:pPr>
      <w:rPr>
        <w:rFonts w:ascii="Wingdings" w:hAnsi="Wingdings" w:hint="default"/>
        <w:sz w:val="20"/>
      </w:rPr>
    </w:lvl>
    <w:lvl w:ilvl="4" w:tentative="1">
      <w:start w:val="1"/>
      <w:numFmt w:val="bullet"/>
      <w:lvlText w:val=""/>
      <w:lvlJc w:val="left"/>
      <w:pPr>
        <w:tabs>
          <w:tab w:val="num" w:pos="4036"/>
        </w:tabs>
        <w:ind w:left="4036" w:hanging="360"/>
      </w:pPr>
      <w:rPr>
        <w:rFonts w:ascii="Wingdings" w:hAnsi="Wingdings" w:hint="default"/>
        <w:sz w:val="20"/>
      </w:rPr>
    </w:lvl>
    <w:lvl w:ilvl="5" w:tentative="1">
      <w:start w:val="1"/>
      <w:numFmt w:val="bullet"/>
      <w:lvlText w:val=""/>
      <w:lvlJc w:val="left"/>
      <w:pPr>
        <w:tabs>
          <w:tab w:val="num" w:pos="4756"/>
        </w:tabs>
        <w:ind w:left="4756" w:hanging="360"/>
      </w:pPr>
      <w:rPr>
        <w:rFonts w:ascii="Wingdings" w:hAnsi="Wingdings" w:hint="default"/>
        <w:sz w:val="20"/>
      </w:rPr>
    </w:lvl>
    <w:lvl w:ilvl="6" w:tentative="1">
      <w:start w:val="1"/>
      <w:numFmt w:val="bullet"/>
      <w:lvlText w:val=""/>
      <w:lvlJc w:val="left"/>
      <w:pPr>
        <w:tabs>
          <w:tab w:val="num" w:pos="5476"/>
        </w:tabs>
        <w:ind w:left="5476" w:hanging="360"/>
      </w:pPr>
      <w:rPr>
        <w:rFonts w:ascii="Wingdings" w:hAnsi="Wingdings" w:hint="default"/>
        <w:sz w:val="20"/>
      </w:rPr>
    </w:lvl>
    <w:lvl w:ilvl="7" w:tentative="1">
      <w:start w:val="1"/>
      <w:numFmt w:val="bullet"/>
      <w:lvlText w:val=""/>
      <w:lvlJc w:val="left"/>
      <w:pPr>
        <w:tabs>
          <w:tab w:val="num" w:pos="6196"/>
        </w:tabs>
        <w:ind w:left="6196" w:hanging="360"/>
      </w:pPr>
      <w:rPr>
        <w:rFonts w:ascii="Wingdings" w:hAnsi="Wingdings" w:hint="default"/>
        <w:sz w:val="20"/>
      </w:rPr>
    </w:lvl>
    <w:lvl w:ilvl="8" w:tentative="1">
      <w:start w:val="1"/>
      <w:numFmt w:val="bullet"/>
      <w:lvlText w:val=""/>
      <w:lvlJc w:val="left"/>
      <w:pPr>
        <w:tabs>
          <w:tab w:val="num" w:pos="6916"/>
        </w:tabs>
        <w:ind w:left="6916" w:hanging="360"/>
      </w:pPr>
      <w:rPr>
        <w:rFonts w:ascii="Wingdings" w:hAnsi="Wingdings" w:hint="default"/>
        <w:sz w:val="20"/>
      </w:rPr>
    </w:lvl>
  </w:abstractNum>
  <w:abstractNum w:abstractNumId="7" w15:restartNumberingAfterBreak="0">
    <w:nsid w:val="2BE53028"/>
    <w:multiLevelType w:val="hybridMultilevel"/>
    <w:tmpl w:val="6F3494CA"/>
    <w:lvl w:ilvl="0" w:tplc="08090007">
      <w:start w:val="1"/>
      <w:numFmt w:val="bullet"/>
      <w:lvlText w:val=""/>
      <w:lvlPicBulletId w:val="0"/>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1646AD8"/>
    <w:multiLevelType w:val="multilevel"/>
    <w:tmpl w:val="3A12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F1A4E"/>
    <w:multiLevelType w:val="multilevel"/>
    <w:tmpl w:val="D34CC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F39FC"/>
    <w:multiLevelType w:val="multilevel"/>
    <w:tmpl w:val="671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64E9B"/>
    <w:multiLevelType w:val="hybridMultilevel"/>
    <w:tmpl w:val="A546D76E"/>
    <w:lvl w:ilvl="0" w:tplc="08090007">
      <w:start w:val="1"/>
      <w:numFmt w:val="bullet"/>
      <w:lvlText w:val=""/>
      <w:lvlPicBulletId w:val="0"/>
      <w:lvlJc w:val="left"/>
      <w:pPr>
        <w:ind w:left="1440" w:hanging="360"/>
      </w:pPr>
      <w:rPr>
        <w:rFonts w:ascii="Symbol" w:hAnsi="Symbol" w:hint="default"/>
      </w:rPr>
    </w:lvl>
    <w:lvl w:ilvl="1" w:tplc="08090007">
      <w:start w:val="1"/>
      <w:numFmt w:val="bullet"/>
      <w:lvlText w:val=""/>
      <w:lvlPicBulletId w:val="0"/>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9D14E81"/>
    <w:multiLevelType w:val="multilevel"/>
    <w:tmpl w:val="027E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2"/>
  </w:num>
  <w:num w:numId="5">
    <w:abstractNumId w:val="5"/>
  </w:num>
  <w:num w:numId="6">
    <w:abstractNumId w:val="0"/>
  </w:num>
  <w:num w:numId="7">
    <w:abstractNumId w:val="10"/>
  </w:num>
  <w:num w:numId="8">
    <w:abstractNumId w:val="12"/>
    <w:lvlOverride w:ilvl="3">
      <w:lvl w:ilvl="3">
        <w:numFmt w:val="bullet"/>
        <w:lvlText w:val=""/>
        <w:lvlJc w:val="left"/>
        <w:pPr>
          <w:tabs>
            <w:tab w:val="num" w:pos="2880"/>
          </w:tabs>
          <w:ind w:left="2880" w:hanging="360"/>
        </w:pPr>
        <w:rPr>
          <w:rFonts w:ascii="Symbol" w:hAnsi="Symbol" w:hint="default"/>
          <w:sz w:val="20"/>
        </w:rPr>
      </w:lvl>
    </w:lvlOverride>
  </w:num>
  <w:num w:numId="9">
    <w:abstractNumId w:val="11"/>
  </w:num>
  <w:num w:numId="10">
    <w:abstractNumId w:val="12"/>
  </w:num>
  <w:num w:numId="11">
    <w:abstractNumId w:val="9"/>
  </w:num>
  <w:num w:numId="12">
    <w:abstractNumId w:val="4"/>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62"/>
    <w:rsid w:val="00042262"/>
    <w:rsid w:val="000620BA"/>
    <w:rsid w:val="002E10E4"/>
    <w:rsid w:val="003B4B0E"/>
    <w:rsid w:val="003B600E"/>
    <w:rsid w:val="004E45D9"/>
    <w:rsid w:val="005D0EB5"/>
    <w:rsid w:val="00604428"/>
    <w:rsid w:val="00AD5553"/>
    <w:rsid w:val="00BE5FA7"/>
    <w:rsid w:val="00C802F1"/>
    <w:rsid w:val="00FB00C9"/>
    <w:rsid w:val="00FE7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6903D5"/>
  <w15:chartTrackingRefBased/>
  <w15:docId w15:val="{E8F1BA69-B2AE-46D9-ADFC-36E117B7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2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262"/>
    <w:pPr>
      <w:ind w:left="720"/>
      <w:contextualSpacing/>
    </w:pPr>
  </w:style>
  <w:style w:type="paragraph" w:styleId="NormalWeb">
    <w:name w:val="Normal (Web)"/>
    <w:basedOn w:val="Normal"/>
    <w:uiPriority w:val="99"/>
    <w:semiHidden/>
    <w:unhideWhenUsed/>
    <w:rsid w:val="00FB00C9"/>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C8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4428"/>
    <w:rPr>
      <w:color w:val="0000FF"/>
      <w:u w:val="single"/>
    </w:rPr>
  </w:style>
  <w:style w:type="character" w:styleId="UnresolvedMention">
    <w:name w:val="Unresolved Mention"/>
    <w:basedOn w:val="DefaultParagraphFont"/>
    <w:uiPriority w:val="99"/>
    <w:semiHidden/>
    <w:unhideWhenUsed/>
    <w:rsid w:val="00BE5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statistics/gdp-real-time-database" TargetMode="External"/><Relationship Id="rId3" Type="http://schemas.openxmlformats.org/officeDocument/2006/relationships/settings" Target="settings.xml"/><Relationship Id="rId7" Type="http://schemas.openxmlformats.org/officeDocument/2006/relationships/hyperlink" Target="https://www.bankofengland.co.uk/inflation-report/2019/august-2019/visual-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ofengland.co.uk/boeapps/database/index.asp?Travel=NIxIRx&amp;levels=2&amp;XNotes=Y&amp;A4051XNode4051.x=6&amp;A4051XNode4051.y=17&amp;Nodes=&amp;SectionRequired=I&amp;HideNums=-1&amp;ExtraInfo=true" TargetMode="External"/><Relationship Id="rId11" Type="http://schemas.openxmlformats.org/officeDocument/2006/relationships/fontTable" Target="fontTable.xml"/><Relationship Id="rId5" Type="http://schemas.openxmlformats.org/officeDocument/2006/relationships/hyperlink" Target="https://www.bankofengland.co.uk/inflation-report/2019/august-2019/visual-summary" TargetMode="External"/><Relationship Id="rId10" Type="http://schemas.openxmlformats.org/officeDocument/2006/relationships/hyperlink" Target="https://www.ons.gov.uk/peoplepopulationandcommunity/populationandmigration/populationestimates/datasets/vitalstatisticspopulationandhealthreferencetables" TargetMode="External"/><Relationship Id="rId4" Type="http://schemas.openxmlformats.org/officeDocument/2006/relationships/webSettings" Target="webSettings.xml"/><Relationship Id="rId9" Type="http://schemas.openxmlformats.org/officeDocument/2006/relationships/hyperlink" Target="https://www.bankofengland.co.uk/statistics/yield-curv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Hutter</dc:creator>
  <cp:keywords/>
  <dc:description/>
  <cp:lastModifiedBy>Nicholas Hutter</cp:lastModifiedBy>
  <cp:revision>2</cp:revision>
  <dcterms:created xsi:type="dcterms:W3CDTF">2020-02-11T18:40:00Z</dcterms:created>
  <dcterms:modified xsi:type="dcterms:W3CDTF">2020-02-11T18:40:00Z</dcterms:modified>
</cp:coreProperties>
</file>