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rFonts w:ascii="Times New Roman" w:hAnsi="Times New Roman" w:eastAsia="黑体"/>
          <w:b/>
          <w:sz w:val="48"/>
        </w:rPr>
        <w:t>Lantern——全自动化演示文稿引擎</w:t>
      </w:r>
    </w:p>
    <w:p>
      <w:pPr>
        <w:spacing w:before="360"/>
        <w:jc w:val="center"/>
      </w:pPr>
      <w:r>
        <w:rPr>
          <w:rFonts w:ascii="Times New Roman" w:hAnsi="Times New Roman" w:eastAsia="黑体"/>
          <w:sz w:val="32"/>
        </w:rPr>
        <w:t>参赛背景书</w:t>
      </w:r>
    </w:p>
    <w:p>
      <w:pPr>
        <w:spacing w:before="240"/>
        <w:jc w:val="center"/>
      </w:pPr>
      <w:r>
        <w:rPr>
          <w:rFonts w:ascii="Times New Roman" w:hAnsi="Times New Roman" w:eastAsia="楷体"/>
          <w:sz w:val="24"/>
        </w:rPr>
        <w:t>让演示文稿生产从手工排版走向数据流水线</w:t>
      </w:r>
    </w:p>
    <w:p>
      <w:pPr>
        <w:spacing w:before="4800"/>
        <w:jc w:val="center"/>
      </w:pPr>
      <w:r>
        <w:rPr>
          <w:rFonts w:ascii="Times New Roman" w:hAnsi="Times New Roman" w:eastAsia="宋体"/>
          <w:sz w:val="24"/>
        </w:rPr>
        <w:t>参赛团队：×××（宁波金发 · 标准化工程师）</w:t>
      </w:r>
    </w:p>
    <w:p>
      <w:pPr>
        <w:jc w:val="center"/>
      </w:pPr>
      <w:r>
        <w:rPr>
          <w:rFonts w:ascii="Times New Roman" w:hAnsi="Times New Roman" w:eastAsia="宋体"/>
          <w:sz w:val="24"/>
        </w:rPr>
        <w:t>2026年10月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pPr>
        <w:spacing w:after="240"/>
        <w:jc w:val="center"/>
      </w:pPr>
      <w:r>
        <w:rPr>
          <w:rFonts w:ascii="Times New Roman" w:hAnsi="Times New Roman" w:eastAsia="黑体"/>
          <w:b/>
          <w:sz w:val="32"/>
        </w:rPr>
        <w:t>目  录</w:t>
      </w:r>
    </w:p>
    <w:p>
      <w:pPr>
        <w:pStyle w:val="TOC1"/>
        <w:tabs>
          <w:tab w:val="right" w:leader="dot" w:pos="9072"/>
        </w:tabs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LarkToc00001" w:history="1">
        <w:r>
          <w:t>一、项目背景与行业痛点</w:t>
        </w:r>
        <w:r>
          <w:tab/>
        </w:r>
        <w:r>
          <w:fldChar w:fldCharType="begin"/>
        </w:r>
        <w:r>
          <w:instrText xml:space="preserve"> PAGEREF _LarkToc00001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02" w:history="1">
        <w:r>
          <w:t>（一）行业背景</w:t>
        </w:r>
        <w:r>
          <w:tab/>
        </w:r>
        <w:r>
          <w:fldChar w:fldCharType="begin"/>
        </w:r>
        <w:r>
          <w:instrText xml:space="preserve"> PAGEREF _LarkToc00002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03" w:history="1">
        <w:r>
          <w:t>（二）真实岗位痛点</w:t>
        </w:r>
        <w:r>
          <w:tab/>
        </w:r>
        <w:r>
          <w:fldChar w:fldCharType="begin"/>
        </w:r>
        <w:r>
          <w:instrText xml:space="preserve"> PAGEREF _LarkToc00003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04" w:history="1">
        <w:r>
          <w:t>（三）问题本质</w:t>
        </w:r>
        <w:r>
          <w:tab/>
        </w:r>
        <w:r>
          <w:fldChar w:fldCharType="begin"/>
        </w:r>
        <w:r>
          <w:instrText xml:space="preserve"> PAGEREF _LarkToc00004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05" w:history="1">
        <w:r>
          <w:t>二、产品介绍</w:t>
        </w:r>
        <w:r>
          <w:tab/>
        </w:r>
        <w:r>
          <w:fldChar w:fldCharType="begin"/>
        </w:r>
        <w:r>
          <w:instrText xml:space="preserve"> PAGEREF _LarkToc00005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06" w:history="1">
        <w:r>
          <w:t>（一）产品定位</w:t>
        </w:r>
        <w:r>
          <w:tab/>
        </w:r>
        <w:r>
          <w:fldChar w:fldCharType="begin"/>
        </w:r>
        <w:r>
          <w:instrText xml:space="preserve"> PAGEREF _LarkToc00006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07" w:history="1">
        <w:r>
          <w:t>（二）设计理念</w:t>
        </w:r>
        <w:r>
          <w:tab/>
        </w:r>
        <w:r>
          <w:fldChar w:fldCharType="begin"/>
        </w:r>
        <w:r>
          <w:instrText xml:space="preserve"> PAGEREF _LarkToc00007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08" w:history="1">
        <w:r>
          <w:t>（三）工作流程</w:t>
        </w:r>
        <w:r>
          <w:tab/>
        </w:r>
        <w:r>
          <w:fldChar w:fldCharType="begin"/>
        </w:r>
        <w:r>
          <w:instrText xml:space="preserve"> PAGEREF _LarkToc00008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09" w:history="1">
        <w:r>
          <w:t>三、核心功能与技术方案</w:t>
        </w:r>
        <w:r>
          <w:tab/>
        </w:r>
        <w:r>
          <w:fldChar w:fldCharType="begin"/>
        </w:r>
        <w:r>
          <w:instrText xml:space="preserve"> PAGEREF _LarkToc00009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0" w:history="1">
        <w:r>
          <w:t>（一）元素体系</w:t>
        </w:r>
        <w:r>
          <w:tab/>
        </w:r>
        <w:r>
          <w:fldChar w:fldCharType="begin"/>
        </w:r>
        <w:r>
          <w:instrText xml:space="preserve"> PAGEREF _LarkToc00010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1" w:history="1">
        <w:r>
          <w:t>（二）多列表格与数据渲染</w:t>
        </w:r>
        <w:r>
          <w:tab/>
        </w:r>
        <w:r>
          <w:fldChar w:fldCharType="begin"/>
        </w:r>
        <w:r>
          <w:instrText xml:space="preserve"> PAGEREF _LarkToc00011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2" w:history="1">
        <w:r>
          <w:t>（三）出片自动校验</w:t>
        </w:r>
        <w:r>
          <w:tab/>
        </w:r>
        <w:r>
          <w:fldChar w:fldCharType="begin"/>
        </w:r>
        <w:r>
          <w:instrText xml:space="preserve"> PAGEREF _LarkToc00012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3" w:history="1">
        <w:r>
          <w:t>（四）富媒体扩展</w:t>
        </w:r>
        <w:r>
          <w:tab/>
        </w:r>
        <w:r>
          <w:fldChar w:fldCharType="begin"/>
        </w:r>
        <w:r>
          <w:instrText xml:space="preserve"> PAGEREF _LarkToc00013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14" w:history="1">
        <w:r>
          <w:t>四、创新点</w:t>
        </w:r>
        <w:r>
          <w:tab/>
        </w:r>
        <w:r>
          <w:fldChar w:fldCharType="begin"/>
        </w:r>
        <w:r>
          <w:instrText xml:space="preserve"> PAGEREF _LarkToc00014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15" w:history="1">
        <w:r>
          <w:t>五、应用场景与示范案例</w:t>
        </w:r>
        <w:r>
          <w:tab/>
        </w:r>
        <w:r>
          <w:fldChar w:fldCharType="begin"/>
        </w:r>
        <w:r>
          <w:instrText xml:space="preserve"> PAGEREF _LarkToc00015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6" w:history="1">
        <w:r>
          <w:t>（一）岗位场景：条款稽核与标准化周报</w:t>
        </w:r>
        <w:r>
          <w:tab/>
        </w:r>
        <w:r>
          <w:fldChar w:fldCharType="begin"/>
        </w:r>
        <w:r>
          <w:instrText xml:space="preserve"> PAGEREF _LarkToc00016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7" w:history="1">
        <w:r>
          <w:t>（二）示范案例一：办公策划——徒步团建活动策划案</w:t>
        </w:r>
        <w:r>
          <w:tab/>
        </w:r>
        <w:r>
          <w:fldChar w:fldCharType="begin"/>
        </w:r>
        <w:r>
          <w:instrText xml:space="preserve"> PAGEREF _LarkToc00017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8" w:history="1">
        <w:r>
          <w:t>（三）示范案例二：技术演示——石油炼制 3D 全流程网页</w:t>
        </w:r>
        <w:r>
          <w:tab/>
        </w:r>
        <w:r>
          <w:fldChar w:fldCharType="begin"/>
        </w:r>
        <w:r>
          <w:instrText xml:space="preserve"> PAGEREF _LarkToc00018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9" w:history="1">
        <w:r>
          <w:t>（四）更多应用场景</w:t>
        </w:r>
        <w:r>
          <w:tab/>
        </w:r>
        <w:r>
          <w:fldChar w:fldCharType="begin"/>
        </w:r>
        <w:r>
          <w:instrText xml:space="preserve"> PAGEREF _LarkToc00019 \h </w:instrText>
        </w:r>
        <w:r>
          <w:fldChar w:fldCharType="separate"/>
        </w:r>
        <w:r>
          <w:t>5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20" w:history="1">
        <w:r>
          <w:t>六、应用价值</w:t>
        </w:r>
        <w:r>
          <w:tab/>
        </w:r>
        <w:r>
          <w:fldChar w:fldCharType="begin"/>
        </w:r>
        <w:r>
          <w:instrText xml:space="preserve"> PAGEREF _LarkToc00020 \h </w:instrText>
        </w:r>
        <w:r>
          <w:fldChar w:fldCharType="separate"/>
        </w:r>
        <w:r>
          <w:t>5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21" w:history="1">
        <w:r>
          <w:t>七、未来展望</w:t>
        </w:r>
        <w:r>
          <w:tab/>
        </w:r>
        <w:r>
          <w:fldChar w:fldCharType="begin"/>
        </w:r>
        <w:r>
          <w:instrText xml:space="preserve"> PAGEREF _LarkToc00021 \h </w:instrText>
        </w:r>
        <w:r>
          <w:fldChar w:fldCharType="separate"/>
        </w:r>
        <w:r>
          <w:t>6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22" w:history="1">
        <w:r>
          <w:t>附录A  技术栈</w:t>
        </w:r>
        <w:r>
          <w:tab/>
        </w:r>
        <w:r>
          <w:fldChar w:fldCharType="begin"/>
        </w:r>
        <w:r>
          <w:instrText xml:space="preserve"> PAGEREF _LarkToc00022 \h </w:instrText>
        </w:r>
        <w:r>
          <w:fldChar w:fldCharType="separate"/>
        </w:r>
        <w:r>
          <w:t>6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23" w:history="1">
        <w:r>
          <w:t>附录B  公司信息参考来源</w:t>
        </w:r>
        <w:r>
          <w:tab/>
        </w:r>
        <w:r>
          <w:fldChar w:fldCharType="begin"/>
        </w:r>
        <w:r>
          <w:instrText xml:space="preserve"> PAGEREF _LarkToc00023 \h </w:instrText>
        </w:r>
        <w:r>
          <w:fldChar w:fldCharType="separate"/>
        </w:r>
        <w:r>
          <w:t>6</w:t>
        </w:r>
        <w:r>
          <w:fldChar w:fldCharType="end"/>
        </w:r>
      </w:hyperlink>
      <w:r>
        <w:fldChar w:fldCharType="end"/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pPr>
        <w:pStyle w:val="Heading1"/>
      </w:pPr>
      <w:bookmarkStart w:id="1" w:name="_LarkToc00001"/>
      <w:r>
        <w:t>一、项目背景与行业痛点</w:t>
      </w:r>
      <w:bookmarkEnd w:id="1"/>
    </w:p>
    <w:p>
      <w:pPr>
        <w:pStyle w:val="Heading2"/>
      </w:pPr>
      <w:bookmarkStart w:id="2" w:name="_LarkToc00002"/>
      <w:r>
        <w:t>（一）行业背景</w:t>
      </w:r>
      <w:bookmarkEnd w:id="2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宁波金发新材料有限公司是金发科技股份有限公司（股票代码 600143）的全资子公司，坐落于宁波经济技术开发区青峙工业园，注册资本 34.31 亿元，主营丙烯、聚丙烯、改性聚丙烯、甲乙酮等化工基础材料，是金发科技唯一打通“丙烷—丙烯—聚丙烯—改性聚丙烯”全产业链的子公司，也是集团向改性塑料上游延伸的关键一环。作为高新技术企业、专精特新中小企业与绿色工厂，公司的标准化工作贯穿产品标准、工艺标准与安全环保合规的各个环节。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在这样一家以化工新材料为核心业务的制造企业中，标准化工程师承担着企业标准体系建设、标准条款稽核审查、标准宣贯与合规检查整改等工作：对照国家标准、行业标准与企业标准逐条核对条款，编制标准对照表与稽核记录，跟踪整改闭环。这些工作的产出——周报、稽核结果汇报、标准宣贯课件——大量以演示文稿（PPT）形式呈现，而演示文稿的生产长期停留在手工逐页排版的阶段。</w:t>
      </w:r>
    </w:p>
    <w:p>
      <w:pPr>
        <w:pStyle w:val="Heading2"/>
      </w:pPr>
      <w:bookmarkStart w:id="3" w:name="_LarkToc00003"/>
      <w:r>
        <w:t>（二）真实岗位痛点</w:t>
      </w:r>
      <w:bookmarkEnd w:id="3"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474"/>
            <w:vAlign w:val="center"/>
            <w:shd w:val="clear" w:fill="D9D9D9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痛点</w:t>
            </w:r>
          </w:p>
        </w:tc>
        <w:tc>
          <w:tcPr>
            <w:tcW w:type="dxa" w:w="3742"/>
            <w:vAlign w:val="center"/>
            <w:shd w:val="clear" w:fill="D9D9D9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典型表现</w:t>
            </w:r>
          </w:p>
        </w:tc>
        <w:tc>
          <w:tcPr>
            <w:tcW w:type="dxa" w:w="3742"/>
            <w:vAlign w:val="center"/>
            <w:shd w:val="clear" w:fill="D9D9D9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对工作的影响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条款稽核任务重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标准条款多、逐条核对，对照表手工整理易错漏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稽核周期长，逐字核对消耗大量精力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汇报材料高频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周报、稽核汇报、整改闭环汇报每周都要做 PPT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排版占去大量时间，挤压条款核对本身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数据一致难保障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表格数字手工录入易错位、漏改，一处修改难以全篇同步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汇报数字前后不一致，需反复核对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改稿返工频繁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条款或数据一调整，整页重排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需求一变从头再来，交付效率低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模板与风格不统一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跨部门协作风格各异，规范落地难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汇报口径不一致，评审沟通成本高</w:t>
            </w:r>
          </w:p>
        </w:tc>
      </w:tr>
    </w:tbl>
    <w:p>
      <w:pPr>
        <w:spacing w:before="80"/>
        <w:jc w:val="center"/>
      </w:pPr>
      <w:r>
        <w:rPr>
          <w:rFonts w:ascii="Times New Roman" w:hAnsi="Times New Roman" w:eastAsia="宋体"/>
          <w:sz w:val="21"/>
        </w:rPr>
        <w:t>表1  标准化工程师岗位的核心痛点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</w:r>
    </w:p>
    <w:p>
      <w:pPr>
        <w:pStyle w:val="Heading2"/>
      </w:pPr>
      <w:bookmarkStart w:id="4" w:name="_LarkToc00004"/>
      <w:r>
        <w:t>（三）问题本质</w:t>
      </w:r>
      <w:bookmarkEnd w:id="4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上述痛点的共同根源，在于演示文稿的内容与呈现被强耦合在一起：改一个数字，要同步调整表格、图表与相关页面；换一种风格，整份文档的版式都要重排。标准化岗位的条款对照表、稽核记录与周报本就数据密集、更新频繁，演示文稿的生产缺少一条“内容定义、自动出片、质量校验”的工业化流水线，仍停留在靠人力和经验堆砌的阶段。</w:t>
      </w:r>
    </w:p>
    <w:p>
      <w:pPr>
        <w:pStyle w:val="Heading1"/>
      </w:pPr>
      <w:bookmarkStart w:id="5" w:name="_LarkToc00005"/>
      <w:r>
        <w:t>二、产品介绍</w:t>
      </w:r>
      <w:bookmarkEnd w:id="5"/>
    </w:p>
    <w:p>
      <w:pPr>
        <w:pStyle w:val="Heading2"/>
      </w:pPr>
      <w:bookmarkStart w:id="6" w:name="_LarkToc00006"/>
      <w:r>
        <w:t>（一）产品定位</w:t>
      </w:r>
      <w:bookmarkEnd w:id="6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Lantern 是一套以 JSON 数据驱动、全自动化出片的演示文稿生产引擎，面向标准化工程师等办公岗位的高频汇报场景。使用者用结构化的 JSON 描述演示内容，引擎负责解析、排版、渲染与校验，一条命令同时产出 PPTX 与 PDF 成品，实现“内容即数据、数据即成品”。</w:t>
      </w:r>
    </w:p>
    <w:p>
      <w:pPr>
        <w:pStyle w:val="Heading2"/>
      </w:pPr>
      <w:bookmarkStart w:id="7" w:name="_LarkToc00007"/>
      <w:r>
        <w:t>（二）设计理念</w:t>
      </w:r>
      <w:bookmarkEnd w:id="7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内容与版面分离：演示内容以 JSON 描述，版面由引擎按规则统一渲染；修改内容不触碰排版逻辑，调整风格不涉及数据。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声明式描述：每一页演示都是若干元素的组合——标题、正文、图片、表格、色条等，JSON 即文档本身，结构一目了然。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出片即交付：从 JSON 到成品全程零手工干预，并内置版式校验，产出即可直接使用。</w:t>
      </w:r>
    </w:p>
    <w:p>
      <w:pPr>
        <w:pStyle w:val="Heading2"/>
      </w:pPr>
      <w:bookmarkStart w:id="8" w:name="_LarkToc00008"/>
      <w:r>
        <w:t>（三）工作流程</w:t>
      </w:r>
      <w:bookmarkEnd w:id="8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Lantern 的完整流水线分为五个环节：第一，编写 JSON 内容描述文件；第二，引擎解析元素并计算版式；第三，通过 WPS 渲染生成演示文档；第四，输出 PPTX、PDF 与页面截图；第五，自动校验页数、溢出与资源引用，完成闭环。整个过程由一条命令驱动。</w:t>
      </w:r>
    </w:p>
    <w:p>
      <w:pPr>
        <w:pStyle w:val="Heading1"/>
      </w:pPr>
      <w:bookmarkStart w:id="9" w:name="_LarkToc00009"/>
      <w:r>
        <w:t>三、核心功能与技术方案</w:t>
      </w:r>
      <w:bookmarkEnd w:id="9"/>
    </w:p>
    <w:p>
      <w:pPr>
        <w:pStyle w:val="Heading2"/>
      </w:pPr>
      <w:bookmarkStart w:id="10" w:name="_LarkToc00010"/>
      <w:r>
        <w:t>（一）元素体系</w:t>
      </w:r>
      <w:bookmarkEnd w:id="10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Lantern 内置 11 种基础元素，可组合出封面、正文页、时间轴、数据表格、流程结构等常见版式：富文本正文、纯文本、灰色信息框、渐变条、图片、胶囊标签、红色强调条、矩形、编号圆标、多列表格与分割线。所有元素以坐标盒（box）定位，配合颜色、字号、对齐等属性，支持灵活的版式编排。</w:t>
      </w:r>
    </w:p>
    <w:p>
      <w:pPr>
        <w:pStyle w:val="Heading2"/>
      </w:pPr>
      <w:bookmarkStart w:id="11" w:name="_LarkToc00011"/>
      <w:r>
        <w:t>（二）多列表格与数据渲染</w:t>
      </w:r>
      <w:bookmarkEnd w:id="11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针对办公场景中最高频的数据表格需求，Lantern 实现了通用多列表格渲染：列宽可调、表头样式统一、单元格支持多段富文本与强调色。渲染直接生成稳定的文档结构，规避了 WPS 表格接口在复杂场景下的不稳定问题，保证跨页与打印的一致性。</w:t>
      </w:r>
    </w:p>
    <w:p>
      <w:pPr>
        <w:pStyle w:val="Heading2"/>
      </w:pPr>
      <w:bookmarkStart w:id="12" w:name="_LarkToc00012"/>
      <w:r>
        <w:t>（三）出片自动校验</w:t>
      </w:r>
      <w:bookmarkEnd w:id="12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引擎在渲染完成后自动执行质量校验：核对页面数量、检测元素溢出、检查图片与素材引用是否完整，并在发现问题时给出定位信息。质量检查内建于流水线，而不是依赖人工逐页目检。</w:t>
      </w:r>
    </w:p>
    <w:p>
      <w:pPr>
        <w:pStyle w:val="Heading2"/>
      </w:pPr>
      <w:bookmarkStart w:id="13" w:name="_LarkToc00013"/>
      <w:r>
        <w:t>（四）富媒体扩展</w:t>
      </w:r>
      <w:bookmarkEnd w:id="13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Lantern 支持外部素材（本地图片、截图、设计稿、3D 网页渲染图）一键进入页面，可将交互式网页演示、三维可视化等高富媒体内容沉淀为演示文档，实现“演示与交付同源”。</w:t>
      </w:r>
    </w:p>
    <w:p>
      <w:pPr>
        <w:pStyle w:val="Heading1"/>
      </w:pPr>
      <w:bookmarkStart w:id="14" w:name="_LarkToc00014"/>
      <w:r>
        <w:t>四、创新点</w:t>
      </w:r>
      <w:bookmarkEnd w:id="14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第一，全流程自动化：从 JSON 定义到成品文档，零手工干预，把演示文稿生产从“手工排版”升级为“数据流水线”。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第二，内容与版面解耦：一处修改、全域再生成，需求变化不再是返工的开始，而只是一次重新渲染。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第三，出片即校验：版式质量检查内建在生成链路中，问题在交付前被发现，而不是交付后由人工排查。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第四，低门槛：演示内容用 JSON 描述，非程序员也能快速上手；同时 JSON 天然支持版本管理、复用与自动化集成。</w:t>
      </w:r>
    </w:p>
    <w:p>
      <w:pPr>
        <w:pStyle w:val="Heading1"/>
      </w:pPr>
      <w:bookmarkStart w:id="15" w:name="_LarkToc00015"/>
      <w:r>
        <w:t>五、应用场景与示范案例</w:t>
      </w:r>
      <w:bookmarkEnd w:id="15"/>
    </w:p>
    <w:p>
      <w:pPr>
        <w:pStyle w:val="Heading2"/>
      </w:pPr>
      <w:bookmarkStart w:id="16" w:name="_LarkToc00016"/>
      <w:r>
        <w:t>（一）岗位场景：条款稽核与标准化周报</w:t>
      </w:r>
      <w:bookmarkEnd w:id="16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条款稽核汇报：将标准条款对照表（国标、行标、企标的条款与执行情况）写入 JSON，Lantern 的多列表格自动渲染成规范的稽核对照页，逐条呈现条款、判定与整改项，数据全篇一致。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标准化周报：每周将工作条目（标准推进、稽核结果、整改闭环）整理为 JSON，一条命令生成周报 PPT 与 PDF，改一版重跑一次即可，无需逐页排版。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标准宣贯课件：宣贯培训材料可复用统一模板批量生成，条款更新后重新渲染即得新版课件，保证培训口径与标准文本一致。</w:t>
      </w:r>
    </w:p>
    <w:p>
      <w:pPr>
        <w:pStyle w:val="Heading2"/>
      </w:pPr>
      <w:bookmarkStart w:id="17" w:name="_LarkToc00017"/>
      <w:r>
        <w:t>（二）示范案例一：办公策划——徒步团建活动策划案</w:t>
      </w:r>
      <w:bookmarkEnd w:id="17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以“宁波金发新材料有限公司徒步团建策划案”为例，仅用一份 JSON 内容描述，Lantern 一次生成完整的 6 页演示：封面页、活动概览、行程时间轴、安全保障、费用预算、组织与总结。行程页以时间轴呈现五个关键节点，预算页自动核算合计金额与人均费用，全程无需人工排版。方案修改只需调整 JSON 中的时间、人数、预算等字段，一条命令即可再生整套成品。</w:t>
      </w:r>
    </w:p>
    <w:p>
      <w:pPr>
        <w:pStyle w:val="Heading2"/>
      </w:pPr>
      <w:bookmarkStart w:id="18" w:name="_LarkToc00018"/>
      <w:r>
        <w:t>（三）示范案例二：技术演示——石油炼制 3D 全流程网页</w:t>
      </w:r>
      <w:bookmarkEnd w:id="18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针对化工行业的技术演示场景，团队构建了“石油炼制 3D 全流程”单文件交互网页：以 three.js 实现原油到汽油、柴油分馏裂化的完整流程，支持六章节滚动叙事、相机随章节联动、温度参数交互与粒子动画。网页截图可直接进入 Lantern 演示，将 3D 交互体验沉淀为评审与汇报素材。</w:t>
      </w:r>
    </w:p>
    <w:p>
      <w:pPr>
        <w:pStyle w:val="Heading2"/>
      </w:pPr>
      <w:bookmarkStart w:id="19" w:name="_LarkToc00019"/>
      <w:r>
        <w:t>（四）更多应用场景</w:t>
      </w:r>
      <w:bookmarkEnd w:id="19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岗位场景与两个示范案例分别代表 Lantern 的三类典型用法：数据密集的稽核对照、结构化策划快速成片、富媒体技术演示。在此基础上，Lantern 还可广泛应用于以下办公场景：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361"/>
            <w:vAlign w:val="center"/>
            <w:shd w:val="clear" w:fill="D9D9D9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应用场景</w:t>
            </w:r>
          </w:p>
        </w:tc>
        <w:tc>
          <w:tcPr>
            <w:tcW w:type="dxa" w:w="3515"/>
            <w:vAlign w:val="center"/>
            <w:shd w:val="clear" w:fill="D9D9D9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典型用途</w:t>
            </w:r>
          </w:p>
        </w:tc>
        <w:tc>
          <w:tcPr>
            <w:tcW w:type="dxa" w:w="4082"/>
            <w:vAlign w:val="center"/>
            <w:shd w:val="clear" w:fill="D9D9D9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Lantern 的价值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标准稽核汇报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条款对照、稽核记录、整改清单</w:t>
            </w:r>
          </w:p>
        </w:tc>
        <w:tc>
          <w:tcPr>
            <w:tcW w:type="dxa" w:w="408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多列表格自动渲染，条款与判定逐条一致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标准化周报月报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工作条目、进展跟踪、闭环汇报</w:t>
            </w:r>
          </w:p>
        </w:tc>
        <w:tc>
          <w:tcPr>
            <w:tcW w:type="dxa" w:w="408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JSON 改一条重跑一次，周周可再生成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培训宣贯课件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标准宣贯、制度解读、安全培训</w:t>
            </w:r>
          </w:p>
        </w:tc>
        <w:tc>
          <w:tcPr>
            <w:tcW w:type="dxa" w:w="408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统一模板批量更新，口径与标准文本一致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评审答辩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项目评审、验收汇报、专家答辩</w:t>
            </w:r>
          </w:p>
        </w:tc>
        <w:tc>
          <w:tcPr>
            <w:tcW w:type="dxa" w:w="408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自动校验版式，避免低级错误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数据汇报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经营分析、业绩复盘、指标跟踪</w:t>
            </w:r>
          </w:p>
        </w:tc>
        <w:tc>
          <w:tcPr>
            <w:tcW w:type="dxa" w:w="408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表格自动渲染，数字全篇一致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市场方案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营销策划、竞品分析、投放提案</w:t>
            </w:r>
          </w:p>
        </w:tc>
        <w:tc>
          <w:tcPr>
            <w:tcW w:type="dxa" w:w="408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图片素材一键进片，方案即成品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年终总结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部门总结、个人述职</w:t>
            </w:r>
          </w:p>
        </w:tc>
        <w:tc>
          <w:tcPr>
            <w:tcW w:type="dxa" w:w="408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复用统一模板，快速产出规范文档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投标方案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商务标书、技术方案演示</w:t>
            </w:r>
          </w:p>
        </w:tc>
        <w:tc>
          <w:tcPr>
            <w:tcW w:type="dxa" w:w="408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数据驱动，格式规范统一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教学课件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课程讲义、实验演示、知识科普</w:t>
            </w:r>
          </w:p>
        </w:tc>
        <w:tc>
          <w:tcPr>
            <w:tcW w:type="dxa" w:w="408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富媒体扩展承载 3D 与交互内容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活动策划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团建、发布会、年会方案</w:t>
            </w:r>
          </w:p>
        </w:tc>
        <w:tc>
          <w:tcPr>
            <w:tcW w:type="dxa" w:w="408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一份 JSON 一套成品，改稿零成本</w:t>
            </w:r>
          </w:p>
        </w:tc>
      </w:tr>
    </w:tbl>
    <w:p>
      <w:pPr>
        <w:spacing w:before="80"/>
        <w:jc w:val="center"/>
      </w:pPr>
      <w:r>
        <w:rPr>
          <w:rFonts w:ascii="Times New Roman" w:hAnsi="Times New Roman" w:eastAsia="宋体"/>
          <w:sz w:val="21"/>
        </w:rPr>
        <w:t>表2  更多应用场景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</w:r>
    </w:p>
    <w:p>
      <w:pPr>
        <w:pStyle w:val="Heading1"/>
      </w:pPr>
      <w:bookmarkStart w:id="20" w:name="_LarkToc00020"/>
      <w:r>
        <w:t>六、应用价值</w:t>
      </w:r>
      <w:bookmarkEnd w:id="20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效率价值：稽核汇报与周报制作从“小时级”缩短到“分钟级”，标准化工作把精力还给条款核对本身。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质量价值：统一版式规范、内置校验与数据一致性，显著降低标准对照表与汇报中的数字错误。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协作价值：JSON 内容可版本管理、可复用、可被脚本与自动化任务驱动，支持标准条款库与汇报模板的沉淀复用。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社会价值：降低演示制作的专业门槛，让更多一线工程师摆脱排版负担，专注业务表达。</w:t>
      </w:r>
    </w:p>
    <w:p>
      <w:pPr>
        <w:pStyle w:val="Heading1"/>
      </w:pPr>
      <w:bookmarkStart w:id="21" w:name="_LarkToc00021"/>
      <w:r>
        <w:t>七、未来展望</w:t>
      </w:r>
      <w:bookmarkEnd w:id="21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下一阶段，Lantern 将接入大语言模型，实现“一句话需求直接生成 JSON 内容”；建设可复用的模板市场与多语言支持；并进一步打通在线协作与定时生成能力，让演示文稿生产真正成为组织内部的一项自动化服务。</w:t>
      </w:r>
    </w:p>
    <w:p>
      <w:pPr>
        <w:pStyle w:val="Heading1"/>
      </w:pPr>
      <w:bookmarkStart w:id="22" w:name="_LarkToc00022"/>
      <w:r>
        <w:t>附录A  技术栈</w:t>
      </w:r>
      <w:bookmarkEnd w:id="22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Lantern 主体以 Python 实现：WPS COM 负责文档渲染，PIL 处理图片素材，PyMuPDF 执行页面校验；3D 扩展采用 three.js 构建单文件交互网页。全部组件可在本地环境直接运行。</w:t>
      </w:r>
    </w:p>
    <w:p>
      <w:pPr>
        <w:pStyle w:val="Heading1"/>
      </w:pPr>
      <w:bookmarkStart w:id="23" w:name="_LarkToc00023"/>
      <w:r>
        <w:t>附录B  公司信息参考来源</w:t>
      </w:r>
      <w:bookmarkEnd w:id="23"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474"/>
            <w:vAlign w:val="center"/>
            <w:shd w:val="clear" w:fill="D9D9D9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信息项</w:t>
            </w:r>
          </w:p>
        </w:tc>
        <w:tc>
          <w:tcPr>
            <w:tcW w:type="dxa" w:w="4309"/>
            <w:vAlign w:val="center"/>
            <w:shd w:val="clear" w:fill="D9D9D9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内容</w:t>
            </w:r>
          </w:p>
        </w:tc>
        <w:tc>
          <w:tcPr>
            <w:tcW w:type="dxa" w:w="3175"/>
            <w:vAlign w:val="center"/>
            <w:shd w:val="clear" w:fill="D9D9D9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来源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企业概况</w:t>
            </w:r>
          </w:p>
        </w:tc>
        <w:tc>
          <w:tcPr>
            <w:tcW w:type="dxa" w:w="4309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金发科技全资子公司，注册资本 34.31 亿元，主营丙烯、聚丙烯、改性聚丙烯、甲乙酮等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金发科技官网“宁波金发新材料有限公司”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注册地址</w:t>
            </w:r>
          </w:p>
        </w:tc>
        <w:tc>
          <w:tcPr>
            <w:tcW w:type="dxa" w:w="4309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浙江省宁波市北仑区戚家山街道宏源路 168 号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金发科技股份有限公司增资公告（上交所，2026-04-21）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产业链定位</w:t>
            </w:r>
          </w:p>
        </w:tc>
        <w:tc>
          <w:tcPr>
            <w:tcW w:type="dxa" w:w="4309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唯一打通“丙烷—丙烯—聚丙烯—改性聚丙烯”全产业链的子公司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宁波市北仑区人民政府官方报道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资质荣誉</w:t>
            </w:r>
          </w:p>
        </w:tc>
        <w:tc>
          <w:tcPr>
            <w:tcW w:type="dxa" w:w="4309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高新技术企业、专精特新中小企业、绿色工厂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公开工商与企业信息平台</w:t>
            </w:r>
          </w:p>
        </w:tc>
      </w:tr>
    </w:tbl>
    <w:p>
      <w:pPr>
        <w:spacing w:before="80"/>
        <w:jc w:val="center"/>
      </w:pPr>
      <w:r>
        <w:rPr>
          <w:rFonts w:ascii="Times New Roman" w:hAnsi="Times New Roman" w:eastAsia="宋体"/>
          <w:sz w:val="21"/>
        </w:rPr>
        <w:t>表3  公司信息参考来源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以上信息均为公开可查的官方发布内容，用于说明作品所处行业与岗位背景。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OfficeWordTocPaginationV1" w:val="v5:4cfe27405682a6f76ec3d34ef672a16e87e9f26a1388d196f1446db167902b62:74e720b374098e37513b905c100e5c1d9a4f4489a5717912eeaa402978ef5545:6b1d38d227660a073e32d8ef48a4aff9177722dd2cd5f81fae65dd4771e0ed60"/>
  </w:docVars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jc w:val="both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semiHidden/>
    <w:unhideWhenUsed/>
    <w:uiPriority w:val="39"/>
    <w:pPr>
      <w:spacing w:line="240" w:lineRule="auto"/>
      <w:ind w:firstLine="0" w:firstLineChars="0" w:hanging="0" w:hangingChars="0"/>
    </w:pPr>
  </w:style>
  <w:style w:type="paragraph" w:styleId="TOC2">
    <w:name w:val="toc 2"/>
    <w:basedOn w:val="Normal"/>
    <w:next w:val="Normal"/>
    <w:semiHidden/>
    <w:unhideWhenUsed/>
    <w:uiPriority w:val="39"/>
    <w:pPr>
      <w:spacing w:line="240" w:lineRule="auto"/>
      <w:ind w:firstLine="0" w:firstLineChars="0" w:hanging="0" w:hangingChars="0" w:left="420" w:leftChars="20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semiHidden/>
    <w:unhideWhenUsed/>
    <w:uiPriority w:val="39"/>
    <w:pPr>
      <w:spacing w:line="240" w:lineRule="auto"/>
      <w:ind w:firstLine="0" w:firstLineChars="0" w:hanging="0" w:hangingChars="0"/>
    </w:pPr>
  </w:style>
  <w:style w:type="paragraph" w:styleId="TOC2">
    <w:name w:val="toc 2"/>
    <w:basedOn w:val="Normal"/>
    <w:next w:val="Normal"/>
    <w:semiHidden/>
    <w:unhideWhenUsed/>
    <w:uiPriority w:val="39"/>
    <w:pPr>
      <w:spacing w:line="240" w:lineRule="auto"/>
      <w:ind w:firstLine="0" w:firstLineChars="0" w:hanging="0" w:hangingChars="0" w:left="420" w:leftChars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