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E691" w14:textId="77777777" w:rsidR="008722FF" w:rsidRDefault="00000000">
      <w:pPr>
        <w:pStyle w:val="Title"/>
        <w:jc w:val="center"/>
        <w:rPr>
          <w:lang w:eastAsia="zh-CN"/>
        </w:rPr>
      </w:pPr>
      <w:r>
        <w:rPr>
          <w:rFonts w:ascii="Arial" w:eastAsia="Microsoft YaHei" w:hAnsi="Arial"/>
          <w:sz w:val="46"/>
          <w:lang w:eastAsia="zh-CN"/>
        </w:rPr>
        <w:t>哪些建议不会翻转</w:t>
      </w:r>
      <w:r>
        <w:rPr>
          <w:rFonts w:ascii="Arial" w:eastAsia="Microsoft YaHei" w:hAnsi="Arial"/>
          <w:sz w:val="46"/>
          <w:lang w:eastAsia="zh-CN"/>
        </w:rPr>
        <w:br/>
      </w:r>
      <w:r>
        <w:rPr>
          <w:rFonts w:ascii="Arial" w:eastAsia="Microsoft YaHei" w:hAnsi="Arial"/>
          <w:sz w:val="46"/>
          <w:lang w:eastAsia="zh-CN"/>
        </w:rPr>
        <w:t>不完整区域数据下的华东可持续膳食稳健优化</w:t>
      </w:r>
    </w:p>
    <w:p w14:paraId="0BF64B21" w14:textId="77777777" w:rsidR="008722FF" w:rsidRDefault="00000000">
      <w:pPr>
        <w:spacing w:after="480"/>
        <w:jc w:val="center"/>
      </w:pPr>
      <w:r>
        <w:rPr>
          <w:b/>
          <w:sz w:val="30"/>
        </w:rPr>
        <w:t>Which Recommendations Do Not Flip</w:t>
      </w:r>
      <w:r>
        <w:rPr>
          <w:b/>
          <w:sz w:val="30"/>
        </w:rPr>
        <w:br/>
        <w:t>Robust Sustainable Diet Optimization for East China with Incomplete Regional Data</w:t>
      </w:r>
    </w:p>
    <w:tbl>
      <w:tblPr>
        <w:tblW w:w="0" w:type="auto"/>
        <w:tblLayout w:type="fixed"/>
        <w:tblLook w:val="04A0" w:firstRow="1" w:lastRow="0" w:firstColumn="1" w:lastColumn="0" w:noHBand="0" w:noVBand="1"/>
      </w:tblPr>
      <w:tblGrid>
        <w:gridCol w:w="2448"/>
        <w:gridCol w:w="6768"/>
      </w:tblGrid>
      <w:tr w:rsidR="008722FF" w14:paraId="7B50D614" w14:textId="77777777">
        <w:tc>
          <w:tcPr>
            <w:tcW w:w="2448" w:type="dxa"/>
            <w:shd w:val="clear" w:color="auto" w:fill="DCE6F1"/>
            <w:tcMar>
              <w:top w:w="110" w:type="dxa"/>
              <w:left w:w="120" w:type="dxa"/>
              <w:bottom w:w="110" w:type="dxa"/>
              <w:right w:w="120" w:type="dxa"/>
            </w:tcMar>
            <w:vAlign w:val="center"/>
          </w:tcPr>
          <w:p w14:paraId="02ACED89" w14:textId="77777777" w:rsidR="008722FF" w:rsidRDefault="00000000">
            <w:pPr>
              <w:spacing w:after="0"/>
            </w:pPr>
            <w:r>
              <w:rPr>
                <w:b/>
                <w:sz w:val="20"/>
              </w:rPr>
              <w:t xml:space="preserve">Project </w:t>
            </w:r>
            <w:r>
              <w:rPr>
                <w:b/>
                <w:sz w:val="20"/>
              </w:rPr>
              <w:t>项目</w:t>
            </w:r>
          </w:p>
        </w:tc>
        <w:tc>
          <w:tcPr>
            <w:tcW w:w="6768" w:type="dxa"/>
            <w:tcMar>
              <w:top w:w="110" w:type="dxa"/>
              <w:left w:w="120" w:type="dxa"/>
              <w:bottom w:w="110" w:type="dxa"/>
              <w:right w:w="120" w:type="dxa"/>
            </w:tcMar>
            <w:vAlign w:val="center"/>
          </w:tcPr>
          <w:p w14:paraId="3F214B41" w14:textId="77777777" w:rsidR="008722FF" w:rsidRDefault="00000000">
            <w:pPr>
              <w:spacing w:after="0"/>
            </w:pPr>
            <w:r>
              <w:rPr>
                <w:sz w:val="20"/>
              </w:rPr>
              <w:t>East China Uncertainty Aware MODOpt</w:t>
            </w:r>
          </w:p>
        </w:tc>
      </w:tr>
      <w:tr w:rsidR="008722FF" w14:paraId="45DB7749" w14:textId="77777777">
        <w:tc>
          <w:tcPr>
            <w:tcW w:w="2448" w:type="dxa"/>
            <w:shd w:val="clear" w:color="auto" w:fill="DCE6F1"/>
            <w:tcMar>
              <w:top w:w="110" w:type="dxa"/>
              <w:left w:w="120" w:type="dxa"/>
              <w:bottom w:w="110" w:type="dxa"/>
              <w:right w:w="120" w:type="dxa"/>
            </w:tcMar>
            <w:vAlign w:val="center"/>
          </w:tcPr>
          <w:p w14:paraId="6731A976" w14:textId="77777777" w:rsidR="008722FF" w:rsidRDefault="00000000">
            <w:pPr>
              <w:spacing w:after="0"/>
            </w:pPr>
            <w:r>
              <w:rPr>
                <w:b/>
                <w:sz w:val="20"/>
              </w:rPr>
              <w:t xml:space="preserve">Document </w:t>
            </w:r>
            <w:r>
              <w:rPr>
                <w:b/>
                <w:sz w:val="20"/>
              </w:rPr>
              <w:t>文档</w:t>
            </w:r>
          </w:p>
        </w:tc>
        <w:tc>
          <w:tcPr>
            <w:tcW w:w="6768" w:type="dxa"/>
            <w:tcMar>
              <w:top w:w="110" w:type="dxa"/>
              <w:left w:w="120" w:type="dxa"/>
              <w:bottom w:w="110" w:type="dxa"/>
              <w:right w:w="120" w:type="dxa"/>
            </w:tcMar>
            <w:vAlign w:val="center"/>
          </w:tcPr>
          <w:p w14:paraId="773EF8CB" w14:textId="77777777" w:rsidR="008722FF" w:rsidRDefault="00000000">
            <w:pPr>
              <w:spacing w:after="0"/>
            </w:pPr>
            <w:r>
              <w:rPr>
                <w:sz w:val="20"/>
              </w:rPr>
              <w:t xml:space="preserve">Bilingual Research Proposal </w:t>
            </w:r>
            <w:r>
              <w:rPr>
                <w:sz w:val="20"/>
              </w:rPr>
              <w:t>中英双语研究计划</w:t>
            </w:r>
          </w:p>
        </w:tc>
      </w:tr>
      <w:tr w:rsidR="008722FF" w14:paraId="070188DD" w14:textId="77777777">
        <w:tc>
          <w:tcPr>
            <w:tcW w:w="2448" w:type="dxa"/>
            <w:shd w:val="clear" w:color="auto" w:fill="DCE6F1"/>
            <w:tcMar>
              <w:top w:w="110" w:type="dxa"/>
              <w:left w:w="120" w:type="dxa"/>
              <w:bottom w:w="110" w:type="dxa"/>
              <w:right w:w="120" w:type="dxa"/>
            </w:tcMar>
            <w:vAlign w:val="center"/>
          </w:tcPr>
          <w:p w14:paraId="0F7C08F5" w14:textId="77777777" w:rsidR="008722FF" w:rsidRDefault="00000000">
            <w:pPr>
              <w:spacing w:after="0"/>
            </w:pPr>
            <w:r>
              <w:rPr>
                <w:b/>
                <w:sz w:val="20"/>
              </w:rPr>
              <w:t xml:space="preserve">Version </w:t>
            </w:r>
            <w:r>
              <w:rPr>
                <w:b/>
                <w:sz w:val="20"/>
              </w:rPr>
              <w:t>版本</w:t>
            </w:r>
          </w:p>
        </w:tc>
        <w:tc>
          <w:tcPr>
            <w:tcW w:w="6768" w:type="dxa"/>
            <w:tcMar>
              <w:top w:w="110" w:type="dxa"/>
              <w:left w:w="120" w:type="dxa"/>
              <w:bottom w:w="110" w:type="dxa"/>
              <w:right w:w="120" w:type="dxa"/>
            </w:tcMar>
            <w:vAlign w:val="center"/>
          </w:tcPr>
          <w:p w14:paraId="247065E3" w14:textId="77777777" w:rsidR="008722FF" w:rsidRDefault="00000000">
            <w:pPr>
              <w:spacing w:after="0"/>
            </w:pPr>
            <w:r>
              <w:rPr>
                <w:sz w:val="20"/>
              </w:rPr>
              <w:t>1.0</w:t>
            </w:r>
          </w:p>
        </w:tc>
      </w:tr>
      <w:tr w:rsidR="008722FF" w14:paraId="5AD106AF" w14:textId="77777777">
        <w:tc>
          <w:tcPr>
            <w:tcW w:w="2448" w:type="dxa"/>
            <w:shd w:val="clear" w:color="auto" w:fill="DCE6F1"/>
            <w:tcMar>
              <w:top w:w="110" w:type="dxa"/>
              <w:left w:w="120" w:type="dxa"/>
              <w:bottom w:w="110" w:type="dxa"/>
              <w:right w:w="120" w:type="dxa"/>
            </w:tcMar>
            <w:vAlign w:val="center"/>
          </w:tcPr>
          <w:p w14:paraId="60EC4021" w14:textId="77777777" w:rsidR="008722FF" w:rsidRDefault="00000000">
            <w:pPr>
              <w:spacing w:after="0"/>
            </w:pPr>
            <w:r>
              <w:rPr>
                <w:b/>
                <w:sz w:val="20"/>
              </w:rPr>
              <w:t xml:space="preserve">Date </w:t>
            </w:r>
            <w:r>
              <w:rPr>
                <w:b/>
                <w:sz w:val="20"/>
              </w:rPr>
              <w:t>日期</w:t>
            </w:r>
          </w:p>
        </w:tc>
        <w:tc>
          <w:tcPr>
            <w:tcW w:w="6768" w:type="dxa"/>
            <w:tcMar>
              <w:top w:w="110" w:type="dxa"/>
              <w:left w:w="120" w:type="dxa"/>
              <w:bottom w:w="110" w:type="dxa"/>
              <w:right w:w="120" w:type="dxa"/>
            </w:tcMar>
            <w:vAlign w:val="center"/>
          </w:tcPr>
          <w:p w14:paraId="62651484" w14:textId="77777777" w:rsidR="008722FF" w:rsidRDefault="00000000">
            <w:pPr>
              <w:spacing w:after="0"/>
            </w:pPr>
            <w:r>
              <w:rPr>
                <w:sz w:val="20"/>
              </w:rPr>
              <w:t>15 October 2026</w:t>
            </w:r>
          </w:p>
        </w:tc>
      </w:tr>
      <w:tr w:rsidR="008722FF" w14:paraId="61F6D994" w14:textId="77777777">
        <w:tc>
          <w:tcPr>
            <w:tcW w:w="2448" w:type="dxa"/>
            <w:shd w:val="clear" w:color="auto" w:fill="DCE6F1"/>
            <w:tcMar>
              <w:top w:w="110" w:type="dxa"/>
              <w:left w:w="120" w:type="dxa"/>
              <w:bottom w:w="110" w:type="dxa"/>
              <w:right w:w="120" w:type="dxa"/>
            </w:tcMar>
            <w:vAlign w:val="center"/>
          </w:tcPr>
          <w:p w14:paraId="1FFA55A5" w14:textId="77777777" w:rsidR="008722FF" w:rsidRDefault="00000000">
            <w:pPr>
              <w:spacing w:after="0"/>
            </w:pPr>
            <w:r>
              <w:rPr>
                <w:b/>
                <w:sz w:val="20"/>
              </w:rPr>
              <w:t xml:space="preserve">Status </w:t>
            </w:r>
            <w:r>
              <w:rPr>
                <w:b/>
                <w:sz w:val="20"/>
              </w:rPr>
              <w:t>状态</w:t>
            </w:r>
          </w:p>
        </w:tc>
        <w:tc>
          <w:tcPr>
            <w:tcW w:w="6768" w:type="dxa"/>
            <w:tcMar>
              <w:top w:w="110" w:type="dxa"/>
              <w:left w:w="120" w:type="dxa"/>
              <w:bottom w:w="110" w:type="dxa"/>
              <w:right w:w="120" w:type="dxa"/>
            </w:tcMar>
            <w:vAlign w:val="center"/>
          </w:tcPr>
          <w:p w14:paraId="61B46E43" w14:textId="77777777" w:rsidR="008722FF" w:rsidRDefault="00000000">
            <w:pPr>
              <w:spacing w:after="0"/>
            </w:pPr>
            <w:r>
              <w:rPr>
                <w:sz w:val="20"/>
              </w:rPr>
              <w:t xml:space="preserve">Experiment ready for B1 calibration B1 </w:t>
            </w:r>
            <w:r>
              <w:rPr>
                <w:sz w:val="20"/>
              </w:rPr>
              <w:t>校准实验就绪</w:t>
            </w:r>
          </w:p>
        </w:tc>
      </w:tr>
    </w:tbl>
    <w:p w14:paraId="5605E96B" w14:textId="77777777" w:rsidR="008722FF" w:rsidRDefault="008722FF"/>
    <w:p w14:paraId="3BD881DE" w14:textId="77777777" w:rsidR="008722FF" w:rsidRDefault="00000000">
      <w:pPr>
        <w:spacing w:before="240"/>
        <w:rPr>
          <w:lang w:eastAsia="zh-CN"/>
        </w:rPr>
      </w:pPr>
      <w:r>
        <w:rPr>
          <w:lang w:eastAsia="zh-CN"/>
        </w:rPr>
        <w:t>本计划提出</w:t>
      </w:r>
      <w:r>
        <w:rPr>
          <w:lang w:eastAsia="zh-CN"/>
        </w:rPr>
        <w:t xml:space="preserve"> uncertainty propagating </w:t>
      </w:r>
      <w:proofErr w:type="spellStart"/>
      <w:r>
        <w:rPr>
          <w:lang w:eastAsia="zh-CN"/>
        </w:rPr>
        <w:t>MODOpt</w:t>
      </w:r>
      <w:proofErr w:type="spellEnd"/>
      <w:r>
        <w:rPr>
          <w:lang w:eastAsia="zh-CN"/>
        </w:rPr>
        <w:t>，将结构化缺失校准、后验预测场景和联合营养机会约束连接起来。研究目标不是生成一个看似精确的菜单，而是识别在合理数据假设下不会翻转的食物组建议。</w:t>
      </w:r>
    </w:p>
    <w:p w14:paraId="7BFAECE0" w14:textId="77777777" w:rsidR="008722FF" w:rsidRDefault="00000000">
      <w:r>
        <w:t>This proposal links structured missingness calibration, posterior predictive scenarios, and joint nutritional chance constraints. Its goal is not an apparently precise menu, but food group recommendations that remain stable under defensible data assumptions.</w:t>
      </w:r>
    </w:p>
    <w:p w14:paraId="645E354C" w14:textId="77777777" w:rsidR="008722FF" w:rsidRDefault="00000000">
      <w:r>
        <w:br w:type="page"/>
      </w:r>
    </w:p>
    <w:p w14:paraId="7776955F" w14:textId="77777777" w:rsidR="008722FF" w:rsidRDefault="00000000">
      <w:pPr>
        <w:pStyle w:val="Heading2"/>
      </w:pPr>
      <w:r>
        <w:lastRenderedPageBreak/>
        <w:t xml:space="preserve">1 </w:t>
      </w:r>
      <w:proofErr w:type="spellStart"/>
      <w:r>
        <w:t>研究背景与核心问题</w:t>
      </w:r>
      <w:proofErr w:type="spellEnd"/>
    </w:p>
    <w:p w14:paraId="1B4D47B0" w14:textId="77777777" w:rsidR="008722FF" w:rsidRDefault="00000000">
      <w:pPr>
        <w:ind w:firstLine="360"/>
        <w:jc w:val="both"/>
        <w:rPr>
          <w:lang w:eastAsia="zh-CN"/>
        </w:rPr>
      </w:pPr>
      <w:r>
        <w:rPr>
          <w:lang w:eastAsia="zh-CN"/>
        </w:rPr>
        <w:t>华东地区可持续膳食优化需要同时整合居民消费、食品价格、营养成分和环境足迹。然而，现有价格面板约</w:t>
      </w:r>
      <w:r>
        <w:rPr>
          <w:lang w:eastAsia="zh-CN"/>
        </w:rPr>
        <w:t xml:space="preserve"> 64.5% </w:t>
      </w:r>
      <w:r>
        <w:rPr>
          <w:lang w:eastAsia="zh-CN"/>
        </w:rPr>
        <w:t>的单元不可直接使用，消费统计只有</w:t>
      </w:r>
      <w:r>
        <w:rPr>
          <w:lang w:eastAsia="zh-CN"/>
        </w:rPr>
        <w:t xml:space="preserve"> 10 </w:t>
      </w:r>
      <w:r>
        <w:rPr>
          <w:lang w:eastAsia="zh-CN"/>
        </w:rPr>
        <w:t>类，营养数据覆盖</w:t>
      </w:r>
      <w:r>
        <w:rPr>
          <w:lang w:eastAsia="zh-CN"/>
        </w:rPr>
        <w:t xml:space="preserve"> 50 </w:t>
      </w:r>
      <w:r>
        <w:rPr>
          <w:lang w:eastAsia="zh-CN"/>
        </w:rPr>
        <w:t>种食物，而原有模型代码以</w:t>
      </w:r>
      <w:r>
        <w:rPr>
          <w:lang w:eastAsia="zh-CN"/>
        </w:rPr>
        <w:t xml:space="preserve"> 40 </w:t>
      </w:r>
      <w:r>
        <w:rPr>
          <w:lang w:eastAsia="zh-CN"/>
        </w:rPr>
        <w:t>或</w:t>
      </w:r>
      <w:r>
        <w:rPr>
          <w:lang w:eastAsia="zh-CN"/>
        </w:rPr>
        <w:t xml:space="preserve"> 68 </w:t>
      </w:r>
      <w:r>
        <w:rPr>
          <w:lang w:eastAsia="zh-CN"/>
        </w:rPr>
        <w:t>种食物输出确定性结果，并在真实数据路径中使用均值、零值和随机数兜底。这使分析无法区分一个膳食建议究竟来自真实的区域结构，还是来自数据补全假设。</w:t>
      </w:r>
    </w:p>
    <w:p w14:paraId="7EC3ED3F" w14:textId="77777777" w:rsidR="008722FF" w:rsidRDefault="00000000">
      <w:pPr>
        <w:ind w:firstLine="360"/>
        <w:jc w:val="both"/>
        <w:rPr>
          <w:lang w:eastAsia="zh-CN"/>
        </w:rPr>
      </w:pPr>
      <w:r>
        <w:rPr>
          <w:lang w:eastAsia="zh-CN"/>
        </w:rPr>
        <w:t>本研究保留原有华东</w:t>
      </w:r>
      <w:r>
        <w:rPr>
          <w:lang w:eastAsia="zh-CN"/>
        </w:rPr>
        <w:t xml:space="preserve"> </w:t>
      </w:r>
      <w:proofErr w:type="spellStart"/>
      <w:r>
        <w:rPr>
          <w:lang w:eastAsia="zh-CN"/>
        </w:rPr>
        <w:t>MODOpt</w:t>
      </w:r>
      <w:proofErr w:type="spellEnd"/>
      <w:r>
        <w:rPr>
          <w:lang w:eastAsia="zh-CN"/>
        </w:rPr>
        <w:t xml:space="preserve"> </w:t>
      </w:r>
      <w:r>
        <w:rPr>
          <w:lang w:eastAsia="zh-CN"/>
        </w:rPr>
        <w:t>主线，将核心问题明确为：在价格、消费、营养和环境数据不完整且粒度错位时，哪些食物组调整方向在合理的数据场景中仍然不会翻转？</w:t>
      </w:r>
    </w:p>
    <w:p w14:paraId="3D718093" w14:textId="77777777" w:rsidR="008722FF" w:rsidRDefault="00000000">
      <w:pPr>
        <w:pStyle w:val="Heading2"/>
        <w:rPr>
          <w:lang w:eastAsia="zh-CN"/>
        </w:rPr>
      </w:pPr>
      <w:r>
        <w:rPr>
          <w:lang w:eastAsia="zh-CN"/>
        </w:rPr>
        <w:t xml:space="preserve">2 </w:t>
      </w:r>
      <w:r>
        <w:rPr>
          <w:lang w:eastAsia="zh-CN"/>
        </w:rPr>
        <w:t>研究目标</w:t>
      </w:r>
    </w:p>
    <w:p w14:paraId="465E5674" w14:textId="77777777" w:rsidR="008722FF" w:rsidRDefault="00000000">
      <w:pPr>
        <w:ind w:left="360" w:hanging="360"/>
        <w:rPr>
          <w:lang w:eastAsia="zh-CN"/>
        </w:rPr>
      </w:pPr>
      <w:r>
        <w:rPr>
          <w:lang w:eastAsia="zh-CN"/>
        </w:rPr>
        <w:t xml:space="preserve">1.  </w:t>
      </w:r>
      <w:r>
        <w:rPr>
          <w:lang w:eastAsia="zh-CN"/>
        </w:rPr>
        <w:t>建立价格、消费、营养和环境数据的统一、可追溯映射体系。</w:t>
      </w:r>
    </w:p>
    <w:p w14:paraId="2C276BD2" w14:textId="77777777" w:rsidR="008722FF" w:rsidRDefault="00000000">
      <w:pPr>
        <w:ind w:left="360" w:hanging="360"/>
        <w:rPr>
          <w:lang w:eastAsia="zh-CN"/>
        </w:rPr>
      </w:pPr>
      <w:r>
        <w:rPr>
          <w:lang w:eastAsia="zh-CN"/>
        </w:rPr>
        <w:t xml:space="preserve">2.  </w:t>
      </w:r>
      <w:r>
        <w:rPr>
          <w:lang w:eastAsia="zh-CN"/>
        </w:rPr>
        <w:t>在查看优化结果前冻结四类数据共同支持的食物组决策空间。</w:t>
      </w:r>
    </w:p>
    <w:p w14:paraId="7F601C4B" w14:textId="77777777" w:rsidR="008722FF" w:rsidRDefault="00000000">
      <w:pPr>
        <w:ind w:left="360" w:hanging="360"/>
        <w:rPr>
          <w:lang w:eastAsia="zh-CN"/>
        </w:rPr>
      </w:pPr>
      <w:r>
        <w:rPr>
          <w:lang w:eastAsia="zh-CN"/>
        </w:rPr>
        <w:t xml:space="preserve">3.  </w:t>
      </w:r>
      <w:r>
        <w:rPr>
          <w:lang w:eastAsia="zh-CN"/>
        </w:rPr>
        <w:t>通过层级模型估计缺失数据并保留概率不确定性。</w:t>
      </w:r>
    </w:p>
    <w:p w14:paraId="252A749D" w14:textId="77777777" w:rsidR="008722FF" w:rsidRDefault="00000000">
      <w:pPr>
        <w:ind w:left="360" w:hanging="360"/>
        <w:rPr>
          <w:lang w:eastAsia="zh-CN"/>
        </w:rPr>
      </w:pPr>
      <w:r>
        <w:rPr>
          <w:lang w:eastAsia="zh-CN"/>
        </w:rPr>
        <w:t xml:space="preserve">4.  </w:t>
      </w:r>
      <w:r>
        <w:rPr>
          <w:lang w:eastAsia="zh-CN"/>
        </w:rPr>
        <w:t>将输入不确定性传播到</w:t>
      </w:r>
      <w:r>
        <w:rPr>
          <w:lang w:eastAsia="zh-CN"/>
        </w:rPr>
        <w:t xml:space="preserve"> </w:t>
      </w:r>
      <w:proofErr w:type="spellStart"/>
      <w:r>
        <w:rPr>
          <w:lang w:eastAsia="zh-CN"/>
        </w:rPr>
        <w:t>MODOpt</w:t>
      </w:r>
      <w:proofErr w:type="spellEnd"/>
      <w:r>
        <w:rPr>
          <w:lang w:eastAsia="zh-CN"/>
        </w:rPr>
        <w:t>，以联合营养机会约束求解逐地区共享决策。</w:t>
      </w:r>
    </w:p>
    <w:p w14:paraId="68C87F2D" w14:textId="77777777" w:rsidR="008722FF" w:rsidRDefault="00000000">
      <w:pPr>
        <w:ind w:left="360" w:hanging="360"/>
        <w:rPr>
          <w:lang w:eastAsia="zh-CN"/>
        </w:rPr>
      </w:pPr>
      <w:r>
        <w:rPr>
          <w:lang w:eastAsia="zh-CN"/>
        </w:rPr>
        <w:t xml:space="preserve">5.  </w:t>
      </w:r>
      <w:r>
        <w:rPr>
          <w:lang w:eastAsia="zh-CN"/>
        </w:rPr>
        <w:t>识别在缺失模式、结构性偏移和参数边界下均保持稳定的膳食调整方向。</w:t>
      </w:r>
    </w:p>
    <w:p w14:paraId="6EC3E0E0" w14:textId="77777777" w:rsidR="008722FF" w:rsidRDefault="00000000">
      <w:pPr>
        <w:pStyle w:val="Heading2"/>
        <w:rPr>
          <w:lang w:eastAsia="zh-CN"/>
        </w:rPr>
      </w:pPr>
      <w:r>
        <w:rPr>
          <w:lang w:eastAsia="zh-CN"/>
        </w:rPr>
        <w:t xml:space="preserve">3 </w:t>
      </w:r>
      <w:r>
        <w:rPr>
          <w:lang w:eastAsia="zh-CN"/>
        </w:rPr>
        <w:t>核心贡献</w:t>
      </w:r>
    </w:p>
    <w:p w14:paraId="6B96D10E" w14:textId="77777777" w:rsidR="008722FF" w:rsidRDefault="00000000">
      <w:pPr>
        <w:ind w:firstLine="360"/>
        <w:jc w:val="both"/>
        <w:rPr>
          <w:lang w:eastAsia="zh-CN"/>
        </w:rPr>
      </w:pPr>
      <w:r>
        <w:rPr>
          <w:lang w:eastAsia="zh-CN"/>
        </w:rPr>
        <w:t>本研究的主贡献是</w:t>
      </w:r>
      <w:r>
        <w:rPr>
          <w:lang w:eastAsia="zh-CN"/>
        </w:rPr>
        <w:t xml:space="preserve"> uncertainty propagating </w:t>
      </w:r>
      <w:proofErr w:type="spellStart"/>
      <w:r>
        <w:rPr>
          <w:lang w:eastAsia="zh-CN"/>
        </w:rPr>
        <w:t>MODOpt</w:t>
      </w:r>
      <w:proofErr w:type="spellEnd"/>
      <w:r>
        <w:rPr>
          <w:lang w:eastAsia="zh-CN"/>
        </w:rPr>
        <w:t>。该框架将后验预测场景与逐地区联合营养机会约束结合，使</w:t>
      </w:r>
      <w:r>
        <w:rPr>
          <w:lang w:eastAsia="zh-CN"/>
        </w:rPr>
        <w:t xml:space="preserve"> </w:t>
      </w:r>
      <w:proofErr w:type="spellStart"/>
      <w:r>
        <w:rPr>
          <w:lang w:eastAsia="zh-CN"/>
        </w:rPr>
        <w:t>MODOpt</w:t>
      </w:r>
      <w:proofErr w:type="spellEnd"/>
      <w:r>
        <w:rPr>
          <w:lang w:eastAsia="zh-CN"/>
        </w:rPr>
        <w:t xml:space="preserve"> </w:t>
      </w:r>
      <w:r>
        <w:rPr>
          <w:lang w:eastAsia="zh-CN"/>
        </w:rPr>
        <w:t>从输出单次最优菜单，转为输出可审计的稳定食物组建议。</w:t>
      </w:r>
      <w:r>
        <w:rPr>
          <w:lang w:eastAsia="zh-CN"/>
        </w:rPr>
        <w:t>Crosswalk</w:t>
      </w:r>
      <w:r>
        <w:rPr>
          <w:lang w:eastAsia="zh-CN"/>
        </w:rPr>
        <w:t>、层级估计、场景生成和数据审计是实现该贡献的基础设施，不分别宣称为独立算法创新。</w:t>
      </w:r>
    </w:p>
    <w:p w14:paraId="13DF04A5" w14:textId="77777777" w:rsidR="008722FF" w:rsidRDefault="00000000">
      <w:pPr>
        <w:ind w:firstLine="360"/>
        <w:jc w:val="both"/>
        <w:rPr>
          <w:lang w:eastAsia="zh-CN"/>
        </w:rPr>
      </w:pPr>
      <w:r>
        <w:rPr>
          <w:lang w:eastAsia="zh-CN"/>
        </w:rPr>
        <w:t>本研究不将</w:t>
      </w:r>
      <w:r>
        <w:rPr>
          <w:lang w:eastAsia="zh-CN"/>
        </w:rPr>
        <w:t xml:space="preserve"> 10 </w:t>
      </w:r>
      <w:r>
        <w:rPr>
          <w:lang w:eastAsia="zh-CN"/>
        </w:rPr>
        <w:t>或</w:t>
      </w:r>
      <w:r>
        <w:rPr>
          <w:lang w:eastAsia="zh-CN"/>
        </w:rPr>
        <w:t xml:space="preserve"> 14 </w:t>
      </w:r>
      <w:r>
        <w:rPr>
          <w:lang w:eastAsia="zh-CN"/>
        </w:rPr>
        <w:t>类统计数据精确反演为</w:t>
      </w:r>
      <w:r>
        <w:rPr>
          <w:lang w:eastAsia="zh-CN"/>
        </w:rPr>
        <w:t xml:space="preserve"> 68 </w:t>
      </w:r>
      <w:r>
        <w:rPr>
          <w:lang w:eastAsia="zh-CN"/>
        </w:rPr>
        <w:t>个食物条目，不使用未经验证的</w:t>
      </w:r>
      <w:r>
        <w:rPr>
          <w:lang w:eastAsia="zh-CN"/>
        </w:rPr>
        <w:t xml:space="preserve"> synthetic data </w:t>
      </w:r>
      <w:r>
        <w:rPr>
          <w:lang w:eastAsia="zh-CN"/>
        </w:rPr>
        <w:t>增加样本量，也不以本地短序列直接预测</w:t>
      </w:r>
      <w:r>
        <w:rPr>
          <w:lang w:eastAsia="zh-CN"/>
        </w:rPr>
        <w:t xml:space="preserve"> 2050 </w:t>
      </w:r>
      <w:r>
        <w:rPr>
          <w:lang w:eastAsia="zh-CN"/>
        </w:rPr>
        <w:t>年。</w:t>
      </w:r>
    </w:p>
    <w:p w14:paraId="6DC1D979" w14:textId="77777777" w:rsidR="008722FF" w:rsidRDefault="00000000">
      <w:pPr>
        <w:pStyle w:val="Heading2"/>
        <w:rPr>
          <w:lang w:eastAsia="zh-CN"/>
        </w:rPr>
      </w:pPr>
      <w:r>
        <w:rPr>
          <w:lang w:eastAsia="zh-CN"/>
        </w:rPr>
        <w:t xml:space="preserve">4 </w:t>
      </w:r>
      <w:r>
        <w:rPr>
          <w:lang w:eastAsia="zh-CN"/>
        </w:rPr>
        <w:t>数据共同支持的食物组</w:t>
      </w:r>
    </w:p>
    <w:p w14:paraId="40C0E540" w14:textId="77777777" w:rsidR="008722FF" w:rsidRDefault="00000000">
      <w:pPr>
        <w:ind w:firstLine="360"/>
        <w:jc w:val="both"/>
        <w:rPr>
          <w:lang w:eastAsia="zh-CN"/>
        </w:rPr>
      </w:pPr>
      <w:r>
        <w:rPr>
          <w:lang w:eastAsia="zh-CN"/>
        </w:rPr>
        <w:t>研究从具有直接组级消费基线的统计类别出发，按照固定食物本体树和编码顺序向上合并。最终食品组必须同时具备可识别基线、足够的单位价格观测、完整的硬营养约束系数和全部目标环境系数。映射矩阵的维度、等价类、秩、单位和覆盖必须通过审计，不满足条件的类别排除出主分析。</w:t>
      </w:r>
    </w:p>
    <w:p w14:paraId="4327B07A" w14:textId="77777777" w:rsidR="008722FF" w:rsidRDefault="00000000">
      <w:pPr>
        <w:ind w:firstLine="360"/>
        <w:jc w:val="both"/>
        <w:rPr>
          <w:lang w:eastAsia="zh-CN"/>
        </w:rPr>
      </w:pPr>
      <w:r>
        <w:rPr>
          <w:lang w:eastAsia="zh-CN"/>
        </w:rPr>
        <w:lastRenderedPageBreak/>
        <w:t>定义非负且列和为</w:t>
      </w:r>
      <w:r>
        <w:rPr>
          <w:lang w:eastAsia="zh-CN"/>
        </w:rPr>
        <w:t xml:space="preserve"> 1 </w:t>
      </w:r>
      <w:r>
        <w:rPr>
          <w:lang w:eastAsia="zh-CN"/>
        </w:rPr>
        <w:t>的组内可食重量矩阵</w:t>
      </w:r>
      <w:r>
        <w:rPr>
          <w:lang w:eastAsia="zh-CN"/>
        </w:rPr>
        <w:t xml:space="preserve"> W</w:t>
      </w:r>
      <w:r>
        <w:rPr>
          <w:lang w:eastAsia="zh-CN"/>
        </w:rPr>
        <w:t>。相同的</w:t>
      </w:r>
      <w:r>
        <w:rPr>
          <w:lang w:eastAsia="zh-CN"/>
        </w:rPr>
        <w:t xml:space="preserve"> W </w:t>
      </w:r>
      <w:r>
        <w:rPr>
          <w:lang w:eastAsia="zh-CN"/>
        </w:rPr>
        <w:t>同时用于形成组营养系数和环境系数，确保消费、营养和环境口径一致。</w:t>
      </w:r>
    </w:p>
    <w:p w14:paraId="64AA0532" w14:textId="77777777" w:rsidR="008722FF" w:rsidRDefault="00000000">
      <w:pPr>
        <w:pStyle w:val="Heading2"/>
        <w:rPr>
          <w:lang w:eastAsia="zh-CN"/>
        </w:rPr>
      </w:pPr>
      <w:r>
        <w:rPr>
          <w:lang w:eastAsia="zh-CN"/>
        </w:rPr>
        <w:t xml:space="preserve">5 </w:t>
      </w:r>
      <w:r>
        <w:rPr>
          <w:lang w:eastAsia="zh-CN"/>
        </w:rPr>
        <w:t>价格与缺失数据估计</w:t>
      </w:r>
    </w:p>
    <w:p w14:paraId="699636F0" w14:textId="77777777" w:rsidR="008722FF" w:rsidRDefault="00000000">
      <w:pPr>
        <w:ind w:firstLine="360"/>
        <w:jc w:val="both"/>
        <w:rPr>
          <w:lang w:eastAsia="zh-CN"/>
        </w:rPr>
      </w:pPr>
      <w:r>
        <w:rPr>
          <w:lang w:eastAsia="zh-CN"/>
        </w:rPr>
        <w:t>主分析只使用最终食物组单位篮子价格作为成本参数。原始价格类别必须与最终组定义一致；上位价格覆盖多个候选组且没有统一权重时，必须合并或排除。价格指数、同比文字和占位值不进入成本目标。</w:t>
      </w:r>
    </w:p>
    <w:p w14:paraId="42C684FB" w14:textId="77777777" w:rsidR="008722FF" w:rsidRDefault="00000000">
      <w:pPr>
        <w:ind w:firstLine="360"/>
        <w:jc w:val="both"/>
        <w:rPr>
          <w:lang w:eastAsia="zh-CN"/>
        </w:rPr>
      </w:pPr>
      <w:r>
        <w:rPr>
          <w:lang w:eastAsia="zh-CN"/>
        </w:rPr>
        <w:t>组价格采用低维加性层级模型。地区和食品组效应进行部分汇聚，年份使用一阶随机游走。主缺失机制假设为条件</w:t>
      </w:r>
      <w:r>
        <w:rPr>
          <w:lang w:eastAsia="zh-CN"/>
        </w:rPr>
        <w:t xml:space="preserve"> MAR</w:t>
      </w:r>
      <w:r>
        <w:rPr>
          <w:lang w:eastAsia="zh-CN"/>
        </w:rPr>
        <w:t>；整块缺失通过</w:t>
      </w:r>
      <w:r>
        <w:rPr>
          <w:lang w:eastAsia="zh-CN"/>
        </w:rPr>
        <w:t xml:space="preserve"> delta shift </w:t>
      </w:r>
      <w:r>
        <w:rPr>
          <w:lang w:eastAsia="zh-CN"/>
        </w:rPr>
        <w:t>进行</w:t>
      </w:r>
      <w:r>
        <w:rPr>
          <w:lang w:eastAsia="zh-CN"/>
        </w:rPr>
        <w:t xml:space="preserve"> MNAR </w:t>
      </w:r>
      <w:r>
        <w:rPr>
          <w:lang w:eastAsia="zh-CN"/>
        </w:rPr>
        <w:t>敏感性分析。只有具有概率依据的变量进入后验场景；纯上下界参数进入端点网格。</w:t>
      </w:r>
    </w:p>
    <w:p w14:paraId="54E86B52" w14:textId="77777777" w:rsidR="008722FF" w:rsidRDefault="00000000">
      <w:pPr>
        <w:pStyle w:val="Heading2"/>
        <w:rPr>
          <w:lang w:eastAsia="zh-CN"/>
        </w:rPr>
      </w:pPr>
      <w:r>
        <w:rPr>
          <w:lang w:eastAsia="zh-CN"/>
        </w:rPr>
        <w:t xml:space="preserve">6 </w:t>
      </w:r>
      <w:r>
        <w:rPr>
          <w:lang w:eastAsia="zh-CN"/>
        </w:rPr>
        <w:t>不确定性传播</w:t>
      </w:r>
      <w:r>
        <w:rPr>
          <w:lang w:eastAsia="zh-CN"/>
        </w:rPr>
        <w:t xml:space="preserve"> </w:t>
      </w:r>
      <w:proofErr w:type="spellStart"/>
      <w:r>
        <w:rPr>
          <w:lang w:eastAsia="zh-CN"/>
        </w:rPr>
        <w:t>MODOpt</w:t>
      </w:r>
      <w:proofErr w:type="spellEnd"/>
    </w:p>
    <w:p w14:paraId="736A1655" w14:textId="77777777" w:rsidR="008722FF" w:rsidRDefault="00000000">
      <w:pPr>
        <w:ind w:firstLine="360"/>
        <w:jc w:val="both"/>
        <w:rPr>
          <w:lang w:eastAsia="zh-CN"/>
        </w:rPr>
      </w:pPr>
      <w:r>
        <w:rPr>
          <w:lang w:eastAsia="zh-CN"/>
        </w:rPr>
        <w:t>七个地区分别求解，三个原有膳食情景分别比较。模型使用</w:t>
      </w:r>
      <w:r>
        <w:rPr>
          <w:lang w:eastAsia="zh-CN"/>
        </w:rPr>
        <w:t xml:space="preserve"> 200 </w:t>
      </w:r>
      <w:r>
        <w:rPr>
          <w:lang w:eastAsia="zh-CN"/>
        </w:rPr>
        <w:t>个训练场景求共享决策，使用</w:t>
      </w:r>
      <w:r>
        <w:rPr>
          <w:lang w:eastAsia="zh-CN"/>
        </w:rPr>
        <w:t xml:space="preserve"> 1000 </w:t>
      </w:r>
      <w:r>
        <w:rPr>
          <w:lang w:eastAsia="zh-CN"/>
        </w:rPr>
        <w:t>个测试场景进行模型内检查，并进行场景数收敛分析。成本和环境目标保持线性，采用固定参考标准化后的</w:t>
      </w:r>
      <w:r>
        <w:rPr>
          <w:lang w:eastAsia="zh-CN"/>
        </w:rPr>
        <w:t xml:space="preserve"> Pareto </w:t>
      </w:r>
      <w:r>
        <w:rPr>
          <w:lang w:eastAsia="zh-CN"/>
        </w:rPr>
        <w:t>单调加权和。</w:t>
      </w:r>
    </w:p>
    <w:p w14:paraId="47E7AA26" w14:textId="77777777" w:rsidR="008722FF" w:rsidRDefault="00000000">
      <w:pPr>
        <w:pStyle w:val="Heading2"/>
      </w:pPr>
      <w:proofErr w:type="spellStart"/>
      <w:r>
        <w:t>关键设计参数</w:t>
      </w:r>
      <w:proofErr w:type="spellEnd"/>
    </w:p>
    <w:tbl>
      <w:tblPr>
        <w:tblStyle w:val="TableGrid"/>
        <w:tblW w:w="0" w:type="auto"/>
        <w:tblLook w:val="04A0" w:firstRow="1" w:lastRow="0" w:firstColumn="1" w:lastColumn="0" w:noHBand="0" w:noVBand="1"/>
      </w:tblPr>
      <w:tblGrid>
        <w:gridCol w:w="3293"/>
        <w:gridCol w:w="3293"/>
        <w:gridCol w:w="3293"/>
      </w:tblGrid>
      <w:tr w:rsidR="008722FF" w14:paraId="1F37ACA8" w14:textId="77777777">
        <w:trPr>
          <w:tblHeader/>
        </w:trPr>
        <w:tc>
          <w:tcPr>
            <w:tcW w:w="3293" w:type="dxa"/>
            <w:shd w:val="clear" w:color="auto" w:fill="1F4E78"/>
            <w:tcMar>
              <w:top w:w="55" w:type="dxa"/>
              <w:left w:w="120" w:type="dxa"/>
              <w:bottom w:w="55" w:type="dxa"/>
              <w:right w:w="120" w:type="dxa"/>
            </w:tcMar>
            <w:vAlign w:val="center"/>
          </w:tcPr>
          <w:p w14:paraId="1D77439B" w14:textId="77777777" w:rsidR="008722FF" w:rsidRDefault="00000000">
            <w:pPr>
              <w:spacing w:after="0"/>
              <w:jc w:val="center"/>
            </w:pPr>
            <w:r>
              <w:rPr>
                <w:b/>
                <w:color w:val="FFFFFF"/>
                <w:sz w:val="18"/>
              </w:rPr>
              <w:t>要素</w:t>
            </w:r>
          </w:p>
        </w:tc>
        <w:tc>
          <w:tcPr>
            <w:tcW w:w="3293" w:type="dxa"/>
            <w:shd w:val="clear" w:color="auto" w:fill="1F4E78"/>
            <w:tcMar>
              <w:top w:w="55" w:type="dxa"/>
              <w:left w:w="120" w:type="dxa"/>
              <w:bottom w:w="55" w:type="dxa"/>
              <w:right w:w="120" w:type="dxa"/>
            </w:tcMar>
            <w:vAlign w:val="center"/>
          </w:tcPr>
          <w:p w14:paraId="036955F2" w14:textId="77777777" w:rsidR="008722FF" w:rsidRDefault="00000000">
            <w:pPr>
              <w:spacing w:after="0"/>
              <w:jc w:val="center"/>
            </w:pPr>
            <w:r>
              <w:rPr>
                <w:b/>
                <w:color w:val="FFFFFF"/>
                <w:sz w:val="18"/>
              </w:rPr>
              <w:t>预注册设置</w:t>
            </w:r>
          </w:p>
        </w:tc>
        <w:tc>
          <w:tcPr>
            <w:tcW w:w="3293" w:type="dxa"/>
            <w:shd w:val="clear" w:color="auto" w:fill="1F4E78"/>
            <w:tcMar>
              <w:top w:w="55" w:type="dxa"/>
              <w:left w:w="120" w:type="dxa"/>
              <w:bottom w:w="55" w:type="dxa"/>
              <w:right w:w="120" w:type="dxa"/>
            </w:tcMar>
            <w:vAlign w:val="center"/>
          </w:tcPr>
          <w:p w14:paraId="7B12E713" w14:textId="77777777" w:rsidR="008722FF" w:rsidRDefault="00000000">
            <w:pPr>
              <w:spacing w:after="0"/>
              <w:jc w:val="center"/>
            </w:pPr>
            <w:r>
              <w:rPr>
                <w:b/>
                <w:color w:val="FFFFFF"/>
                <w:sz w:val="18"/>
              </w:rPr>
              <w:t>论证职责</w:t>
            </w:r>
          </w:p>
        </w:tc>
      </w:tr>
      <w:tr w:rsidR="008722FF" w14:paraId="119393A7" w14:textId="77777777">
        <w:tc>
          <w:tcPr>
            <w:tcW w:w="3293" w:type="dxa"/>
            <w:tcMar>
              <w:top w:w="55" w:type="dxa"/>
              <w:left w:w="120" w:type="dxa"/>
              <w:bottom w:w="55" w:type="dxa"/>
              <w:right w:w="120" w:type="dxa"/>
            </w:tcMar>
            <w:vAlign w:val="center"/>
          </w:tcPr>
          <w:p w14:paraId="35E75A1C" w14:textId="77777777" w:rsidR="008722FF" w:rsidRDefault="00000000">
            <w:pPr>
              <w:spacing w:after="0"/>
            </w:pPr>
            <w:r>
              <w:rPr>
                <w:sz w:val="18"/>
              </w:rPr>
              <w:t>验证结构</w:t>
            </w:r>
          </w:p>
        </w:tc>
        <w:tc>
          <w:tcPr>
            <w:tcW w:w="3293" w:type="dxa"/>
            <w:tcMar>
              <w:top w:w="55" w:type="dxa"/>
              <w:left w:w="120" w:type="dxa"/>
              <w:bottom w:w="55" w:type="dxa"/>
              <w:right w:w="120" w:type="dxa"/>
            </w:tcMar>
            <w:vAlign w:val="center"/>
          </w:tcPr>
          <w:p w14:paraId="0778BD0A" w14:textId="77777777" w:rsidR="008722FF" w:rsidRDefault="00000000">
            <w:pPr>
              <w:spacing w:after="0"/>
              <w:jc w:val="center"/>
            </w:pPr>
            <w:r>
              <w:rPr>
                <w:sz w:val="18"/>
              </w:rPr>
              <w:t>5 folds × 20 repeats × 3 mask types</w:t>
            </w:r>
          </w:p>
        </w:tc>
        <w:tc>
          <w:tcPr>
            <w:tcW w:w="3293" w:type="dxa"/>
            <w:tcMar>
              <w:top w:w="55" w:type="dxa"/>
              <w:left w:w="120" w:type="dxa"/>
              <w:bottom w:w="55" w:type="dxa"/>
              <w:right w:w="120" w:type="dxa"/>
            </w:tcMar>
            <w:vAlign w:val="center"/>
          </w:tcPr>
          <w:p w14:paraId="3DF8EC72" w14:textId="77777777" w:rsidR="008722FF" w:rsidRDefault="00000000">
            <w:pPr>
              <w:spacing w:after="0"/>
            </w:pPr>
            <w:r>
              <w:rPr>
                <w:sz w:val="18"/>
              </w:rPr>
              <w:t>检验真实缺失几何</w:t>
            </w:r>
          </w:p>
        </w:tc>
      </w:tr>
      <w:tr w:rsidR="008722FF" w14:paraId="5C814488" w14:textId="77777777">
        <w:tc>
          <w:tcPr>
            <w:tcW w:w="3293" w:type="dxa"/>
            <w:shd w:val="clear" w:color="auto" w:fill="F2F6FA"/>
            <w:tcMar>
              <w:top w:w="55" w:type="dxa"/>
              <w:left w:w="120" w:type="dxa"/>
              <w:bottom w:w="55" w:type="dxa"/>
              <w:right w:w="120" w:type="dxa"/>
            </w:tcMar>
            <w:vAlign w:val="center"/>
          </w:tcPr>
          <w:p w14:paraId="65943705" w14:textId="77777777" w:rsidR="008722FF" w:rsidRDefault="00000000">
            <w:pPr>
              <w:spacing w:after="0"/>
            </w:pPr>
            <w:r>
              <w:rPr>
                <w:sz w:val="18"/>
              </w:rPr>
              <w:t>估计方法</w:t>
            </w:r>
          </w:p>
        </w:tc>
        <w:tc>
          <w:tcPr>
            <w:tcW w:w="3293" w:type="dxa"/>
            <w:shd w:val="clear" w:color="auto" w:fill="F2F6FA"/>
            <w:tcMar>
              <w:top w:w="55" w:type="dxa"/>
              <w:left w:w="120" w:type="dxa"/>
              <w:bottom w:w="55" w:type="dxa"/>
              <w:right w:w="120" w:type="dxa"/>
            </w:tcMar>
            <w:vAlign w:val="center"/>
          </w:tcPr>
          <w:p w14:paraId="020FB45B" w14:textId="77777777" w:rsidR="008722FF" w:rsidRDefault="00000000">
            <w:pPr>
              <w:spacing w:after="0"/>
              <w:jc w:val="center"/>
            </w:pPr>
            <w:r>
              <w:rPr>
                <w:sz w:val="18"/>
              </w:rPr>
              <w:t>Mean Interpolation MICE Hierarchical RW</w:t>
            </w:r>
          </w:p>
        </w:tc>
        <w:tc>
          <w:tcPr>
            <w:tcW w:w="3293" w:type="dxa"/>
            <w:shd w:val="clear" w:color="auto" w:fill="F2F6FA"/>
            <w:tcMar>
              <w:top w:w="55" w:type="dxa"/>
              <w:left w:w="120" w:type="dxa"/>
              <w:bottom w:w="55" w:type="dxa"/>
              <w:right w:w="120" w:type="dxa"/>
            </w:tcMar>
            <w:vAlign w:val="center"/>
          </w:tcPr>
          <w:p w14:paraId="2F86AC00" w14:textId="77777777" w:rsidR="008722FF" w:rsidRDefault="00000000">
            <w:pPr>
              <w:spacing w:after="0"/>
            </w:pPr>
            <w:r>
              <w:rPr>
                <w:sz w:val="18"/>
              </w:rPr>
              <w:t>校准点估计与区间</w:t>
            </w:r>
          </w:p>
        </w:tc>
      </w:tr>
      <w:tr w:rsidR="008722FF" w14:paraId="7736BC3C" w14:textId="77777777">
        <w:tc>
          <w:tcPr>
            <w:tcW w:w="3293" w:type="dxa"/>
            <w:tcMar>
              <w:top w:w="55" w:type="dxa"/>
              <w:left w:w="120" w:type="dxa"/>
              <w:bottom w:w="55" w:type="dxa"/>
              <w:right w:w="120" w:type="dxa"/>
            </w:tcMar>
            <w:vAlign w:val="center"/>
          </w:tcPr>
          <w:p w14:paraId="662EFFA7" w14:textId="77777777" w:rsidR="008722FF" w:rsidRDefault="00000000">
            <w:pPr>
              <w:spacing w:after="0"/>
            </w:pPr>
            <w:r>
              <w:rPr>
                <w:sz w:val="18"/>
              </w:rPr>
              <w:t>优化场景</w:t>
            </w:r>
          </w:p>
        </w:tc>
        <w:tc>
          <w:tcPr>
            <w:tcW w:w="3293" w:type="dxa"/>
            <w:tcMar>
              <w:top w:w="55" w:type="dxa"/>
              <w:left w:w="120" w:type="dxa"/>
              <w:bottom w:w="55" w:type="dxa"/>
              <w:right w:w="120" w:type="dxa"/>
            </w:tcMar>
            <w:vAlign w:val="center"/>
          </w:tcPr>
          <w:p w14:paraId="3412993D" w14:textId="77777777" w:rsidR="008722FF" w:rsidRDefault="00000000">
            <w:pPr>
              <w:spacing w:after="0"/>
              <w:jc w:val="center"/>
            </w:pPr>
            <w:r>
              <w:rPr>
                <w:sz w:val="18"/>
              </w:rPr>
              <w:t>200 train 1000 test</w:t>
            </w:r>
          </w:p>
        </w:tc>
        <w:tc>
          <w:tcPr>
            <w:tcW w:w="3293" w:type="dxa"/>
            <w:tcMar>
              <w:top w:w="55" w:type="dxa"/>
              <w:left w:w="120" w:type="dxa"/>
              <w:bottom w:w="55" w:type="dxa"/>
              <w:right w:w="120" w:type="dxa"/>
            </w:tcMar>
            <w:vAlign w:val="center"/>
          </w:tcPr>
          <w:p w14:paraId="488D7E65" w14:textId="77777777" w:rsidR="008722FF" w:rsidRDefault="00000000">
            <w:pPr>
              <w:spacing w:after="0"/>
              <w:rPr>
                <w:lang w:eastAsia="zh-CN"/>
              </w:rPr>
            </w:pPr>
            <w:r>
              <w:rPr>
                <w:sz w:val="18"/>
                <w:lang w:eastAsia="zh-CN"/>
              </w:rPr>
              <w:t>分离求解与模型内检查</w:t>
            </w:r>
          </w:p>
        </w:tc>
      </w:tr>
      <w:tr w:rsidR="008722FF" w14:paraId="011400AB" w14:textId="77777777">
        <w:tc>
          <w:tcPr>
            <w:tcW w:w="3293" w:type="dxa"/>
            <w:shd w:val="clear" w:color="auto" w:fill="F2F6FA"/>
            <w:tcMar>
              <w:top w:w="55" w:type="dxa"/>
              <w:left w:w="120" w:type="dxa"/>
              <w:bottom w:w="55" w:type="dxa"/>
              <w:right w:w="120" w:type="dxa"/>
            </w:tcMar>
            <w:vAlign w:val="center"/>
          </w:tcPr>
          <w:p w14:paraId="09E037F2" w14:textId="77777777" w:rsidR="008722FF" w:rsidRDefault="00000000">
            <w:pPr>
              <w:spacing w:after="0"/>
            </w:pPr>
            <w:proofErr w:type="spellStart"/>
            <w:r>
              <w:rPr>
                <w:sz w:val="18"/>
              </w:rPr>
              <w:t>机会约束</w:t>
            </w:r>
            <w:proofErr w:type="spellEnd"/>
          </w:p>
        </w:tc>
        <w:tc>
          <w:tcPr>
            <w:tcW w:w="3293" w:type="dxa"/>
            <w:shd w:val="clear" w:color="auto" w:fill="F2F6FA"/>
            <w:tcMar>
              <w:top w:w="55" w:type="dxa"/>
              <w:left w:w="120" w:type="dxa"/>
              <w:bottom w:w="55" w:type="dxa"/>
              <w:right w:w="120" w:type="dxa"/>
            </w:tcMar>
            <w:vAlign w:val="center"/>
          </w:tcPr>
          <w:p w14:paraId="79CEF2FC" w14:textId="77777777" w:rsidR="008722FF" w:rsidRDefault="00000000">
            <w:pPr>
              <w:spacing w:after="0"/>
              <w:jc w:val="center"/>
            </w:pPr>
            <w:r>
              <w:rPr>
                <w:sz w:val="18"/>
              </w:rPr>
              <w:t>epsilon 0.05</w:t>
            </w:r>
          </w:p>
        </w:tc>
        <w:tc>
          <w:tcPr>
            <w:tcW w:w="3293" w:type="dxa"/>
            <w:shd w:val="clear" w:color="auto" w:fill="F2F6FA"/>
            <w:tcMar>
              <w:top w:w="55" w:type="dxa"/>
              <w:left w:w="120" w:type="dxa"/>
              <w:bottom w:w="55" w:type="dxa"/>
              <w:right w:w="120" w:type="dxa"/>
            </w:tcMar>
            <w:vAlign w:val="center"/>
          </w:tcPr>
          <w:p w14:paraId="134CB6F8" w14:textId="77777777" w:rsidR="008722FF" w:rsidRDefault="00000000">
            <w:pPr>
              <w:spacing w:after="0"/>
            </w:pPr>
            <w:r>
              <w:rPr>
                <w:sz w:val="18"/>
              </w:rPr>
              <w:t>提高联合营养可靠性</w:t>
            </w:r>
          </w:p>
        </w:tc>
      </w:tr>
      <w:tr w:rsidR="008722FF" w14:paraId="3B932FF1" w14:textId="77777777">
        <w:tc>
          <w:tcPr>
            <w:tcW w:w="3293" w:type="dxa"/>
            <w:tcMar>
              <w:top w:w="55" w:type="dxa"/>
              <w:left w:w="120" w:type="dxa"/>
              <w:bottom w:w="55" w:type="dxa"/>
              <w:right w:w="120" w:type="dxa"/>
            </w:tcMar>
            <w:vAlign w:val="center"/>
          </w:tcPr>
          <w:p w14:paraId="776A58EA" w14:textId="77777777" w:rsidR="008722FF" w:rsidRDefault="00000000">
            <w:pPr>
              <w:spacing w:after="0"/>
            </w:pPr>
            <w:r>
              <w:rPr>
                <w:sz w:val="18"/>
              </w:rPr>
              <w:t>主指标</w:t>
            </w:r>
          </w:p>
        </w:tc>
        <w:tc>
          <w:tcPr>
            <w:tcW w:w="3293" w:type="dxa"/>
            <w:tcMar>
              <w:top w:w="55" w:type="dxa"/>
              <w:left w:w="120" w:type="dxa"/>
              <w:bottom w:w="55" w:type="dxa"/>
              <w:right w:w="120" w:type="dxa"/>
            </w:tcMar>
            <w:vAlign w:val="center"/>
          </w:tcPr>
          <w:p w14:paraId="45E1FD13" w14:textId="77777777" w:rsidR="008722FF" w:rsidRDefault="00000000">
            <w:pPr>
              <w:spacing w:after="0"/>
              <w:jc w:val="center"/>
            </w:pPr>
            <w:r>
              <w:rPr>
                <w:sz w:val="18"/>
              </w:rPr>
              <w:t>Feasibility Flip rate P95 regret</w:t>
            </w:r>
          </w:p>
        </w:tc>
        <w:tc>
          <w:tcPr>
            <w:tcW w:w="3293" w:type="dxa"/>
            <w:tcMar>
              <w:top w:w="55" w:type="dxa"/>
              <w:left w:w="120" w:type="dxa"/>
              <w:bottom w:w="55" w:type="dxa"/>
              <w:right w:w="120" w:type="dxa"/>
            </w:tcMar>
            <w:vAlign w:val="center"/>
          </w:tcPr>
          <w:p w14:paraId="09B68EDB" w14:textId="77777777" w:rsidR="008722FF" w:rsidRDefault="00000000">
            <w:pPr>
              <w:spacing w:after="0"/>
            </w:pPr>
            <w:r>
              <w:rPr>
                <w:sz w:val="18"/>
              </w:rPr>
              <w:t>直接评价决策可靠性</w:t>
            </w:r>
          </w:p>
        </w:tc>
      </w:tr>
    </w:tbl>
    <w:p w14:paraId="18A2F5DD" w14:textId="77777777" w:rsidR="008722FF" w:rsidRDefault="008722FF"/>
    <w:p w14:paraId="3EBED370" w14:textId="77777777" w:rsidR="008722FF" w:rsidRDefault="00000000">
      <w:pPr>
        <w:ind w:firstLine="360"/>
        <w:jc w:val="both"/>
        <w:rPr>
          <w:lang w:eastAsia="zh-CN"/>
        </w:rPr>
      </w:pPr>
      <w:r>
        <w:rPr>
          <w:lang w:eastAsia="zh-CN"/>
        </w:rPr>
        <w:t>DRI</w:t>
      </w:r>
      <w:r>
        <w:rPr>
          <w:lang w:eastAsia="zh-CN"/>
        </w:rPr>
        <w:t>、</w:t>
      </w:r>
      <w:r>
        <w:rPr>
          <w:lang w:eastAsia="zh-CN"/>
        </w:rPr>
        <w:t>CDG</w:t>
      </w:r>
      <w:r>
        <w:rPr>
          <w:lang w:eastAsia="zh-CN"/>
        </w:rPr>
        <w:t>、</w:t>
      </w:r>
      <w:r>
        <w:rPr>
          <w:lang w:eastAsia="zh-CN"/>
        </w:rPr>
        <w:t>EAT Lancet</w:t>
      </w:r>
      <w:r>
        <w:rPr>
          <w:lang w:eastAsia="zh-CN"/>
        </w:rPr>
        <w:t>、食品组和可接受变化约束均表示为线性界。</w:t>
      </w:r>
      <w:r>
        <w:rPr>
          <w:lang w:eastAsia="zh-CN"/>
        </w:rPr>
        <w:t xml:space="preserve">CHEI </w:t>
      </w:r>
      <w:r>
        <w:rPr>
          <w:lang w:eastAsia="zh-CN"/>
        </w:rPr>
        <w:t>和</w:t>
      </w:r>
      <w:r>
        <w:rPr>
          <w:lang w:eastAsia="zh-CN"/>
        </w:rPr>
        <w:t xml:space="preserve"> ELDI </w:t>
      </w:r>
      <w:r>
        <w:rPr>
          <w:lang w:eastAsia="zh-CN"/>
        </w:rPr>
        <w:t>仅用于求解后评价。联合营养机会约束允许不超过</w:t>
      </w:r>
      <w:r>
        <w:rPr>
          <w:lang w:eastAsia="zh-CN"/>
        </w:rPr>
        <w:t xml:space="preserve"> 5% </w:t>
      </w:r>
      <w:r>
        <w:rPr>
          <w:lang w:eastAsia="zh-CN"/>
        </w:rPr>
        <w:t>的训练场景违反营养区间，</w:t>
      </w:r>
      <w:r>
        <w:rPr>
          <w:lang w:eastAsia="zh-CN"/>
        </w:rPr>
        <w:t xml:space="preserve">Big M </w:t>
      </w:r>
      <w:r>
        <w:rPr>
          <w:lang w:eastAsia="zh-CN"/>
        </w:rPr>
        <w:t>按场景、地区、营养素和冻结的决策边界计算，完整模型为</w:t>
      </w:r>
      <w:r>
        <w:rPr>
          <w:lang w:eastAsia="zh-CN"/>
        </w:rPr>
        <w:t xml:space="preserve"> MILP</w:t>
      </w:r>
      <w:r>
        <w:rPr>
          <w:lang w:eastAsia="zh-CN"/>
        </w:rPr>
        <w:t>。</w:t>
      </w:r>
    </w:p>
    <w:p w14:paraId="39C23359" w14:textId="77777777" w:rsidR="008722FF" w:rsidRDefault="00000000">
      <w:pPr>
        <w:pStyle w:val="Heading2"/>
        <w:rPr>
          <w:lang w:eastAsia="zh-CN"/>
        </w:rPr>
      </w:pPr>
      <w:r>
        <w:rPr>
          <w:lang w:eastAsia="zh-CN"/>
        </w:rPr>
        <w:lastRenderedPageBreak/>
        <w:t xml:space="preserve">7 </w:t>
      </w:r>
      <w:r>
        <w:rPr>
          <w:lang w:eastAsia="zh-CN"/>
        </w:rPr>
        <w:t>结论进入规则</w:t>
      </w:r>
    </w:p>
    <w:p w14:paraId="6A38B7FE" w14:textId="77777777" w:rsidR="008722FF" w:rsidRDefault="00000000">
      <w:pPr>
        <w:ind w:firstLine="360"/>
        <w:jc w:val="both"/>
        <w:rPr>
          <w:lang w:eastAsia="zh-CN"/>
        </w:rPr>
      </w:pPr>
      <w:r>
        <w:rPr>
          <w:lang w:eastAsia="zh-CN"/>
        </w:rPr>
        <w:t>一个食品组方向只有同时满足以下条件才进入主结论：测试场景方向一致率至少</w:t>
      </w:r>
      <w:r>
        <w:rPr>
          <w:lang w:eastAsia="zh-CN"/>
        </w:rPr>
        <w:t xml:space="preserve"> 90%</w:t>
      </w:r>
      <w:r>
        <w:rPr>
          <w:lang w:eastAsia="zh-CN"/>
        </w:rPr>
        <w:t>；三个</w:t>
      </w:r>
      <w:r>
        <w:rPr>
          <w:lang w:eastAsia="zh-CN"/>
        </w:rPr>
        <w:t xml:space="preserve"> delta shift </w:t>
      </w:r>
      <w:r>
        <w:rPr>
          <w:lang w:eastAsia="zh-CN"/>
        </w:rPr>
        <w:t>下方向不变；边界端点网格下方向不变；测试联合营养可行率点估计至少</w:t>
      </w:r>
      <w:r>
        <w:rPr>
          <w:lang w:eastAsia="zh-CN"/>
        </w:rPr>
        <w:t xml:space="preserve"> 95%</w:t>
      </w:r>
      <w:r>
        <w:rPr>
          <w:lang w:eastAsia="zh-CN"/>
        </w:rPr>
        <w:t>，并报告</w:t>
      </w:r>
      <w:r>
        <w:rPr>
          <w:lang w:eastAsia="zh-CN"/>
        </w:rPr>
        <w:t xml:space="preserve"> Wilson 95% </w:t>
      </w:r>
      <w:r>
        <w:rPr>
          <w:lang w:eastAsia="zh-CN"/>
        </w:rPr>
        <w:t>置信区间。</w:t>
      </w:r>
    </w:p>
    <w:p w14:paraId="1CF7833C" w14:textId="77777777" w:rsidR="008722FF" w:rsidRDefault="00000000">
      <w:pPr>
        <w:pStyle w:val="Heading2"/>
        <w:rPr>
          <w:lang w:eastAsia="zh-CN"/>
        </w:rPr>
      </w:pPr>
      <w:r>
        <w:rPr>
          <w:lang w:eastAsia="zh-CN"/>
        </w:rPr>
        <w:t xml:space="preserve">8 </w:t>
      </w:r>
      <w:r>
        <w:rPr>
          <w:lang w:eastAsia="zh-CN"/>
        </w:rPr>
        <w:t>核心实验</w:t>
      </w:r>
    </w:p>
    <w:p w14:paraId="5E726737" w14:textId="77777777" w:rsidR="008722FF" w:rsidRDefault="00000000">
      <w:pPr>
        <w:ind w:firstLine="360"/>
        <w:jc w:val="both"/>
        <w:rPr>
          <w:lang w:eastAsia="zh-CN"/>
        </w:rPr>
      </w:pPr>
      <w:r>
        <w:rPr>
          <w:lang w:eastAsia="zh-CN"/>
        </w:rPr>
        <w:t>实验</w:t>
      </w:r>
      <w:r>
        <w:rPr>
          <w:lang w:eastAsia="zh-CN"/>
        </w:rPr>
        <w:t xml:space="preserve"> A </w:t>
      </w:r>
      <w:r>
        <w:rPr>
          <w:lang w:eastAsia="zh-CN"/>
        </w:rPr>
        <w:t>为数据层校准。在相对稠密子面板进行</w:t>
      </w:r>
      <w:r>
        <w:rPr>
          <w:lang w:eastAsia="zh-CN"/>
        </w:rPr>
        <w:t xml:space="preserve"> 5 </w:t>
      </w:r>
      <w:r>
        <w:rPr>
          <w:lang w:eastAsia="zh-CN"/>
        </w:rPr>
        <w:t>折结构化验证，每折对单点、连续年份块和地区与类别块各重复</w:t>
      </w:r>
      <w:r>
        <w:rPr>
          <w:lang w:eastAsia="zh-CN"/>
        </w:rPr>
        <w:t xml:space="preserve"> 20 </w:t>
      </w:r>
      <w:r>
        <w:rPr>
          <w:lang w:eastAsia="zh-CN"/>
        </w:rPr>
        <w:t>次遮蔽。比较均值、时间插值、</w:t>
      </w:r>
      <w:r>
        <w:rPr>
          <w:lang w:eastAsia="zh-CN"/>
        </w:rPr>
        <w:t xml:space="preserve">MICE </w:t>
      </w:r>
      <w:r>
        <w:rPr>
          <w:lang w:eastAsia="zh-CN"/>
        </w:rPr>
        <w:t>和层级随机游走模型；评价</w:t>
      </w:r>
      <w:r>
        <w:rPr>
          <w:lang w:eastAsia="zh-CN"/>
        </w:rPr>
        <w:t xml:space="preserve"> scaled MAE</w:t>
      </w:r>
      <w:r>
        <w:rPr>
          <w:lang w:eastAsia="zh-CN"/>
        </w:rPr>
        <w:t>、</w:t>
      </w:r>
      <w:r>
        <w:rPr>
          <w:lang w:eastAsia="zh-CN"/>
        </w:rPr>
        <w:t>log RMSE</w:t>
      </w:r>
      <w:r>
        <w:rPr>
          <w:lang w:eastAsia="zh-CN"/>
        </w:rPr>
        <w:t>、</w:t>
      </w:r>
      <w:r>
        <w:rPr>
          <w:lang w:eastAsia="zh-CN"/>
        </w:rPr>
        <w:t xml:space="preserve">80% </w:t>
      </w:r>
      <w:r>
        <w:rPr>
          <w:lang w:eastAsia="zh-CN"/>
        </w:rPr>
        <w:t>与</w:t>
      </w:r>
      <w:r>
        <w:rPr>
          <w:lang w:eastAsia="zh-CN"/>
        </w:rPr>
        <w:t xml:space="preserve"> 95% </w:t>
      </w:r>
      <w:r>
        <w:rPr>
          <w:lang w:eastAsia="zh-CN"/>
        </w:rPr>
        <w:t>覆盖率、区间宽度和校准误差。</w:t>
      </w:r>
    </w:p>
    <w:p w14:paraId="65EEA1B0" w14:textId="77777777" w:rsidR="008722FF" w:rsidRDefault="00000000">
      <w:pPr>
        <w:ind w:firstLine="360"/>
        <w:jc w:val="both"/>
        <w:rPr>
          <w:lang w:eastAsia="zh-CN"/>
        </w:rPr>
      </w:pPr>
      <w:r>
        <w:rPr>
          <w:lang w:eastAsia="zh-CN"/>
        </w:rPr>
        <w:t>实验</w:t>
      </w:r>
      <w:r>
        <w:rPr>
          <w:lang w:eastAsia="zh-CN"/>
        </w:rPr>
        <w:t xml:space="preserve"> B </w:t>
      </w:r>
      <w:r>
        <w:rPr>
          <w:lang w:eastAsia="zh-CN"/>
        </w:rPr>
        <w:t>为下游决策可靠性。在伪完整真值子面板执行相同的</w:t>
      </w:r>
      <w:r>
        <w:rPr>
          <w:lang w:eastAsia="zh-CN"/>
        </w:rPr>
        <w:t xml:space="preserve"> 5 </w:t>
      </w:r>
      <w:r>
        <w:rPr>
          <w:lang w:eastAsia="zh-CN"/>
        </w:rPr>
        <w:t>折乘</w:t>
      </w:r>
      <w:r>
        <w:rPr>
          <w:lang w:eastAsia="zh-CN"/>
        </w:rPr>
        <w:t xml:space="preserve"> 20 </w:t>
      </w:r>
      <w:r>
        <w:rPr>
          <w:lang w:eastAsia="zh-CN"/>
        </w:rPr>
        <w:t>次遮蔽，并完成遮蔽、拟合、共享求解和真值评价。比较均值填补的确定性</w:t>
      </w:r>
      <w:r>
        <w:rPr>
          <w:lang w:eastAsia="zh-CN"/>
        </w:rPr>
        <w:t xml:space="preserve"> </w:t>
      </w:r>
      <w:proofErr w:type="spellStart"/>
      <w:r>
        <w:rPr>
          <w:lang w:eastAsia="zh-CN"/>
        </w:rPr>
        <w:t>MODOpt</w:t>
      </w:r>
      <w:proofErr w:type="spellEnd"/>
      <w:r>
        <w:rPr>
          <w:lang w:eastAsia="zh-CN"/>
        </w:rPr>
        <w:t>、后验均值</w:t>
      </w:r>
      <w:r>
        <w:rPr>
          <w:lang w:eastAsia="zh-CN"/>
        </w:rPr>
        <w:t xml:space="preserve"> </w:t>
      </w:r>
      <w:proofErr w:type="spellStart"/>
      <w:r>
        <w:rPr>
          <w:lang w:eastAsia="zh-CN"/>
        </w:rPr>
        <w:t>MODOpt</w:t>
      </w:r>
      <w:proofErr w:type="spellEnd"/>
      <w:r>
        <w:rPr>
          <w:lang w:eastAsia="zh-CN"/>
        </w:rPr>
        <w:t>、无机会约束的后验场景</w:t>
      </w:r>
      <w:r>
        <w:rPr>
          <w:lang w:eastAsia="zh-CN"/>
        </w:rPr>
        <w:t xml:space="preserve"> </w:t>
      </w:r>
      <w:proofErr w:type="spellStart"/>
      <w:r>
        <w:rPr>
          <w:lang w:eastAsia="zh-CN"/>
        </w:rPr>
        <w:t>MODOpt</w:t>
      </w:r>
      <w:proofErr w:type="spellEnd"/>
      <w:r>
        <w:rPr>
          <w:lang w:eastAsia="zh-CN"/>
        </w:rPr>
        <w:t>，以及联合营养机会约束</w:t>
      </w:r>
      <w:r>
        <w:rPr>
          <w:lang w:eastAsia="zh-CN"/>
        </w:rPr>
        <w:t xml:space="preserve"> </w:t>
      </w:r>
      <w:proofErr w:type="spellStart"/>
      <w:r>
        <w:rPr>
          <w:lang w:eastAsia="zh-CN"/>
        </w:rPr>
        <w:t>MODOpt</w:t>
      </w:r>
      <w:proofErr w:type="spellEnd"/>
      <w:r>
        <w:rPr>
          <w:lang w:eastAsia="zh-CN"/>
        </w:rPr>
        <w:t>。主指标为真值下联合营养可行率、</w:t>
      </w:r>
      <w:r>
        <w:rPr>
          <w:lang w:eastAsia="zh-CN"/>
        </w:rPr>
        <w:t xml:space="preserve">95 </w:t>
      </w:r>
      <w:r>
        <w:rPr>
          <w:lang w:eastAsia="zh-CN"/>
        </w:rPr>
        <w:t>分位</w:t>
      </w:r>
      <w:r>
        <w:rPr>
          <w:lang w:eastAsia="zh-CN"/>
        </w:rPr>
        <w:t xml:space="preserve"> regret </w:t>
      </w:r>
      <w:r>
        <w:rPr>
          <w:lang w:eastAsia="zh-CN"/>
        </w:rPr>
        <w:t>和方向翻转率。</w:t>
      </w:r>
    </w:p>
    <w:p w14:paraId="160056DC" w14:textId="77777777" w:rsidR="00F54177" w:rsidRDefault="00F54177" w:rsidP="00F54177">
      <w:pPr>
        <w:rPr>
          <w:lang w:eastAsia="zh-CN"/>
        </w:rPr>
      </w:pPr>
    </w:p>
    <w:p w14:paraId="75D331D0" w14:textId="77777777" w:rsidR="00F54177" w:rsidRDefault="00F54177" w:rsidP="00F54177">
      <w:pPr>
        <w:rPr>
          <w:lang w:eastAsia="zh-CN"/>
        </w:rPr>
      </w:pPr>
    </w:p>
    <w:p w14:paraId="04BEB294" w14:textId="77777777" w:rsidR="00F54177" w:rsidRDefault="00F54177" w:rsidP="00F54177">
      <w:pPr>
        <w:rPr>
          <w:lang w:eastAsia="zh-CN"/>
        </w:rPr>
      </w:pPr>
    </w:p>
    <w:p w14:paraId="758DB838" w14:textId="77777777" w:rsidR="00F54177" w:rsidRDefault="00F54177" w:rsidP="00F54177">
      <w:pPr>
        <w:rPr>
          <w:lang w:eastAsia="zh-CN"/>
        </w:rPr>
      </w:pPr>
    </w:p>
    <w:p w14:paraId="51169879" w14:textId="77777777" w:rsidR="00F54177" w:rsidRDefault="00F54177" w:rsidP="00F54177">
      <w:pPr>
        <w:rPr>
          <w:lang w:eastAsia="zh-CN"/>
        </w:rPr>
      </w:pPr>
    </w:p>
    <w:p w14:paraId="52A36840" w14:textId="77777777" w:rsidR="00F54177" w:rsidRDefault="00F54177" w:rsidP="00F54177">
      <w:pPr>
        <w:rPr>
          <w:lang w:eastAsia="zh-CN"/>
        </w:rPr>
      </w:pPr>
    </w:p>
    <w:p w14:paraId="66D82497" w14:textId="77777777" w:rsidR="00F54177" w:rsidRDefault="00F54177" w:rsidP="00F54177">
      <w:pPr>
        <w:rPr>
          <w:lang w:eastAsia="zh-CN"/>
        </w:rPr>
      </w:pPr>
    </w:p>
    <w:p w14:paraId="6F45D115" w14:textId="77777777" w:rsidR="00F54177" w:rsidRDefault="00F54177" w:rsidP="00F54177">
      <w:pPr>
        <w:rPr>
          <w:lang w:eastAsia="zh-CN"/>
        </w:rPr>
      </w:pPr>
    </w:p>
    <w:p w14:paraId="05261343" w14:textId="77777777" w:rsidR="00F54177" w:rsidRDefault="00F54177" w:rsidP="00F54177">
      <w:pPr>
        <w:rPr>
          <w:lang w:eastAsia="zh-CN"/>
        </w:rPr>
      </w:pPr>
    </w:p>
    <w:p w14:paraId="2385F8D6" w14:textId="77777777" w:rsidR="00F54177" w:rsidRDefault="00F54177" w:rsidP="00F54177">
      <w:pPr>
        <w:rPr>
          <w:lang w:eastAsia="zh-CN"/>
        </w:rPr>
      </w:pPr>
    </w:p>
    <w:p w14:paraId="774B3791" w14:textId="77777777" w:rsidR="00F54177" w:rsidRDefault="00F54177" w:rsidP="00F54177">
      <w:pPr>
        <w:rPr>
          <w:lang w:eastAsia="zh-CN"/>
        </w:rPr>
      </w:pPr>
    </w:p>
    <w:p w14:paraId="5A5BDBB0" w14:textId="77777777" w:rsidR="00F54177" w:rsidRDefault="00F54177" w:rsidP="00F54177">
      <w:pPr>
        <w:rPr>
          <w:lang w:eastAsia="zh-CN"/>
        </w:rPr>
      </w:pPr>
    </w:p>
    <w:p w14:paraId="72AB6C17" w14:textId="77777777" w:rsidR="00F54177" w:rsidRDefault="00F54177" w:rsidP="00F54177">
      <w:pPr>
        <w:rPr>
          <w:lang w:eastAsia="zh-CN"/>
        </w:rPr>
      </w:pPr>
    </w:p>
    <w:p w14:paraId="2E63FE97" w14:textId="77777777" w:rsidR="00F54177" w:rsidRDefault="00F54177" w:rsidP="00F54177">
      <w:pPr>
        <w:rPr>
          <w:lang w:eastAsia="zh-CN"/>
        </w:rPr>
      </w:pPr>
    </w:p>
    <w:p w14:paraId="2DE2963B" w14:textId="647317C6" w:rsidR="008722FF" w:rsidRDefault="00000000">
      <w:pPr>
        <w:pStyle w:val="Heading2"/>
      </w:pPr>
      <w:r>
        <w:lastRenderedPageBreak/>
        <w:t>1 Background and Core Research Question</w:t>
      </w:r>
    </w:p>
    <w:p w14:paraId="68AA27A1" w14:textId="77777777" w:rsidR="008722FF" w:rsidRDefault="00000000">
      <w:pPr>
        <w:jc w:val="both"/>
      </w:pPr>
      <w:r>
        <w:t>Sustainable diet optimization for East China requires the joint use of household consumption, food prices, nutrient composition, and environmental footprints. However, approximately 64.5% of cells in the current price panel are unusable, consumption statistics contain only 10 broad categories, nutrient data cover 50 foods, and the earlier model produced deterministic outputs for 40 or 68 foods while relying on mean, zero, or random fallbacks in the real data path. Under this setup, it is impossible to distinguish whether a recommendation reflects regional evidence or an arbitrary data completion assumption.</w:t>
      </w:r>
    </w:p>
    <w:p w14:paraId="62BF3DAD" w14:textId="77777777" w:rsidR="008722FF" w:rsidRDefault="00000000">
      <w:pPr>
        <w:jc w:val="both"/>
      </w:pPr>
      <w:r>
        <w:t>The study retains the original East China MODOpt direction and asks a sharper question: when price, consumption, nutrient, and environmental data are incomplete or mismatched in granularity, which food group adjustment directions remain unchanged across defensible data scenarios?</w:t>
      </w:r>
    </w:p>
    <w:p w14:paraId="5DAE0F28" w14:textId="77777777" w:rsidR="008722FF" w:rsidRDefault="00000000">
      <w:pPr>
        <w:pStyle w:val="Heading2"/>
      </w:pPr>
      <w:r>
        <w:t>2 Objectives</w:t>
      </w:r>
    </w:p>
    <w:p w14:paraId="79884E4A" w14:textId="77777777" w:rsidR="008722FF" w:rsidRDefault="00000000">
      <w:pPr>
        <w:ind w:left="360" w:hanging="360"/>
      </w:pPr>
      <w:r>
        <w:t>1.  Establish a unified and traceable mapping across price, consumption, nutrient, and environmental data.</w:t>
      </w:r>
    </w:p>
    <w:p w14:paraId="7D306823" w14:textId="77777777" w:rsidR="008722FF" w:rsidRDefault="00000000">
      <w:pPr>
        <w:ind w:left="360" w:hanging="360"/>
      </w:pPr>
      <w:r>
        <w:t>2.  Freeze the decision space jointly supported by all four data domains before inspecting optimization results.</w:t>
      </w:r>
    </w:p>
    <w:p w14:paraId="4517FF46" w14:textId="77777777" w:rsidR="008722FF" w:rsidRDefault="00000000">
      <w:pPr>
        <w:ind w:left="360" w:hanging="360"/>
      </w:pPr>
      <w:r>
        <w:t>3.  Estimate missing inputs with hierarchical models while retaining probabilistic uncertainty.</w:t>
      </w:r>
    </w:p>
    <w:p w14:paraId="44A9044F" w14:textId="77777777" w:rsidR="008722FF" w:rsidRDefault="00000000">
      <w:pPr>
        <w:ind w:left="360" w:hanging="360"/>
      </w:pPr>
      <w:r>
        <w:t>4.  Propagate input uncertainty into MODOpt and solve region specific shared decisions using joint nutritional chance constraints.</w:t>
      </w:r>
    </w:p>
    <w:p w14:paraId="23172969" w14:textId="77777777" w:rsidR="008722FF" w:rsidRDefault="00000000">
      <w:pPr>
        <w:ind w:left="360" w:hanging="360"/>
      </w:pPr>
      <w:r>
        <w:t>5.  Identify dietary adjustment directions that remain stable across missingness patterns, structural shifts, and parameter boundaries.</w:t>
      </w:r>
    </w:p>
    <w:p w14:paraId="4A9C6B66" w14:textId="77777777" w:rsidR="008722FF" w:rsidRDefault="00000000">
      <w:pPr>
        <w:pStyle w:val="Heading2"/>
      </w:pPr>
      <w:r>
        <w:t>3 Main Contribution</w:t>
      </w:r>
    </w:p>
    <w:p w14:paraId="6DD1021E" w14:textId="77777777" w:rsidR="008722FF" w:rsidRDefault="00000000">
      <w:pPr>
        <w:jc w:val="both"/>
      </w:pPr>
      <w:r>
        <w:t>The main contribution is uncertainty propagating MODOpt. It combines posterior predictive scenarios with region specific joint nutritional chance constraints, changing MODOpt from a system that reports one apparently optimal menu into a system that reports auditable and stable food group recommendations. The crosswalk, hierarchical estimation, scenario generation, and data audit are enabling infrastructure rather than separate algorithmic contributions.</w:t>
      </w:r>
    </w:p>
    <w:p w14:paraId="064B1F7B" w14:textId="77777777" w:rsidR="008722FF" w:rsidRDefault="00000000">
      <w:pPr>
        <w:jc w:val="both"/>
      </w:pPr>
      <w:r>
        <w:t>The study does not claim to reconstruct 68 food items precisely from 10 or 14 statistical categories, does not use unvalidated synthetic data to inflate the sample size, and does not extrapolate local short time series directly to 2050.</w:t>
      </w:r>
    </w:p>
    <w:p w14:paraId="0B03586D" w14:textId="77777777" w:rsidR="008722FF" w:rsidRDefault="00000000">
      <w:pPr>
        <w:pStyle w:val="Heading2"/>
      </w:pPr>
      <w:r>
        <w:t>4 Jointly Supported Food Groups</w:t>
      </w:r>
    </w:p>
    <w:p w14:paraId="1A63FD8E" w14:textId="77777777" w:rsidR="008722FF" w:rsidRDefault="00000000">
      <w:pPr>
        <w:jc w:val="both"/>
      </w:pPr>
      <w:r>
        <w:t>The analysis begins with statistical categories that have directly identifiable group level consumption baselines and merges upward through a fixed food ontology and coding order. A final food group is included only when it has an identifiable baseline, sufficient final group unit price observations, complete coefficients for hard nutrient constraints, and complete coefficients for every environmental objective. The mapping dimensions, equivalence classes, rank, units, and coverage must pass audit gates.</w:t>
      </w:r>
    </w:p>
    <w:p w14:paraId="0902EDA8" w14:textId="77777777" w:rsidR="008722FF" w:rsidRDefault="00000000">
      <w:pPr>
        <w:jc w:val="both"/>
      </w:pPr>
      <w:r>
        <w:lastRenderedPageBreak/>
        <w:t>A nonnegative within group edible weight matrix W with columns summing to one is used consistently to construct both group nutrient coefficients and group environmental coefficients. This common representation prevents the consumption, nutrient, and environmental definitions from drifting apart.</w:t>
      </w:r>
    </w:p>
    <w:p w14:paraId="5063FAEE" w14:textId="77777777" w:rsidR="008722FF" w:rsidRDefault="00000000">
      <w:pPr>
        <w:pStyle w:val="Heading2"/>
      </w:pPr>
      <w:r>
        <w:t>5 Price and Missing Data Estimation</w:t>
      </w:r>
    </w:p>
    <w:p w14:paraId="269E5F71" w14:textId="77777777" w:rsidR="008722FF" w:rsidRDefault="00000000">
      <w:pPr>
        <w:jc w:val="both"/>
      </w:pPr>
      <w:r>
        <w:t>The primary analysis uses only final food group basket prices as cost parameters. Every raw price category must match the final group definition. A broad price series covering several candidate groups is merged or excluded when no common weighting scheme is justified. Price indices, year on year text, and placeholder values never enter the cost objective.</w:t>
      </w:r>
    </w:p>
    <w:p w14:paraId="24C049DE" w14:textId="77777777" w:rsidR="008722FF" w:rsidRDefault="00000000">
      <w:pPr>
        <w:jc w:val="both"/>
      </w:pPr>
      <w:r>
        <w:t>Group prices are estimated with a low dimensional additive hierarchical model. Region and food group effects are partially pooled, and time follows a first order random walk. Conditional MAR is the main missingness assumption, while block missingness is evaluated through delta shift MNAR sensitivity analysis. Only variables with probabilistic support enter posterior scenarios; pure bound based quantities are evaluated on an endpoint grid.</w:t>
      </w:r>
    </w:p>
    <w:p w14:paraId="7FDE9EFD" w14:textId="77777777" w:rsidR="008722FF" w:rsidRDefault="00000000">
      <w:pPr>
        <w:pStyle w:val="Heading2"/>
      </w:pPr>
      <w:r>
        <w:t>6 Uncertainty Propagating MODOpt</w:t>
      </w:r>
    </w:p>
    <w:p w14:paraId="1A864BD8" w14:textId="77777777" w:rsidR="008722FF" w:rsidRDefault="00000000">
      <w:pPr>
        <w:jc w:val="both"/>
      </w:pPr>
      <w:r>
        <w:t>The seven regions are solved separately and compared under the three original dietary scenarios. The model uses 200 training scenarios to obtain a shared decision, 1000 test scenarios for internal validation, and an explicit scenario count convergence analysis. All six cost and environmental objectives remain linear and are combined through a fixed reference normalized, Pareto monotone weighted sum.</w:t>
      </w:r>
    </w:p>
    <w:p w14:paraId="2D1861BB" w14:textId="77777777" w:rsidR="008722FF" w:rsidRDefault="00000000">
      <w:pPr>
        <w:pStyle w:val="Heading2"/>
      </w:pPr>
      <w:r>
        <w:t>Key Design Parameters</w:t>
      </w:r>
    </w:p>
    <w:tbl>
      <w:tblPr>
        <w:tblStyle w:val="TableGrid"/>
        <w:tblW w:w="0" w:type="auto"/>
        <w:tblLook w:val="04A0" w:firstRow="1" w:lastRow="0" w:firstColumn="1" w:lastColumn="0" w:noHBand="0" w:noVBand="1"/>
      </w:tblPr>
      <w:tblGrid>
        <w:gridCol w:w="3293"/>
        <w:gridCol w:w="3293"/>
        <w:gridCol w:w="3293"/>
      </w:tblGrid>
      <w:tr w:rsidR="008722FF" w14:paraId="4DBC34EC" w14:textId="77777777">
        <w:trPr>
          <w:tblHeader/>
        </w:trPr>
        <w:tc>
          <w:tcPr>
            <w:tcW w:w="3293" w:type="dxa"/>
            <w:shd w:val="clear" w:color="auto" w:fill="1F4E78"/>
            <w:tcMar>
              <w:top w:w="55" w:type="dxa"/>
              <w:left w:w="120" w:type="dxa"/>
              <w:bottom w:w="55" w:type="dxa"/>
              <w:right w:w="120" w:type="dxa"/>
            </w:tcMar>
            <w:vAlign w:val="center"/>
          </w:tcPr>
          <w:p w14:paraId="1B6A089F" w14:textId="77777777" w:rsidR="008722FF" w:rsidRDefault="00000000">
            <w:pPr>
              <w:spacing w:after="0"/>
              <w:jc w:val="center"/>
            </w:pPr>
            <w:r>
              <w:rPr>
                <w:b/>
                <w:color w:val="FFFFFF"/>
                <w:sz w:val="18"/>
              </w:rPr>
              <w:t>Element</w:t>
            </w:r>
          </w:p>
        </w:tc>
        <w:tc>
          <w:tcPr>
            <w:tcW w:w="3293" w:type="dxa"/>
            <w:shd w:val="clear" w:color="auto" w:fill="1F4E78"/>
            <w:tcMar>
              <w:top w:w="55" w:type="dxa"/>
              <w:left w:w="120" w:type="dxa"/>
              <w:bottom w:w="55" w:type="dxa"/>
              <w:right w:w="120" w:type="dxa"/>
            </w:tcMar>
            <w:vAlign w:val="center"/>
          </w:tcPr>
          <w:p w14:paraId="4DD96C64" w14:textId="77777777" w:rsidR="008722FF" w:rsidRDefault="00000000">
            <w:pPr>
              <w:spacing w:after="0"/>
              <w:jc w:val="center"/>
            </w:pPr>
            <w:r>
              <w:rPr>
                <w:b/>
                <w:color w:val="FFFFFF"/>
                <w:sz w:val="18"/>
              </w:rPr>
              <w:t>Preregistered setting</w:t>
            </w:r>
          </w:p>
        </w:tc>
        <w:tc>
          <w:tcPr>
            <w:tcW w:w="3293" w:type="dxa"/>
            <w:shd w:val="clear" w:color="auto" w:fill="1F4E78"/>
            <w:tcMar>
              <w:top w:w="55" w:type="dxa"/>
              <w:left w:w="120" w:type="dxa"/>
              <w:bottom w:w="55" w:type="dxa"/>
              <w:right w:w="120" w:type="dxa"/>
            </w:tcMar>
            <w:vAlign w:val="center"/>
          </w:tcPr>
          <w:p w14:paraId="29200DC0" w14:textId="77777777" w:rsidR="008722FF" w:rsidRDefault="00000000">
            <w:pPr>
              <w:spacing w:after="0"/>
              <w:jc w:val="center"/>
            </w:pPr>
            <w:r>
              <w:rPr>
                <w:b/>
                <w:color w:val="FFFFFF"/>
                <w:sz w:val="18"/>
              </w:rPr>
              <w:t>Purpose</w:t>
            </w:r>
          </w:p>
        </w:tc>
      </w:tr>
      <w:tr w:rsidR="008722FF" w14:paraId="120CEF56" w14:textId="77777777">
        <w:tc>
          <w:tcPr>
            <w:tcW w:w="3293" w:type="dxa"/>
            <w:tcMar>
              <w:top w:w="55" w:type="dxa"/>
              <w:left w:w="120" w:type="dxa"/>
              <w:bottom w:w="55" w:type="dxa"/>
              <w:right w:w="120" w:type="dxa"/>
            </w:tcMar>
            <w:vAlign w:val="center"/>
          </w:tcPr>
          <w:p w14:paraId="48472816" w14:textId="77777777" w:rsidR="008722FF" w:rsidRDefault="00000000">
            <w:pPr>
              <w:spacing w:after="0"/>
            </w:pPr>
            <w:r>
              <w:rPr>
                <w:sz w:val="18"/>
              </w:rPr>
              <w:t>Validation</w:t>
            </w:r>
          </w:p>
        </w:tc>
        <w:tc>
          <w:tcPr>
            <w:tcW w:w="3293" w:type="dxa"/>
            <w:tcMar>
              <w:top w:w="55" w:type="dxa"/>
              <w:left w:w="120" w:type="dxa"/>
              <w:bottom w:w="55" w:type="dxa"/>
              <w:right w:w="120" w:type="dxa"/>
            </w:tcMar>
            <w:vAlign w:val="center"/>
          </w:tcPr>
          <w:p w14:paraId="6CD9B279" w14:textId="77777777" w:rsidR="008722FF" w:rsidRDefault="00000000">
            <w:pPr>
              <w:spacing w:after="0"/>
              <w:jc w:val="center"/>
            </w:pPr>
            <w:r>
              <w:rPr>
                <w:sz w:val="18"/>
              </w:rPr>
              <w:t>5 folds × 20 repeats × 3 mask types</w:t>
            </w:r>
          </w:p>
        </w:tc>
        <w:tc>
          <w:tcPr>
            <w:tcW w:w="3293" w:type="dxa"/>
            <w:tcMar>
              <w:top w:w="55" w:type="dxa"/>
              <w:left w:w="120" w:type="dxa"/>
              <w:bottom w:w="55" w:type="dxa"/>
              <w:right w:w="120" w:type="dxa"/>
            </w:tcMar>
            <w:vAlign w:val="center"/>
          </w:tcPr>
          <w:p w14:paraId="76A0CE08" w14:textId="77777777" w:rsidR="008722FF" w:rsidRDefault="00000000">
            <w:pPr>
              <w:spacing w:after="0"/>
            </w:pPr>
            <w:r>
              <w:rPr>
                <w:sz w:val="18"/>
              </w:rPr>
              <w:t>Represent real missingness geometry</w:t>
            </w:r>
          </w:p>
        </w:tc>
      </w:tr>
      <w:tr w:rsidR="008722FF" w14:paraId="084DEBD4" w14:textId="77777777">
        <w:tc>
          <w:tcPr>
            <w:tcW w:w="3293" w:type="dxa"/>
            <w:shd w:val="clear" w:color="auto" w:fill="F2F6FA"/>
            <w:tcMar>
              <w:top w:w="55" w:type="dxa"/>
              <w:left w:w="120" w:type="dxa"/>
              <w:bottom w:w="55" w:type="dxa"/>
              <w:right w:w="120" w:type="dxa"/>
            </w:tcMar>
            <w:vAlign w:val="center"/>
          </w:tcPr>
          <w:p w14:paraId="15467569" w14:textId="77777777" w:rsidR="008722FF" w:rsidRDefault="00000000">
            <w:pPr>
              <w:spacing w:after="0"/>
            </w:pPr>
            <w:r>
              <w:rPr>
                <w:sz w:val="18"/>
              </w:rPr>
              <w:t>Estimators</w:t>
            </w:r>
          </w:p>
        </w:tc>
        <w:tc>
          <w:tcPr>
            <w:tcW w:w="3293" w:type="dxa"/>
            <w:shd w:val="clear" w:color="auto" w:fill="F2F6FA"/>
            <w:tcMar>
              <w:top w:w="55" w:type="dxa"/>
              <w:left w:w="120" w:type="dxa"/>
              <w:bottom w:w="55" w:type="dxa"/>
              <w:right w:w="120" w:type="dxa"/>
            </w:tcMar>
            <w:vAlign w:val="center"/>
          </w:tcPr>
          <w:p w14:paraId="4B12F557" w14:textId="77777777" w:rsidR="008722FF" w:rsidRDefault="00000000">
            <w:pPr>
              <w:spacing w:after="0"/>
              <w:jc w:val="center"/>
            </w:pPr>
            <w:r>
              <w:rPr>
                <w:sz w:val="18"/>
              </w:rPr>
              <w:t>Mean Interpolation MICE Hierarchical RW</w:t>
            </w:r>
          </w:p>
        </w:tc>
        <w:tc>
          <w:tcPr>
            <w:tcW w:w="3293" w:type="dxa"/>
            <w:shd w:val="clear" w:color="auto" w:fill="F2F6FA"/>
            <w:tcMar>
              <w:top w:w="55" w:type="dxa"/>
              <w:left w:w="120" w:type="dxa"/>
              <w:bottom w:w="55" w:type="dxa"/>
              <w:right w:w="120" w:type="dxa"/>
            </w:tcMar>
            <w:vAlign w:val="center"/>
          </w:tcPr>
          <w:p w14:paraId="315AED4A" w14:textId="77777777" w:rsidR="008722FF" w:rsidRDefault="00000000">
            <w:pPr>
              <w:spacing w:after="0"/>
            </w:pPr>
            <w:r>
              <w:rPr>
                <w:sz w:val="18"/>
              </w:rPr>
              <w:t>Calibrate point and interval estimates</w:t>
            </w:r>
          </w:p>
        </w:tc>
      </w:tr>
      <w:tr w:rsidR="008722FF" w14:paraId="64E40194" w14:textId="77777777">
        <w:tc>
          <w:tcPr>
            <w:tcW w:w="3293" w:type="dxa"/>
            <w:tcMar>
              <w:top w:w="55" w:type="dxa"/>
              <w:left w:w="120" w:type="dxa"/>
              <w:bottom w:w="55" w:type="dxa"/>
              <w:right w:w="120" w:type="dxa"/>
            </w:tcMar>
            <w:vAlign w:val="center"/>
          </w:tcPr>
          <w:p w14:paraId="305CE37B" w14:textId="77777777" w:rsidR="008722FF" w:rsidRDefault="00000000">
            <w:pPr>
              <w:spacing w:after="0"/>
            </w:pPr>
            <w:r>
              <w:rPr>
                <w:sz w:val="18"/>
              </w:rPr>
              <w:t>Scenarios</w:t>
            </w:r>
          </w:p>
        </w:tc>
        <w:tc>
          <w:tcPr>
            <w:tcW w:w="3293" w:type="dxa"/>
            <w:tcMar>
              <w:top w:w="55" w:type="dxa"/>
              <w:left w:w="120" w:type="dxa"/>
              <w:bottom w:w="55" w:type="dxa"/>
              <w:right w:w="120" w:type="dxa"/>
            </w:tcMar>
            <w:vAlign w:val="center"/>
          </w:tcPr>
          <w:p w14:paraId="768FB9C0" w14:textId="77777777" w:rsidR="008722FF" w:rsidRDefault="00000000">
            <w:pPr>
              <w:spacing w:after="0"/>
              <w:jc w:val="center"/>
            </w:pPr>
            <w:r>
              <w:rPr>
                <w:sz w:val="18"/>
              </w:rPr>
              <w:t>200 train 1000 test</w:t>
            </w:r>
          </w:p>
        </w:tc>
        <w:tc>
          <w:tcPr>
            <w:tcW w:w="3293" w:type="dxa"/>
            <w:tcMar>
              <w:top w:w="55" w:type="dxa"/>
              <w:left w:w="120" w:type="dxa"/>
              <w:bottom w:w="55" w:type="dxa"/>
              <w:right w:w="120" w:type="dxa"/>
            </w:tcMar>
            <w:vAlign w:val="center"/>
          </w:tcPr>
          <w:p w14:paraId="02D5F350" w14:textId="77777777" w:rsidR="008722FF" w:rsidRDefault="00000000">
            <w:pPr>
              <w:spacing w:after="0"/>
            </w:pPr>
            <w:r>
              <w:rPr>
                <w:sz w:val="18"/>
              </w:rPr>
              <w:t>Separate optimization and internal checks</w:t>
            </w:r>
          </w:p>
        </w:tc>
      </w:tr>
      <w:tr w:rsidR="008722FF" w14:paraId="13EBA452" w14:textId="77777777">
        <w:tc>
          <w:tcPr>
            <w:tcW w:w="3293" w:type="dxa"/>
            <w:shd w:val="clear" w:color="auto" w:fill="F2F6FA"/>
            <w:tcMar>
              <w:top w:w="55" w:type="dxa"/>
              <w:left w:w="120" w:type="dxa"/>
              <w:bottom w:w="55" w:type="dxa"/>
              <w:right w:w="120" w:type="dxa"/>
            </w:tcMar>
            <w:vAlign w:val="center"/>
          </w:tcPr>
          <w:p w14:paraId="1A1D697B" w14:textId="77777777" w:rsidR="008722FF" w:rsidRDefault="00000000">
            <w:pPr>
              <w:spacing w:after="0"/>
            </w:pPr>
            <w:r>
              <w:rPr>
                <w:sz w:val="18"/>
              </w:rPr>
              <w:t>Chance constraint</w:t>
            </w:r>
          </w:p>
        </w:tc>
        <w:tc>
          <w:tcPr>
            <w:tcW w:w="3293" w:type="dxa"/>
            <w:shd w:val="clear" w:color="auto" w:fill="F2F6FA"/>
            <w:tcMar>
              <w:top w:w="55" w:type="dxa"/>
              <w:left w:w="120" w:type="dxa"/>
              <w:bottom w:w="55" w:type="dxa"/>
              <w:right w:w="120" w:type="dxa"/>
            </w:tcMar>
            <w:vAlign w:val="center"/>
          </w:tcPr>
          <w:p w14:paraId="75644E93" w14:textId="77777777" w:rsidR="008722FF" w:rsidRDefault="00000000">
            <w:pPr>
              <w:spacing w:after="0"/>
              <w:jc w:val="center"/>
            </w:pPr>
            <w:r>
              <w:rPr>
                <w:sz w:val="18"/>
              </w:rPr>
              <w:t>epsilon 0.05</w:t>
            </w:r>
          </w:p>
        </w:tc>
        <w:tc>
          <w:tcPr>
            <w:tcW w:w="3293" w:type="dxa"/>
            <w:shd w:val="clear" w:color="auto" w:fill="F2F6FA"/>
            <w:tcMar>
              <w:top w:w="55" w:type="dxa"/>
              <w:left w:w="120" w:type="dxa"/>
              <w:bottom w:w="55" w:type="dxa"/>
              <w:right w:w="120" w:type="dxa"/>
            </w:tcMar>
            <w:vAlign w:val="center"/>
          </w:tcPr>
          <w:p w14:paraId="242754C4" w14:textId="77777777" w:rsidR="008722FF" w:rsidRDefault="00000000">
            <w:pPr>
              <w:spacing w:after="0"/>
            </w:pPr>
            <w:r>
              <w:rPr>
                <w:sz w:val="18"/>
              </w:rPr>
              <w:t>Improve joint nutritional reliability</w:t>
            </w:r>
          </w:p>
        </w:tc>
      </w:tr>
      <w:tr w:rsidR="008722FF" w14:paraId="606371E8" w14:textId="77777777">
        <w:tc>
          <w:tcPr>
            <w:tcW w:w="3293" w:type="dxa"/>
            <w:tcMar>
              <w:top w:w="55" w:type="dxa"/>
              <w:left w:w="120" w:type="dxa"/>
              <w:bottom w:w="55" w:type="dxa"/>
              <w:right w:w="120" w:type="dxa"/>
            </w:tcMar>
            <w:vAlign w:val="center"/>
          </w:tcPr>
          <w:p w14:paraId="520B8B58" w14:textId="77777777" w:rsidR="008722FF" w:rsidRDefault="00000000">
            <w:pPr>
              <w:spacing w:after="0"/>
            </w:pPr>
            <w:r>
              <w:rPr>
                <w:sz w:val="18"/>
              </w:rPr>
              <w:t>Primary metrics</w:t>
            </w:r>
          </w:p>
        </w:tc>
        <w:tc>
          <w:tcPr>
            <w:tcW w:w="3293" w:type="dxa"/>
            <w:tcMar>
              <w:top w:w="55" w:type="dxa"/>
              <w:left w:w="120" w:type="dxa"/>
              <w:bottom w:w="55" w:type="dxa"/>
              <w:right w:w="120" w:type="dxa"/>
            </w:tcMar>
            <w:vAlign w:val="center"/>
          </w:tcPr>
          <w:p w14:paraId="1FED9998" w14:textId="77777777" w:rsidR="008722FF" w:rsidRDefault="00000000">
            <w:pPr>
              <w:spacing w:after="0"/>
              <w:jc w:val="center"/>
            </w:pPr>
            <w:r>
              <w:rPr>
                <w:sz w:val="18"/>
              </w:rPr>
              <w:t>Feasibility Flip rate P95 regret</w:t>
            </w:r>
          </w:p>
        </w:tc>
        <w:tc>
          <w:tcPr>
            <w:tcW w:w="3293" w:type="dxa"/>
            <w:tcMar>
              <w:top w:w="55" w:type="dxa"/>
              <w:left w:w="120" w:type="dxa"/>
              <w:bottom w:w="55" w:type="dxa"/>
              <w:right w:w="120" w:type="dxa"/>
            </w:tcMar>
            <w:vAlign w:val="center"/>
          </w:tcPr>
          <w:p w14:paraId="792A21E6" w14:textId="77777777" w:rsidR="008722FF" w:rsidRDefault="00000000">
            <w:pPr>
              <w:spacing w:after="0"/>
            </w:pPr>
            <w:r>
              <w:rPr>
                <w:sz w:val="18"/>
              </w:rPr>
              <w:t>Evaluate decision reliability directly</w:t>
            </w:r>
          </w:p>
        </w:tc>
      </w:tr>
    </w:tbl>
    <w:p w14:paraId="6215CD23" w14:textId="77777777" w:rsidR="008722FF" w:rsidRDefault="008722FF"/>
    <w:p w14:paraId="796B9B37" w14:textId="77777777" w:rsidR="008722FF" w:rsidRDefault="00000000">
      <w:pPr>
        <w:jc w:val="both"/>
      </w:pPr>
      <w:r>
        <w:t>DRI, CDG, EAT Lancet, food group, and acceptable change requirements are represented as linear bounds. CHEI and ELDI are evaluated only after optimization. The joint nutritional chance constraint permits no more than 5% of training scenarios to violate the nutritional intervals. Big M values are computed by scenario, region, nutrient, and frozen decision bounds. The resulting model is a mixed integer linear program.</w:t>
      </w:r>
    </w:p>
    <w:p w14:paraId="302E9593" w14:textId="77777777" w:rsidR="008722FF" w:rsidRDefault="00000000">
      <w:pPr>
        <w:pStyle w:val="Heading2"/>
      </w:pPr>
      <w:r>
        <w:lastRenderedPageBreak/>
        <w:t>7 Conclusion Gate</w:t>
      </w:r>
    </w:p>
    <w:p w14:paraId="062D0757" w14:textId="77777777" w:rsidR="008722FF" w:rsidRDefault="00000000">
      <w:pPr>
        <w:jc w:val="both"/>
      </w:pPr>
      <w:r>
        <w:t>A food group direction enters the main conclusion only when all of the following hold: test scenario direction agreement is at least 90%; the direction is unchanged across all three delta shifts; the direction is unchanged across the boundary endpoint grid; and the point estimate of test joint nutritional feasibility is at least 95%, with a Wilson 95% confidence interval reported.</w:t>
      </w:r>
    </w:p>
    <w:p w14:paraId="087F4D68" w14:textId="77777777" w:rsidR="008722FF" w:rsidRDefault="00000000">
      <w:pPr>
        <w:pStyle w:val="Heading2"/>
      </w:pPr>
      <w:r>
        <w:t>8 Core Experiments</w:t>
      </w:r>
    </w:p>
    <w:p w14:paraId="16C9361F" w14:textId="77777777" w:rsidR="008722FF" w:rsidRDefault="00000000">
      <w:pPr>
        <w:jc w:val="both"/>
      </w:pPr>
      <w:r>
        <w:t>Experiment A calibrates the data layer. Five fold structured validation is applied to relatively dense subpanels. Within every fold, single cells, consecutive year blocks, and region by category blocks are masked in 20 repeats. Group mean, within series interpolation, MICE, and the hierarchical random walk model are compared using scaled MAE, log RMSE, 80% and 95% interval coverage, interval width, and calibration error.</w:t>
      </w:r>
    </w:p>
    <w:p w14:paraId="75C5CAE9" w14:textId="0CE84F4A" w:rsidR="008722FF" w:rsidRDefault="00000000">
      <w:pPr>
        <w:jc w:val="both"/>
      </w:pPr>
      <w:r>
        <w:t>Experiment B evaluates downstream decision reliability. The same 5 fold by 20 repeat protocol is applied to pseudo complete truth subpanels, followed by masking, fitting, shared optimization, and evaluation against pre mask truth. The comparison includes mean filled deterministic MODOpt, posterior mean MODOpt, posterior scenario MODOpt without chance constraints, and joint nutritional chance constrained MODOpt. Primary metrics are true joint nutritional feasibility, 95th percentile regret, and direction flip rate.</w:t>
      </w:r>
    </w:p>
    <w:sectPr w:rsidR="008722FF" w:rsidSect="00034616">
      <w:footerReference w:type="default" r:id="rId8"/>
      <w:pgSz w:w="12240" w:h="15840"/>
      <w:pgMar w:top="1080"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D405" w14:textId="77777777" w:rsidR="005F33F9" w:rsidRDefault="005F33F9">
      <w:pPr>
        <w:spacing w:after="0" w:line="240" w:lineRule="auto"/>
      </w:pPr>
      <w:r>
        <w:separator/>
      </w:r>
    </w:p>
  </w:endnote>
  <w:endnote w:type="continuationSeparator" w:id="0">
    <w:p w14:paraId="3C184D14" w14:textId="77777777" w:rsidR="005F33F9" w:rsidRDefault="005F3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EAAE" w14:textId="77777777" w:rsidR="008722FF" w:rsidRDefault="00000000">
    <w:pPr>
      <w:pStyle w:val="Footer"/>
      <w:jc w:val="center"/>
    </w:pPr>
    <w:r>
      <w:rPr>
        <w:color w:val="666666"/>
        <w:sz w:val="18"/>
      </w:rPr>
      <w:fldChar w:fldCharType="begin"/>
    </w:r>
    <w:r>
      <w:rPr>
        <w:color w:val="666666"/>
        <w:sz w:val="18"/>
      </w:rPr>
      <w:instrText xml:space="preserve"> PAGE </w:instrText>
    </w:r>
    <w:r w:rsidR="00F54177">
      <w:rPr>
        <w:color w:val="666666"/>
        <w:sz w:val="18"/>
      </w:rPr>
      <w:fldChar w:fldCharType="separate"/>
    </w:r>
    <w:r w:rsidR="00F54177">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CA35" w14:textId="77777777" w:rsidR="005F33F9" w:rsidRDefault="005F33F9">
      <w:pPr>
        <w:spacing w:after="0" w:line="240" w:lineRule="auto"/>
      </w:pPr>
      <w:r>
        <w:separator/>
      </w:r>
    </w:p>
  </w:footnote>
  <w:footnote w:type="continuationSeparator" w:id="0">
    <w:p w14:paraId="4D89B099" w14:textId="77777777" w:rsidR="005F33F9" w:rsidRDefault="005F33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713939">
    <w:abstractNumId w:val="8"/>
  </w:num>
  <w:num w:numId="2" w16cid:durableId="398674034">
    <w:abstractNumId w:val="6"/>
  </w:num>
  <w:num w:numId="3" w16cid:durableId="1259942918">
    <w:abstractNumId w:val="5"/>
  </w:num>
  <w:num w:numId="4" w16cid:durableId="1828979711">
    <w:abstractNumId w:val="4"/>
  </w:num>
  <w:num w:numId="5" w16cid:durableId="2040740476">
    <w:abstractNumId w:val="7"/>
  </w:num>
  <w:num w:numId="6" w16cid:durableId="1726953120">
    <w:abstractNumId w:val="3"/>
  </w:num>
  <w:num w:numId="7" w16cid:durableId="1415544041">
    <w:abstractNumId w:val="2"/>
  </w:num>
  <w:num w:numId="8" w16cid:durableId="1178737760">
    <w:abstractNumId w:val="1"/>
  </w:num>
  <w:num w:numId="9" w16cid:durableId="18194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0D2"/>
    <w:rsid w:val="00326F90"/>
    <w:rsid w:val="005F33F9"/>
    <w:rsid w:val="008722FF"/>
    <w:rsid w:val="00AA1D8D"/>
    <w:rsid w:val="00B47730"/>
    <w:rsid w:val="00CB0664"/>
    <w:rsid w:val="00F54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81C85"/>
  <w14:defaultImageDpi w14:val="300"/>
  <w15:docId w15:val="{0E7EE20C-81AB-4349-9B4E-D392F2794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rial" w:eastAsia="Microsoft YaHei" w:hAnsi="Arial"/>
      <w:color w:val="000000"/>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Recommendations Do Not Flip</dc:title>
  <dc:subject>Bilingual research proposal for East China uncertainty aware MODOpt</dc:subject>
  <dc:creator>East China Uncertainty Aware MODOpt Research Team</dc:creator>
  <cp:keywords>MODOpt, sustainable diet, missing data, chance constraints, East China</cp:keywords>
  <dc:description>generated by python-docx</dc:description>
  <cp:lastModifiedBy>Echo Zhou</cp:lastModifiedBy>
  <cp:revision>2</cp:revision>
  <dcterms:created xsi:type="dcterms:W3CDTF">2013-12-23T23:15:00Z</dcterms:created>
  <dcterms:modified xsi:type="dcterms:W3CDTF">2026-10-15T08:31:00Z</dcterms:modified>
  <cp:category/>
</cp:coreProperties>
</file>