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314D" w14:textId="77777777" w:rsidR="00463324" w:rsidRPr="00463324" w:rsidRDefault="00463324" w:rsidP="00463324">
      <w:pPr>
        <w:spacing w:line="240" w:lineRule="auto"/>
        <w:ind w:left="708" w:hanging="708"/>
        <w:rPr>
          <w:rFonts w:ascii="Sparkasse Rg" w:eastAsia="Calibri" w:hAnsi="Sparkasse Rg" w:cs="Arial"/>
        </w:rPr>
      </w:pPr>
      <w:r w:rsidRPr="00463324">
        <w:rPr>
          <w:rFonts w:ascii="Sparkasse Rg" w:eastAsia="Calibri" w:hAnsi="Sparkasse Rg" w:cs="Arial"/>
        </w:rPr>
        <w:t>Pädagogische Hochschule Heidelberg</w:t>
      </w:r>
    </w:p>
    <w:p w14:paraId="38223FF3" w14:textId="77777777" w:rsidR="00463324" w:rsidRPr="00463324" w:rsidRDefault="00463324" w:rsidP="00463324">
      <w:pPr>
        <w:spacing w:line="240" w:lineRule="auto"/>
        <w:rPr>
          <w:rFonts w:ascii="Sparkasse Rg" w:eastAsia="Calibri" w:hAnsi="Sparkasse Rg" w:cs="Arial"/>
        </w:rPr>
      </w:pPr>
      <w:r w:rsidRPr="00463324">
        <w:rPr>
          <w:rFonts w:ascii="Sparkasse Rg" w:eastAsia="Calibri" w:hAnsi="Sparkasse Rg" w:cs="Arial"/>
        </w:rPr>
        <w:t>E-Learning und Medienbildung MA</w:t>
      </w:r>
    </w:p>
    <w:p w14:paraId="14FC1330" w14:textId="77777777" w:rsidR="00463324" w:rsidRPr="00463324" w:rsidRDefault="00463324" w:rsidP="00463324">
      <w:pPr>
        <w:spacing w:line="240" w:lineRule="auto"/>
        <w:rPr>
          <w:rFonts w:ascii="Sparkasse Rg" w:eastAsia="Calibri" w:hAnsi="Sparkasse Rg" w:cs="Arial"/>
        </w:rPr>
      </w:pPr>
      <w:r w:rsidRPr="00463324">
        <w:rPr>
          <w:rFonts w:ascii="Sparkasse Rg" w:eastAsia="Calibri" w:hAnsi="Sparkasse Rg" w:cs="Arial"/>
          <w:b/>
          <w:bCs/>
        </w:rPr>
        <w:t>Modul 11:</w:t>
      </w:r>
      <w:r w:rsidRPr="00463324">
        <w:rPr>
          <w:rFonts w:ascii="Sparkasse Rg" w:eastAsia="Calibri" w:hAnsi="Sparkasse Rg" w:cs="Arial"/>
        </w:rPr>
        <w:t xml:space="preserve"> Masterthesis</w:t>
      </w:r>
    </w:p>
    <w:p w14:paraId="2578DDF9" w14:textId="77777777" w:rsidR="00463324" w:rsidRPr="00463324" w:rsidRDefault="00463324" w:rsidP="00463324">
      <w:pPr>
        <w:spacing w:line="240" w:lineRule="auto"/>
        <w:jc w:val="center"/>
        <w:rPr>
          <w:rFonts w:ascii="Sparkasse Rg" w:eastAsia="Calibri" w:hAnsi="Sparkasse Rg" w:cs="Arial"/>
          <w:sz w:val="40"/>
          <w:szCs w:val="40"/>
        </w:rPr>
      </w:pPr>
    </w:p>
    <w:p w14:paraId="28E86284" w14:textId="77777777" w:rsidR="00463324" w:rsidRPr="00463324" w:rsidRDefault="00463324" w:rsidP="00463324">
      <w:pPr>
        <w:spacing w:line="240" w:lineRule="auto"/>
        <w:jc w:val="center"/>
        <w:rPr>
          <w:rFonts w:ascii="Sparkasse Rg" w:eastAsia="Calibri" w:hAnsi="Sparkasse Rg" w:cs="Arial"/>
          <w:sz w:val="40"/>
          <w:szCs w:val="40"/>
        </w:rPr>
      </w:pPr>
    </w:p>
    <w:p w14:paraId="7618193F" w14:textId="77777777" w:rsidR="00463324" w:rsidRPr="00463324" w:rsidRDefault="00463324" w:rsidP="00463324">
      <w:pPr>
        <w:spacing w:line="240" w:lineRule="auto"/>
        <w:jc w:val="center"/>
        <w:rPr>
          <w:rFonts w:ascii="Sparkasse Rg" w:eastAsia="Calibri" w:hAnsi="Sparkasse Rg" w:cs="Arial"/>
          <w:sz w:val="40"/>
          <w:szCs w:val="40"/>
        </w:rPr>
      </w:pPr>
    </w:p>
    <w:p w14:paraId="158D880A" w14:textId="77777777" w:rsidR="00463324" w:rsidRPr="00463324" w:rsidRDefault="00463324" w:rsidP="00463324">
      <w:pPr>
        <w:spacing w:line="240" w:lineRule="auto"/>
        <w:jc w:val="center"/>
        <w:rPr>
          <w:rFonts w:ascii="Sparkasse Rg" w:eastAsia="Calibri" w:hAnsi="Sparkasse Rg" w:cs="Arial"/>
          <w:sz w:val="40"/>
          <w:szCs w:val="40"/>
        </w:rPr>
      </w:pPr>
    </w:p>
    <w:p w14:paraId="71A8AEBD" w14:textId="77777777" w:rsidR="00463324" w:rsidRPr="00463324" w:rsidRDefault="00463324" w:rsidP="00463324">
      <w:pPr>
        <w:spacing w:line="240" w:lineRule="auto"/>
        <w:jc w:val="center"/>
        <w:rPr>
          <w:rFonts w:ascii="Sparkasse Rg" w:eastAsia="Calibri" w:hAnsi="Sparkasse Rg" w:cs="Arial"/>
          <w:sz w:val="40"/>
          <w:szCs w:val="40"/>
        </w:rPr>
      </w:pPr>
    </w:p>
    <w:p w14:paraId="6F4470F5" w14:textId="77777777" w:rsidR="00463324" w:rsidRPr="00463324" w:rsidRDefault="00463324" w:rsidP="00463324">
      <w:pPr>
        <w:spacing w:line="240" w:lineRule="auto"/>
        <w:jc w:val="center"/>
        <w:rPr>
          <w:rFonts w:ascii="Sparkasse Rg" w:eastAsia="Calibri" w:hAnsi="Sparkasse Rg" w:cs="Arial"/>
          <w:sz w:val="40"/>
          <w:szCs w:val="40"/>
        </w:rPr>
      </w:pPr>
    </w:p>
    <w:p w14:paraId="2FAE6137" w14:textId="77777777" w:rsidR="00463324" w:rsidRPr="00463324" w:rsidRDefault="00463324" w:rsidP="00463324">
      <w:pPr>
        <w:spacing w:line="240" w:lineRule="auto"/>
        <w:jc w:val="center"/>
        <w:rPr>
          <w:rFonts w:ascii="Sparkasse Rg" w:eastAsia="Calibri" w:hAnsi="Sparkasse Rg" w:cs="Arial"/>
          <w:sz w:val="40"/>
          <w:szCs w:val="40"/>
        </w:rPr>
      </w:pPr>
    </w:p>
    <w:p w14:paraId="4FD43859" w14:textId="77777777" w:rsidR="00463324" w:rsidRPr="00463324" w:rsidRDefault="00463324" w:rsidP="00463324">
      <w:pPr>
        <w:spacing w:after="0" w:line="276" w:lineRule="auto"/>
        <w:jc w:val="center"/>
        <w:rPr>
          <w:rFonts w:ascii="Sparkasse Rg" w:eastAsia="Calibri" w:hAnsi="Sparkasse Rg" w:cs="Arial"/>
          <w:b/>
          <w:sz w:val="40"/>
          <w:szCs w:val="40"/>
        </w:rPr>
      </w:pPr>
      <w:proofErr w:type="gramStart"/>
      <w:r w:rsidRPr="00463324">
        <w:rPr>
          <w:rFonts w:ascii="Sparkasse Rg" w:eastAsia="Calibri" w:hAnsi="Sparkasse Rg" w:cs="Arial"/>
          <w:b/>
          <w:sz w:val="40"/>
          <w:szCs w:val="40"/>
        </w:rPr>
        <w:t>Exposé</w:t>
      </w:r>
      <w:proofErr w:type="gramEnd"/>
      <w:r w:rsidRPr="00463324">
        <w:rPr>
          <w:rFonts w:ascii="Sparkasse Rg" w:eastAsia="Calibri" w:hAnsi="Sparkasse Rg" w:cs="Arial"/>
          <w:b/>
          <w:sz w:val="40"/>
          <w:szCs w:val="40"/>
        </w:rPr>
        <w:t xml:space="preserve"> für eine Masterthesis zum Thema</w:t>
      </w:r>
    </w:p>
    <w:p w14:paraId="1B827F1B" w14:textId="77777777" w:rsidR="00463324" w:rsidRPr="00463324" w:rsidRDefault="00463324" w:rsidP="00463324">
      <w:pPr>
        <w:spacing w:line="240" w:lineRule="auto"/>
        <w:ind w:left="708" w:hanging="708"/>
        <w:jc w:val="center"/>
        <w:rPr>
          <w:rFonts w:ascii="Sparkasse Rg" w:eastAsia="Calibri" w:hAnsi="Sparkasse Rg" w:cs="Arial"/>
          <w:sz w:val="40"/>
          <w:szCs w:val="40"/>
        </w:rPr>
      </w:pPr>
      <w:r w:rsidRPr="00463324">
        <w:rPr>
          <w:rFonts w:ascii="Sparkasse Rg" w:eastAsia="Calibri" w:hAnsi="Sparkasse Rg" w:cs="Arial"/>
          <w:sz w:val="40"/>
          <w:szCs w:val="40"/>
        </w:rPr>
        <w:t xml:space="preserve">„Selbstreguliertes Lernen in der digitalen </w:t>
      </w:r>
      <w:r w:rsidRPr="00463324">
        <w:rPr>
          <w:rFonts w:ascii="Sparkasse Rg" w:eastAsia="Calibri" w:hAnsi="Sparkasse Rg" w:cs="Arial"/>
          <w:sz w:val="40"/>
          <w:szCs w:val="40"/>
        </w:rPr>
        <w:br/>
        <w:t>Berufsbildung im Bankenbereich“</w:t>
      </w:r>
    </w:p>
    <w:p w14:paraId="7853014D" w14:textId="77777777" w:rsidR="00463324" w:rsidRPr="00463324" w:rsidRDefault="00463324" w:rsidP="00463324">
      <w:pPr>
        <w:spacing w:line="240" w:lineRule="auto"/>
        <w:jc w:val="center"/>
        <w:rPr>
          <w:rFonts w:ascii="Sparkasse Rg" w:eastAsia="Calibri" w:hAnsi="Sparkasse Rg" w:cs="Arial"/>
          <w:sz w:val="40"/>
          <w:szCs w:val="40"/>
        </w:rPr>
      </w:pPr>
    </w:p>
    <w:p w14:paraId="2365E6A7" w14:textId="77777777" w:rsidR="00463324" w:rsidRPr="00463324" w:rsidRDefault="00463324" w:rsidP="00463324">
      <w:pPr>
        <w:spacing w:line="240" w:lineRule="auto"/>
        <w:jc w:val="center"/>
        <w:rPr>
          <w:rFonts w:ascii="Sparkasse Rg" w:eastAsia="Calibri" w:hAnsi="Sparkasse Rg" w:cs="Arial"/>
          <w:sz w:val="40"/>
          <w:szCs w:val="40"/>
        </w:rPr>
      </w:pPr>
    </w:p>
    <w:p w14:paraId="174E5BED" w14:textId="77777777" w:rsidR="00463324" w:rsidRPr="00463324" w:rsidRDefault="00463324" w:rsidP="00463324">
      <w:pPr>
        <w:spacing w:line="240" w:lineRule="auto"/>
        <w:jc w:val="center"/>
        <w:rPr>
          <w:rFonts w:ascii="Sparkasse Rg" w:eastAsia="Calibri" w:hAnsi="Sparkasse Rg" w:cs="Arial"/>
          <w:sz w:val="40"/>
          <w:szCs w:val="40"/>
        </w:rPr>
      </w:pPr>
    </w:p>
    <w:p w14:paraId="342962F9" w14:textId="77777777" w:rsidR="00463324" w:rsidRPr="00463324" w:rsidRDefault="00463324" w:rsidP="00463324">
      <w:pPr>
        <w:spacing w:line="240" w:lineRule="auto"/>
        <w:jc w:val="center"/>
        <w:rPr>
          <w:rFonts w:ascii="Sparkasse Rg" w:eastAsia="Calibri" w:hAnsi="Sparkasse Rg" w:cs="Arial"/>
          <w:sz w:val="40"/>
          <w:szCs w:val="40"/>
        </w:rPr>
      </w:pPr>
    </w:p>
    <w:p w14:paraId="32C6B610" w14:textId="77777777" w:rsidR="00463324" w:rsidRPr="00463324" w:rsidRDefault="00463324" w:rsidP="00463324">
      <w:pPr>
        <w:spacing w:line="240" w:lineRule="auto"/>
        <w:jc w:val="center"/>
        <w:rPr>
          <w:rFonts w:ascii="Sparkasse Rg" w:eastAsia="Calibri" w:hAnsi="Sparkasse Rg" w:cs="Arial"/>
          <w:sz w:val="40"/>
          <w:szCs w:val="40"/>
        </w:rPr>
      </w:pPr>
    </w:p>
    <w:p w14:paraId="0C4341DB" w14:textId="77777777" w:rsidR="00463324" w:rsidRPr="00463324" w:rsidRDefault="00463324" w:rsidP="00463324">
      <w:pPr>
        <w:spacing w:line="240" w:lineRule="auto"/>
        <w:jc w:val="center"/>
        <w:rPr>
          <w:rFonts w:ascii="Sparkasse Rg" w:eastAsia="Calibri" w:hAnsi="Sparkasse Rg" w:cs="Arial"/>
          <w:sz w:val="40"/>
          <w:szCs w:val="40"/>
        </w:rPr>
      </w:pPr>
    </w:p>
    <w:p w14:paraId="0B423153" w14:textId="77777777" w:rsidR="00463324" w:rsidRPr="00463324" w:rsidRDefault="00463324" w:rsidP="00463324">
      <w:pPr>
        <w:spacing w:line="240" w:lineRule="auto"/>
        <w:jc w:val="center"/>
        <w:rPr>
          <w:rFonts w:ascii="Sparkasse Rg" w:eastAsia="Calibri" w:hAnsi="Sparkasse Rg" w:cs="Arial"/>
          <w:sz w:val="40"/>
          <w:szCs w:val="40"/>
        </w:rPr>
      </w:pPr>
    </w:p>
    <w:p w14:paraId="056AEA90" w14:textId="77777777" w:rsidR="00463324" w:rsidRPr="00463324" w:rsidRDefault="00463324" w:rsidP="00463324">
      <w:pPr>
        <w:spacing w:line="240" w:lineRule="auto"/>
        <w:jc w:val="center"/>
        <w:rPr>
          <w:rFonts w:ascii="Sparkasse Rg" w:eastAsia="Calibri" w:hAnsi="Sparkasse Rg" w:cs="Arial"/>
          <w:sz w:val="40"/>
          <w:szCs w:val="40"/>
        </w:rPr>
      </w:pPr>
    </w:p>
    <w:p w14:paraId="71B54CA2" w14:textId="77777777" w:rsidR="00463324" w:rsidRPr="00463324" w:rsidRDefault="00463324" w:rsidP="00463324">
      <w:pPr>
        <w:spacing w:line="240" w:lineRule="auto"/>
        <w:jc w:val="right"/>
        <w:rPr>
          <w:rFonts w:ascii="Sparkasse Rg" w:eastAsia="Calibri" w:hAnsi="Sparkasse Rg" w:cs="Arial"/>
        </w:rPr>
      </w:pPr>
    </w:p>
    <w:p w14:paraId="5349D724" w14:textId="77777777" w:rsidR="00463324" w:rsidRPr="00463324" w:rsidRDefault="00463324" w:rsidP="00463324">
      <w:pPr>
        <w:spacing w:line="240" w:lineRule="auto"/>
        <w:jc w:val="right"/>
        <w:rPr>
          <w:rFonts w:ascii="Sparkasse Rg" w:eastAsia="Calibri" w:hAnsi="Sparkasse Rg" w:cs="Arial"/>
        </w:rPr>
      </w:pPr>
      <w:r w:rsidRPr="00463324">
        <w:rPr>
          <w:rFonts w:ascii="Sparkasse Rg" w:eastAsia="Calibri" w:hAnsi="Sparkasse Rg" w:cs="Arial"/>
        </w:rPr>
        <w:t>Anton Huber (2657878)</w:t>
      </w:r>
    </w:p>
    <w:p w14:paraId="2573B4BF" w14:textId="77777777" w:rsidR="00463324" w:rsidRPr="00463324" w:rsidRDefault="00624BF9" w:rsidP="00463324">
      <w:pPr>
        <w:spacing w:line="240" w:lineRule="auto"/>
        <w:jc w:val="right"/>
        <w:rPr>
          <w:rFonts w:ascii="Sparkasse Rg" w:eastAsia="Calibri" w:hAnsi="Sparkasse Rg" w:cs="Arial"/>
        </w:rPr>
      </w:pPr>
      <w:hyperlink r:id="rId5" w:history="1">
        <w:r w:rsidR="00463324" w:rsidRPr="00463324">
          <w:rPr>
            <w:rStyle w:val="Hyperlink"/>
            <w:rFonts w:ascii="Sparkasse Rg" w:eastAsia="Calibri" w:hAnsi="Sparkasse Rg" w:cs="Arial"/>
          </w:rPr>
          <w:t>hubera02@ph-heidelberg.de</w:t>
        </w:r>
      </w:hyperlink>
    </w:p>
    <w:p w14:paraId="7F256C3C" w14:textId="77777777" w:rsidR="00267062" w:rsidRDefault="00463324" w:rsidP="00463324">
      <w:pPr>
        <w:spacing w:line="240" w:lineRule="auto"/>
        <w:jc w:val="right"/>
        <w:rPr>
          <w:rFonts w:ascii="Sparkasse Rg" w:eastAsia="Calibri" w:hAnsi="Sparkasse Rg" w:cs="Arial"/>
          <w:lang w:val="en-US"/>
        </w:rPr>
      </w:pPr>
      <w:r w:rsidRPr="00463324">
        <w:rPr>
          <w:rFonts w:ascii="Sparkasse Rg" w:eastAsia="Calibri" w:hAnsi="Sparkasse Rg" w:cs="Arial"/>
          <w:lang w:val="en-US"/>
        </w:rPr>
        <w:t>6. Semester (Master)</w:t>
      </w:r>
    </w:p>
    <w:p w14:paraId="402674F3" w14:textId="22F01741" w:rsidR="00463324" w:rsidRDefault="00463324" w:rsidP="00463324">
      <w:pPr>
        <w:spacing w:line="240" w:lineRule="auto"/>
        <w:jc w:val="right"/>
        <w:rPr>
          <w:rFonts w:ascii="Sparkasse Rg" w:eastAsia="Calibri" w:hAnsi="Sparkasse Rg" w:cs="Arial"/>
          <w:lang w:val="en-US"/>
        </w:rPr>
      </w:pPr>
      <w:proofErr w:type="spellStart"/>
      <w:r w:rsidRPr="00463324">
        <w:rPr>
          <w:rFonts w:ascii="Sparkasse Rg" w:eastAsia="Calibri" w:hAnsi="Sparkasse Rg" w:cs="Arial"/>
          <w:lang w:val="en-US"/>
        </w:rPr>
        <w:t>Abgabe</w:t>
      </w:r>
      <w:r>
        <w:rPr>
          <w:rFonts w:ascii="Sparkasse Rg" w:eastAsia="Calibri" w:hAnsi="Sparkasse Rg" w:cs="Arial"/>
          <w:lang w:val="en-US"/>
        </w:rPr>
        <w:t>datum</w:t>
      </w:r>
      <w:proofErr w:type="spellEnd"/>
      <w:r w:rsidRPr="00463324">
        <w:rPr>
          <w:rFonts w:ascii="Sparkasse Rg" w:eastAsia="Calibri" w:hAnsi="Sparkasse Rg" w:cs="Arial"/>
          <w:lang w:val="en-US"/>
        </w:rPr>
        <w:t>:</w:t>
      </w:r>
      <w:r>
        <w:rPr>
          <w:rFonts w:ascii="Sparkasse Rg" w:eastAsia="Calibri" w:hAnsi="Sparkasse Rg" w:cs="Arial"/>
          <w:lang w:val="en-US"/>
        </w:rPr>
        <w:t xml:space="preserve"> 12.02.2024</w:t>
      </w:r>
    </w:p>
    <w:p w14:paraId="5883F2E4" w14:textId="0E7E7C50" w:rsidR="00463324" w:rsidRPr="00463324" w:rsidRDefault="00463324" w:rsidP="00463324">
      <w:pPr>
        <w:spacing w:line="240" w:lineRule="auto"/>
        <w:jc w:val="center"/>
        <w:rPr>
          <w:rFonts w:ascii="Sparkasse Rg" w:eastAsia="Calibri" w:hAnsi="Sparkasse Rg" w:cs="Arial"/>
        </w:rPr>
        <w:sectPr w:rsidR="00463324" w:rsidRPr="00463324">
          <w:pgSz w:w="11906" w:h="16838"/>
          <w:pgMar w:top="1417" w:right="1417" w:bottom="1134" w:left="1417" w:header="708" w:footer="708" w:gutter="0"/>
          <w:cols w:space="708"/>
          <w:docGrid w:linePitch="360"/>
        </w:sectPr>
      </w:pPr>
    </w:p>
    <w:p w14:paraId="4EC75260" w14:textId="3EE5B99D" w:rsidR="00953ACF" w:rsidRPr="00463324" w:rsidRDefault="00953ACF">
      <w:pPr>
        <w:rPr>
          <w:rFonts w:ascii="Sparkasse Rg" w:hAnsi="Sparkasse Rg"/>
          <w:b/>
        </w:rPr>
      </w:pPr>
      <w:r w:rsidRPr="00463324">
        <w:rPr>
          <w:rFonts w:ascii="Sparkasse Rg" w:hAnsi="Sparkasse Rg"/>
          <w:b/>
        </w:rPr>
        <w:lastRenderedPageBreak/>
        <w:t>Hinführung</w:t>
      </w:r>
    </w:p>
    <w:p w14:paraId="5B3E2006" w14:textId="2DF9448B" w:rsidR="00953ACF" w:rsidRPr="00463324" w:rsidRDefault="00953ACF">
      <w:pPr>
        <w:rPr>
          <w:rFonts w:ascii="Sparkasse Rg" w:hAnsi="Sparkasse Rg"/>
        </w:rPr>
      </w:pPr>
      <w:r w:rsidRPr="00463324">
        <w:rPr>
          <w:rFonts w:ascii="Sparkasse Rg" w:hAnsi="Sparkasse Rg"/>
        </w:rPr>
        <w:t xml:space="preserve">An den heutigen wissensintensiven Arbeitsplätzen besteht ein Bedarf an kontinuierlichem Lernen, da die Arbeitnehmer komplexe und neuartige Arbeitsprobleme lösen müssen. An wissensintensiven Arbeitsplätzen sind formale Schulungsansätze nicht mehr effektiv oder angemessen, da die Lernbedürfnisse jedes einzelnen Arbeitnehmers maßgeschneidert sind und sich ständig ändern. An diesen Arbeitsplätzen findet Lernen in erster Linie durch absichtliches informelles Lernen statt, das eng mit den täglichen Arbeitsaufgaben und anderen Menschen verknüpft ist und durch diese vermittelt wird. Die Verantwortung für das Lernen verlagert sich von der Weiterbildungsabteilung auf den Lernenden, der sein eigenes Lernen für die Arbeit innerhalb der durch seine Arbeitsrolle und den organisatorischen Kontext vorgegebenen Grenzen managen muss. Diese Veränderungen stellen zunehmend höhere Anforderungen an die Arbeitnehmer, ihr eigenes Lernen zu managen. </w:t>
      </w:r>
    </w:p>
    <w:p w14:paraId="5A1E8C3D" w14:textId="77777777" w:rsidR="00267062" w:rsidRPr="00463324" w:rsidRDefault="00267062">
      <w:pPr>
        <w:rPr>
          <w:rFonts w:ascii="Sparkasse Rg" w:hAnsi="Sparkasse Rg"/>
        </w:rPr>
      </w:pPr>
    </w:p>
    <w:p w14:paraId="62A3AC82" w14:textId="1EF80C42" w:rsidR="00953ACF" w:rsidRPr="00463324" w:rsidRDefault="00953ACF">
      <w:pPr>
        <w:rPr>
          <w:rFonts w:ascii="Sparkasse Rg" w:hAnsi="Sparkasse Rg"/>
          <w:b/>
        </w:rPr>
      </w:pPr>
      <w:r w:rsidRPr="00463324">
        <w:rPr>
          <w:rFonts w:ascii="Sparkasse Rg" w:hAnsi="Sparkasse Rg"/>
          <w:b/>
        </w:rPr>
        <w:t>Forschungsziel</w:t>
      </w:r>
    </w:p>
    <w:p w14:paraId="4601176F" w14:textId="039EEF88" w:rsidR="008228CE" w:rsidRDefault="00953ACF">
      <w:pPr>
        <w:rPr>
          <w:rFonts w:ascii="Sparkasse Rg" w:hAnsi="Sparkasse Rg"/>
        </w:rPr>
      </w:pPr>
      <w:r w:rsidRPr="00463324">
        <w:rPr>
          <w:rFonts w:ascii="Sparkasse Rg" w:hAnsi="Sparkasse Rg"/>
        </w:rPr>
        <w:t>Diese Masterthesis soll das individuelle Lernen am Arbeitsplatz im Finanzdienstleistungssektor, einem typischen wissensintensiven Sektor, untersuchen. Insbesondere wird die Beziehung zwischen dem Arbeitskontext und dem tatsächlichen Lernen einer Person untersucht, wobei die Hypothese aufgestellt wird, dass die Fähigkeit des Individuums, sein Lernen selbst zu regulieren, diese Beziehung vermittelt.</w:t>
      </w:r>
      <w:r w:rsidR="00463324">
        <w:rPr>
          <w:rFonts w:ascii="Sparkasse Rg" w:hAnsi="Sparkasse Rg"/>
        </w:rPr>
        <w:t xml:space="preserve"> Darüber hinaus sollen in diesem Kontext die Fähigkeit in Bezug auf den Anteil an Arbeit im Home-Office und die dabei selbst wahrgenommene Selbstwirksamkeit verglichen werden.</w:t>
      </w:r>
    </w:p>
    <w:p w14:paraId="1D97A47C" w14:textId="77777777" w:rsidR="00873234" w:rsidRDefault="00873234">
      <w:pPr>
        <w:rPr>
          <w:rFonts w:ascii="Sparkasse Rg" w:hAnsi="Sparkasse Rg"/>
        </w:rPr>
      </w:pPr>
    </w:p>
    <w:p w14:paraId="2623D46C" w14:textId="7C0D3D76" w:rsidR="00873234" w:rsidRPr="00873234" w:rsidRDefault="00873234">
      <w:pPr>
        <w:rPr>
          <w:rFonts w:ascii="Sparkasse Rg" w:hAnsi="Sparkasse Rg"/>
          <w:b/>
        </w:rPr>
      </w:pPr>
      <w:r w:rsidRPr="00873234">
        <w:rPr>
          <w:rFonts w:ascii="Sparkasse Rg" w:hAnsi="Sparkasse Rg"/>
          <w:b/>
        </w:rPr>
        <w:t>Hypothesen</w:t>
      </w:r>
    </w:p>
    <w:p w14:paraId="687FD97F" w14:textId="77777777" w:rsidR="00672D78" w:rsidRPr="00672D78" w:rsidRDefault="00672D78" w:rsidP="00672D78">
      <w:pPr>
        <w:rPr>
          <w:rFonts w:ascii="Sparkasse Rg" w:hAnsi="Sparkasse Rg"/>
        </w:rPr>
      </w:pPr>
      <w:r w:rsidRPr="00672D78">
        <w:rPr>
          <w:rFonts w:ascii="Sparkasse Rg" w:hAnsi="Sparkasse Rg"/>
        </w:rPr>
        <w:t xml:space="preserve">H1a. </w:t>
      </w:r>
      <w:proofErr w:type="spellStart"/>
      <w:r w:rsidRPr="00672D78">
        <w:rPr>
          <w:rFonts w:ascii="Sparkasse Rg" w:hAnsi="Sparkasse Rg"/>
        </w:rPr>
        <w:t>Workplace</w:t>
      </w:r>
      <w:proofErr w:type="spellEnd"/>
      <w:r w:rsidRPr="00672D78">
        <w:rPr>
          <w:rFonts w:ascii="Sparkasse Rg" w:hAnsi="Sparkasse Rg"/>
        </w:rPr>
        <w:t xml:space="preserve"> </w:t>
      </w:r>
      <w:proofErr w:type="spellStart"/>
      <w:r w:rsidRPr="00672D78">
        <w:rPr>
          <w:rFonts w:ascii="Sparkasse Rg" w:hAnsi="Sparkasse Rg"/>
        </w:rPr>
        <w:t>learning</w:t>
      </w:r>
      <w:proofErr w:type="spellEnd"/>
      <w:r w:rsidRPr="00672D78">
        <w:rPr>
          <w:rFonts w:ascii="Sparkasse Rg" w:hAnsi="Sparkasse Rg"/>
        </w:rPr>
        <w:t xml:space="preserve"> </w:t>
      </w:r>
      <w:proofErr w:type="spellStart"/>
      <w:r w:rsidRPr="00672D78">
        <w:rPr>
          <w:rFonts w:ascii="Sparkasse Rg" w:hAnsi="Sparkasse Rg"/>
        </w:rPr>
        <w:t>context</w:t>
      </w:r>
      <w:proofErr w:type="spellEnd"/>
      <w:r w:rsidRPr="00672D78">
        <w:rPr>
          <w:rFonts w:ascii="Sparkasse Rg" w:hAnsi="Sparkasse Rg"/>
        </w:rPr>
        <w:t xml:space="preserve"> ist ein Prädiktor für die </w:t>
      </w:r>
      <w:proofErr w:type="spellStart"/>
      <w:r w:rsidRPr="00672D78">
        <w:rPr>
          <w:rFonts w:ascii="Sparkasse Rg" w:hAnsi="Sparkasse Rg"/>
        </w:rPr>
        <w:t>workplace</w:t>
      </w:r>
      <w:proofErr w:type="spellEnd"/>
      <w:r w:rsidRPr="00672D78">
        <w:rPr>
          <w:rFonts w:ascii="Sparkasse Rg" w:hAnsi="Sparkasse Rg"/>
        </w:rPr>
        <w:t xml:space="preserve"> </w:t>
      </w:r>
      <w:proofErr w:type="spellStart"/>
      <w:r w:rsidRPr="00672D78">
        <w:rPr>
          <w:rFonts w:ascii="Sparkasse Rg" w:hAnsi="Sparkasse Rg"/>
        </w:rPr>
        <w:t>learning</w:t>
      </w:r>
      <w:proofErr w:type="spellEnd"/>
      <w:r w:rsidRPr="00672D78">
        <w:rPr>
          <w:rFonts w:ascii="Sparkasse Rg" w:hAnsi="Sparkasse Rg"/>
        </w:rPr>
        <w:t xml:space="preserve"> </w:t>
      </w:r>
      <w:proofErr w:type="spellStart"/>
      <w:r w:rsidRPr="00672D78">
        <w:rPr>
          <w:rFonts w:ascii="Sparkasse Rg" w:hAnsi="Sparkasse Rg"/>
        </w:rPr>
        <w:t>activity</w:t>
      </w:r>
      <w:proofErr w:type="spellEnd"/>
      <w:r w:rsidRPr="00672D78">
        <w:rPr>
          <w:rFonts w:ascii="Sparkasse Rg" w:hAnsi="Sparkasse Rg"/>
        </w:rPr>
        <w:t xml:space="preserve"> (WLC </w:t>
      </w:r>
      <w:r w:rsidRPr="00672D78">
        <w:rPr>
          <w:rFonts w:ascii="Arial" w:hAnsi="Arial" w:cs="Arial"/>
        </w:rPr>
        <w:t>→</w:t>
      </w:r>
      <w:r w:rsidRPr="00672D78">
        <w:rPr>
          <w:rFonts w:ascii="Sparkasse Rg" w:hAnsi="Sparkasse Rg"/>
        </w:rPr>
        <w:t xml:space="preserve"> WLA). Es besteht ein positiver Zusammenhang zwischen (wahrgenommenen) Lernm</w:t>
      </w:r>
      <w:r w:rsidRPr="00672D78">
        <w:rPr>
          <w:rFonts w:ascii="Sparkasse Rg" w:hAnsi="Sparkasse Rg" w:cs="Sparkasse Rg"/>
        </w:rPr>
        <w:t>ö</w:t>
      </w:r>
      <w:r w:rsidRPr="00672D78">
        <w:rPr>
          <w:rFonts w:ascii="Sparkasse Rg" w:hAnsi="Sparkasse Rg"/>
        </w:rPr>
        <w:t>glichkeiten am Arbeitsplatz und durchgef</w:t>
      </w:r>
      <w:r w:rsidRPr="00672D78">
        <w:rPr>
          <w:rFonts w:ascii="Sparkasse Rg" w:hAnsi="Sparkasse Rg" w:cs="Sparkasse Rg"/>
        </w:rPr>
        <w:t>ü</w:t>
      </w:r>
      <w:r w:rsidRPr="00672D78">
        <w:rPr>
          <w:rFonts w:ascii="Sparkasse Rg" w:hAnsi="Sparkasse Rg"/>
        </w:rPr>
        <w:t>hrten Lernaktivit</w:t>
      </w:r>
      <w:r w:rsidRPr="00672D78">
        <w:rPr>
          <w:rFonts w:ascii="Sparkasse Rg" w:hAnsi="Sparkasse Rg" w:cs="Sparkasse Rg"/>
        </w:rPr>
        <w:t>ä</w:t>
      </w:r>
      <w:r w:rsidRPr="00672D78">
        <w:rPr>
          <w:rFonts w:ascii="Sparkasse Rg" w:hAnsi="Sparkasse Rg"/>
        </w:rPr>
        <w:t xml:space="preserve">ten am Arbeitsplatz. </w:t>
      </w:r>
    </w:p>
    <w:p w14:paraId="0BC7D46D" w14:textId="77777777" w:rsidR="00672D78" w:rsidRPr="00672D78" w:rsidRDefault="00672D78" w:rsidP="00672D78">
      <w:pPr>
        <w:rPr>
          <w:rFonts w:ascii="Sparkasse Rg" w:hAnsi="Sparkasse Rg"/>
        </w:rPr>
      </w:pPr>
      <w:r w:rsidRPr="00672D78">
        <w:rPr>
          <w:rFonts w:ascii="Sparkasse Rg" w:hAnsi="Sparkasse Rg"/>
        </w:rPr>
        <w:t xml:space="preserve">H1b. Der </w:t>
      </w:r>
      <w:proofErr w:type="spellStart"/>
      <w:r w:rsidRPr="00672D78">
        <w:rPr>
          <w:rFonts w:ascii="Sparkasse Rg" w:hAnsi="Sparkasse Rg"/>
        </w:rPr>
        <w:t>workplace</w:t>
      </w:r>
      <w:proofErr w:type="spellEnd"/>
      <w:r w:rsidRPr="00672D78">
        <w:rPr>
          <w:rFonts w:ascii="Sparkasse Rg" w:hAnsi="Sparkasse Rg"/>
        </w:rPr>
        <w:t xml:space="preserve"> </w:t>
      </w:r>
      <w:proofErr w:type="spellStart"/>
      <w:r w:rsidRPr="00672D78">
        <w:rPr>
          <w:rFonts w:ascii="Sparkasse Rg" w:hAnsi="Sparkasse Rg"/>
        </w:rPr>
        <w:t>learning</w:t>
      </w:r>
      <w:proofErr w:type="spellEnd"/>
      <w:r w:rsidRPr="00672D78">
        <w:rPr>
          <w:rFonts w:ascii="Sparkasse Rg" w:hAnsi="Sparkasse Rg"/>
        </w:rPr>
        <w:t xml:space="preserve"> </w:t>
      </w:r>
      <w:proofErr w:type="spellStart"/>
      <w:r w:rsidRPr="00672D78">
        <w:rPr>
          <w:rFonts w:ascii="Sparkasse Rg" w:hAnsi="Sparkasse Rg"/>
        </w:rPr>
        <w:t>context</w:t>
      </w:r>
      <w:proofErr w:type="spellEnd"/>
      <w:r w:rsidRPr="00672D78">
        <w:rPr>
          <w:rFonts w:ascii="Sparkasse Rg" w:hAnsi="Sparkasse Rg"/>
        </w:rPr>
        <w:t xml:space="preserve"> ist ein Prädiktor für einige oder alle Teilprozesse des selbstregulierten Lernens (WLC </w:t>
      </w:r>
      <w:r w:rsidRPr="00672D78">
        <w:rPr>
          <w:rFonts w:ascii="Arial" w:hAnsi="Arial" w:cs="Arial"/>
        </w:rPr>
        <w:t>→</w:t>
      </w:r>
      <w:r w:rsidRPr="00672D78">
        <w:rPr>
          <w:rFonts w:ascii="Sparkasse Rg" w:hAnsi="Sparkasse Rg"/>
        </w:rPr>
        <w:t xml:space="preserve"> SRL). Es besteht eine positive Beziehung zwischen dem wahrgenommenen </w:t>
      </w:r>
      <w:proofErr w:type="spellStart"/>
      <w:r w:rsidRPr="00672D78">
        <w:rPr>
          <w:rFonts w:ascii="Sparkasse Rg" w:hAnsi="Sparkasse Rg"/>
        </w:rPr>
        <w:t>workplace</w:t>
      </w:r>
      <w:proofErr w:type="spellEnd"/>
      <w:r w:rsidRPr="00672D78">
        <w:rPr>
          <w:rFonts w:ascii="Sparkasse Rg" w:hAnsi="Sparkasse Rg"/>
        </w:rPr>
        <w:t xml:space="preserve"> </w:t>
      </w:r>
      <w:proofErr w:type="spellStart"/>
      <w:r w:rsidRPr="00672D78">
        <w:rPr>
          <w:rFonts w:ascii="Sparkasse Rg" w:hAnsi="Sparkasse Rg"/>
        </w:rPr>
        <w:t>learning</w:t>
      </w:r>
      <w:proofErr w:type="spellEnd"/>
      <w:r w:rsidRPr="00672D78">
        <w:rPr>
          <w:rFonts w:ascii="Sparkasse Rg" w:hAnsi="Sparkasse Rg"/>
        </w:rPr>
        <w:t xml:space="preserve"> </w:t>
      </w:r>
      <w:proofErr w:type="spellStart"/>
      <w:r w:rsidRPr="00672D78">
        <w:rPr>
          <w:rFonts w:ascii="Sparkasse Rg" w:hAnsi="Sparkasse Rg"/>
        </w:rPr>
        <w:t>context</w:t>
      </w:r>
      <w:proofErr w:type="spellEnd"/>
      <w:r w:rsidRPr="00672D78">
        <w:rPr>
          <w:rFonts w:ascii="Sparkasse Rg" w:hAnsi="Sparkasse Rg"/>
        </w:rPr>
        <w:t xml:space="preserve"> und dem berichteten SRL-Verhalten (einige oder alle Teilprozesse). </w:t>
      </w:r>
    </w:p>
    <w:p w14:paraId="0C2D13AC" w14:textId="77777777" w:rsidR="00672D78" w:rsidRPr="00672D78" w:rsidRDefault="00672D78" w:rsidP="00672D78">
      <w:pPr>
        <w:rPr>
          <w:rFonts w:ascii="Sparkasse Rg" w:hAnsi="Sparkasse Rg"/>
        </w:rPr>
      </w:pPr>
      <w:r w:rsidRPr="00672D78">
        <w:rPr>
          <w:rFonts w:ascii="Sparkasse Rg" w:hAnsi="Sparkasse Rg"/>
        </w:rPr>
        <w:t xml:space="preserve">H1c. Einige oder alle Teilprozesse des selbstregulierten Lernens sind Prädiktoren für die </w:t>
      </w:r>
      <w:proofErr w:type="spellStart"/>
      <w:r w:rsidRPr="00672D78">
        <w:rPr>
          <w:rFonts w:ascii="Sparkasse Rg" w:hAnsi="Sparkasse Rg"/>
        </w:rPr>
        <w:t>workplace</w:t>
      </w:r>
      <w:proofErr w:type="spellEnd"/>
      <w:r w:rsidRPr="00672D78">
        <w:rPr>
          <w:rFonts w:ascii="Sparkasse Rg" w:hAnsi="Sparkasse Rg"/>
        </w:rPr>
        <w:t xml:space="preserve"> </w:t>
      </w:r>
      <w:proofErr w:type="spellStart"/>
      <w:r w:rsidRPr="00672D78">
        <w:rPr>
          <w:rFonts w:ascii="Sparkasse Rg" w:hAnsi="Sparkasse Rg"/>
        </w:rPr>
        <w:t>learning</w:t>
      </w:r>
      <w:proofErr w:type="spellEnd"/>
      <w:r w:rsidRPr="00672D78">
        <w:rPr>
          <w:rFonts w:ascii="Sparkasse Rg" w:hAnsi="Sparkasse Rg"/>
        </w:rPr>
        <w:t xml:space="preserve"> </w:t>
      </w:r>
      <w:proofErr w:type="spellStart"/>
      <w:r w:rsidRPr="00672D78">
        <w:rPr>
          <w:rFonts w:ascii="Sparkasse Rg" w:hAnsi="Sparkasse Rg"/>
        </w:rPr>
        <w:t>activity</w:t>
      </w:r>
      <w:proofErr w:type="spellEnd"/>
      <w:r w:rsidRPr="00672D78">
        <w:rPr>
          <w:rFonts w:ascii="Sparkasse Rg" w:hAnsi="Sparkasse Rg"/>
        </w:rPr>
        <w:t xml:space="preserve"> (SRL </w:t>
      </w:r>
      <w:r w:rsidRPr="00672D78">
        <w:rPr>
          <w:rFonts w:ascii="Arial" w:hAnsi="Arial" w:cs="Arial"/>
        </w:rPr>
        <w:t>→</w:t>
      </w:r>
      <w:r w:rsidRPr="00672D78">
        <w:rPr>
          <w:rFonts w:ascii="Sparkasse Rg" w:hAnsi="Sparkasse Rg"/>
        </w:rPr>
        <w:t xml:space="preserve"> WLA). Es besteht ein positiver Zusammenhang zwischen dem berichteten SRL-Verhalten (einige oder alle Teilprozesse) und den durchgef</w:t>
      </w:r>
      <w:r w:rsidRPr="00672D78">
        <w:rPr>
          <w:rFonts w:ascii="Sparkasse Rg" w:hAnsi="Sparkasse Rg" w:cs="Sparkasse Rg"/>
        </w:rPr>
        <w:t>ü</w:t>
      </w:r>
      <w:r w:rsidRPr="00672D78">
        <w:rPr>
          <w:rFonts w:ascii="Sparkasse Rg" w:hAnsi="Sparkasse Rg"/>
        </w:rPr>
        <w:t>hrten Lernaktivit</w:t>
      </w:r>
      <w:r w:rsidRPr="00672D78">
        <w:rPr>
          <w:rFonts w:ascii="Sparkasse Rg" w:hAnsi="Sparkasse Rg" w:cs="Sparkasse Rg"/>
        </w:rPr>
        <w:t>ä</w:t>
      </w:r>
      <w:r w:rsidRPr="00672D78">
        <w:rPr>
          <w:rFonts w:ascii="Sparkasse Rg" w:hAnsi="Sparkasse Rg"/>
        </w:rPr>
        <w:t xml:space="preserve">ten am Arbeitsplatz. </w:t>
      </w:r>
    </w:p>
    <w:p w14:paraId="38585832" w14:textId="77777777" w:rsidR="00672D78" w:rsidRPr="00672D78" w:rsidRDefault="00672D78" w:rsidP="00672D78">
      <w:pPr>
        <w:rPr>
          <w:rFonts w:ascii="Sparkasse Rg" w:hAnsi="Sparkasse Rg"/>
        </w:rPr>
      </w:pPr>
      <w:r w:rsidRPr="00672D78">
        <w:rPr>
          <w:rFonts w:ascii="Sparkasse Rg" w:hAnsi="Sparkasse Rg"/>
        </w:rPr>
        <w:t xml:space="preserve">H1d. Die Teilprozesse des selbstregulierten Lernens vermitteln die Beziehung zwischen dem </w:t>
      </w:r>
      <w:proofErr w:type="spellStart"/>
      <w:r w:rsidRPr="00672D78">
        <w:rPr>
          <w:rFonts w:ascii="Sparkasse Rg" w:hAnsi="Sparkasse Rg"/>
        </w:rPr>
        <w:t>workplace</w:t>
      </w:r>
      <w:proofErr w:type="spellEnd"/>
      <w:r w:rsidRPr="00672D78">
        <w:rPr>
          <w:rFonts w:ascii="Sparkasse Rg" w:hAnsi="Sparkasse Rg"/>
        </w:rPr>
        <w:t xml:space="preserve"> </w:t>
      </w:r>
      <w:proofErr w:type="spellStart"/>
      <w:r w:rsidRPr="00672D78">
        <w:rPr>
          <w:rFonts w:ascii="Sparkasse Rg" w:hAnsi="Sparkasse Rg"/>
        </w:rPr>
        <w:t>learning</w:t>
      </w:r>
      <w:proofErr w:type="spellEnd"/>
      <w:r w:rsidRPr="00672D78">
        <w:rPr>
          <w:rFonts w:ascii="Sparkasse Rg" w:hAnsi="Sparkasse Rg"/>
        </w:rPr>
        <w:t xml:space="preserve"> </w:t>
      </w:r>
      <w:proofErr w:type="spellStart"/>
      <w:r w:rsidRPr="00672D78">
        <w:rPr>
          <w:rFonts w:ascii="Sparkasse Rg" w:hAnsi="Sparkasse Rg"/>
        </w:rPr>
        <w:t>context</w:t>
      </w:r>
      <w:proofErr w:type="spellEnd"/>
      <w:r w:rsidRPr="00672D78">
        <w:rPr>
          <w:rFonts w:ascii="Sparkasse Rg" w:hAnsi="Sparkasse Rg"/>
        </w:rPr>
        <w:t xml:space="preserve"> und der </w:t>
      </w:r>
      <w:proofErr w:type="spellStart"/>
      <w:r w:rsidRPr="00672D78">
        <w:rPr>
          <w:rFonts w:ascii="Sparkasse Rg" w:hAnsi="Sparkasse Rg"/>
        </w:rPr>
        <w:t>workplace</w:t>
      </w:r>
      <w:proofErr w:type="spellEnd"/>
      <w:r w:rsidRPr="00672D78">
        <w:rPr>
          <w:rFonts w:ascii="Sparkasse Rg" w:hAnsi="Sparkasse Rg"/>
        </w:rPr>
        <w:t xml:space="preserve"> </w:t>
      </w:r>
      <w:proofErr w:type="spellStart"/>
      <w:r w:rsidRPr="00672D78">
        <w:rPr>
          <w:rFonts w:ascii="Sparkasse Rg" w:hAnsi="Sparkasse Rg"/>
        </w:rPr>
        <w:t>learning</w:t>
      </w:r>
      <w:proofErr w:type="spellEnd"/>
      <w:r w:rsidRPr="00672D78">
        <w:rPr>
          <w:rFonts w:ascii="Sparkasse Rg" w:hAnsi="Sparkasse Rg"/>
        </w:rPr>
        <w:t xml:space="preserve"> </w:t>
      </w:r>
      <w:proofErr w:type="spellStart"/>
      <w:r w:rsidRPr="00672D78">
        <w:rPr>
          <w:rFonts w:ascii="Sparkasse Rg" w:hAnsi="Sparkasse Rg"/>
        </w:rPr>
        <w:t>activity</w:t>
      </w:r>
      <w:proofErr w:type="spellEnd"/>
      <w:r w:rsidRPr="00672D78">
        <w:rPr>
          <w:rFonts w:ascii="Sparkasse Rg" w:hAnsi="Sparkasse Rg"/>
        </w:rPr>
        <w:t xml:space="preserve"> (WLC </w:t>
      </w:r>
      <w:r w:rsidRPr="00672D78">
        <w:rPr>
          <w:rFonts w:ascii="Arial" w:hAnsi="Arial" w:cs="Arial"/>
        </w:rPr>
        <w:t>→</w:t>
      </w:r>
      <w:r w:rsidRPr="00672D78">
        <w:rPr>
          <w:rFonts w:ascii="Sparkasse Rg" w:hAnsi="Sparkasse Rg"/>
        </w:rPr>
        <w:t xml:space="preserve"> SRL </w:t>
      </w:r>
      <w:r w:rsidRPr="00672D78">
        <w:rPr>
          <w:rFonts w:ascii="Arial" w:hAnsi="Arial" w:cs="Arial"/>
        </w:rPr>
        <w:t>→</w:t>
      </w:r>
      <w:r w:rsidRPr="00672D78">
        <w:rPr>
          <w:rFonts w:ascii="Sparkasse Rg" w:hAnsi="Sparkasse Rg"/>
        </w:rPr>
        <w:t xml:space="preserve"> WLA). Einige (oder alle) Teilprozesse des selbstgesteuerten Lernens beeinflussen das Niveau der Lernaktivit</w:t>
      </w:r>
      <w:r w:rsidRPr="00672D78">
        <w:rPr>
          <w:rFonts w:ascii="Sparkasse Rg" w:hAnsi="Sparkasse Rg" w:cs="Sparkasse Rg"/>
        </w:rPr>
        <w:t>ä</w:t>
      </w:r>
      <w:r w:rsidRPr="00672D78">
        <w:rPr>
          <w:rFonts w:ascii="Sparkasse Rg" w:hAnsi="Sparkasse Rg"/>
        </w:rPr>
        <w:t>ten am Arbeitsplatz in Abh</w:t>
      </w:r>
      <w:r w:rsidRPr="00672D78">
        <w:rPr>
          <w:rFonts w:ascii="Sparkasse Rg" w:hAnsi="Sparkasse Rg" w:cs="Sparkasse Rg"/>
        </w:rPr>
        <w:t>ä</w:t>
      </w:r>
      <w:r w:rsidRPr="00672D78">
        <w:rPr>
          <w:rFonts w:ascii="Sparkasse Rg" w:hAnsi="Sparkasse Rg"/>
        </w:rPr>
        <w:t>ngigkeit von den Lernm</w:t>
      </w:r>
      <w:r w:rsidRPr="00672D78">
        <w:rPr>
          <w:rFonts w:ascii="Sparkasse Rg" w:hAnsi="Sparkasse Rg" w:cs="Sparkasse Rg"/>
        </w:rPr>
        <w:t>ö</w:t>
      </w:r>
      <w:r w:rsidRPr="00672D78">
        <w:rPr>
          <w:rFonts w:ascii="Sparkasse Rg" w:hAnsi="Sparkasse Rg"/>
        </w:rPr>
        <w:t>glichkeiten, die den Besch</w:t>
      </w:r>
      <w:r w:rsidRPr="00672D78">
        <w:rPr>
          <w:rFonts w:ascii="Sparkasse Rg" w:hAnsi="Sparkasse Rg" w:cs="Sparkasse Rg"/>
        </w:rPr>
        <w:t>ä</w:t>
      </w:r>
      <w:r w:rsidRPr="00672D78">
        <w:rPr>
          <w:rFonts w:ascii="Sparkasse Rg" w:hAnsi="Sparkasse Rg"/>
        </w:rPr>
        <w:t>ftigten am Arbeitsplatz geboten werden.</w:t>
      </w:r>
    </w:p>
    <w:p w14:paraId="7CFB76CB" w14:textId="303C3E2C" w:rsidR="00267062" w:rsidRDefault="00672D78" w:rsidP="00672D78">
      <w:pPr>
        <w:rPr>
          <w:rFonts w:ascii="Sparkasse Rg" w:hAnsi="Sparkasse Rg"/>
        </w:rPr>
      </w:pPr>
      <w:r w:rsidRPr="00672D78">
        <w:rPr>
          <w:rFonts w:ascii="Sparkasse Rg" w:hAnsi="Sparkasse Rg"/>
        </w:rPr>
        <w:t xml:space="preserve">H2. Einige oder alle Teilprozesse des selbstregulierten Lernens sind Prädiktoren für den Grad der wahrgenommenen Selbstwirksamkeit im Home-Office (SRL </w:t>
      </w:r>
      <w:r w:rsidRPr="00672D78">
        <w:rPr>
          <w:rFonts w:ascii="Arial" w:hAnsi="Arial" w:cs="Arial"/>
        </w:rPr>
        <w:t>→</w:t>
      </w:r>
      <w:r w:rsidRPr="00672D78">
        <w:rPr>
          <w:rFonts w:ascii="Sparkasse Rg" w:hAnsi="Sparkasse Rg"/>
        </w:rPr>
        <w:t xml:space="preserve"> SE). Es besteht ein positiver Zusammenhang zwischen dem berichteten SRL-Verhalten (einige oder alle Teilprozesse) und einem hohen Grad an wahrgenommener Selbstwirksamkeit.</w:t>
      </w:r>
    </w:p>
    <w:p w14:paraId="6C88A8AE" w14:textId="77777777" w:rsidR="00672D78" w:rsidRDefault="00672D78" w:rsidP="00672D78">
      <w:pPr>
        <w:rPr>
          <w:rFonts w:ascii="Sparkasse Rg" w:hAnsi="Sparkasse Rg"/>
        </w:rPr>
      </w:pPr>
    </w:p>
    <w:p w14:paraId="34D9CCD8" w14:textId="77777777" w:rsidR="00672D78" w:rsidRDefault="00672D78" w:rsidP="00672D78">
      <w:pPr>
        <w:rPr>
          <w:rFonts w:ascii="Sparkasse Rg" w:hAnsi="Sparkasse Rg"/>
        </w:rPr>
      </w:pPr>
    </w:p>
    <w:p w14:paraId="2E7ED75D" w14:textId="77777777" w:rsidR="00672D78" w:rsidRDefault="00672D78" w:rsidP="00672D78">
      <w:pPr>
        <w:rPr>
          <w:rFonts w:ascii="Sparkasse Rg" w:hAnsi="Sparkasse Rg"/>
        </w:rPr>
      </w:pPr>
    </w:p>
    <w:p w14:paraId="7DB6F7E8" w14:textId="49397FEA" w:rsidR="00672D78" w:rsidRDefault="00624BF9" w:rsidP="00672D78">
      <w:pPr>
        <w:rPr>
          <w:rFonts w:ascii="Sparkasse Rg" w:hAnsi="Sparkasse Rg"/>
        </w:rPr>
      </w:pPr>
      <w:r w:rsidRPr="00CE667B">
        <w:rPr>
          <w:noProof/>
        </w:rPr>
        <w:lastRenderedPageBreak/>
        <w:drawing>
          <wp:inline distT="0" distB="0" distL="0" distR="0" wp14:anchorId="3DED1FD4" wp14:editId="45041A82">
            <wp:extent cx="5760720" cy="2425065"/>
            <wp:effectExtent l="0" t="0" r="0" b="0"/>
            <wp:docPr id="9750343"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343" name="Grafik 1" descr="Ein Bild, das Text, Diagramm, Reihe, Schrift enthält.&#10;&#10;Automatisch generierte Beschreibung"/>
                    <pic:cNvPicPr/>
                  </pic:nvPicPr>
                  <pic:blipFill>
                    <a:blip r:embed="rId6"/>
                    <a:stretch>
                      <a:fillRect/>
                    </a:stretch>
                  </pic:blipFill>
                  <pic:spPr>
                    <a:xfrm>
                      <a:off x="0" y="0"/>
                      <a:ext cx="5760720" cy="2425065"/>
                    </a:xfrm>
                    <a:prstGeom prst="rect">
                      <a:avLst/>
                    </a:prstGeom>
                  </pic:spPr>
                </pic:pic>
              </a:graphicData>
            </a:graphic>
          </wp:inline>
        </w:drawing>
      </w:r>
    </w:p>
    <w:p w14:paraId="31BFB48E" w14:textId="77777777" w:rsidR="00873234" w:rsidRPr="00463324" w:rsidRDefault="00873234">
      <w:pPr>
        <w:rPr>
          <w:rFonts w:ascii="Sparkasse Rg" w:hAnsi="Sparkasse Rg"/>
        </w:rPr>
      </w:pPr>
    </w:p>
    <w:p w14:paraId="6D6AF108" w14:textId="5C30AA68" w:rsidR="00267062" w:rsidRPr="00463324" w:rsidRDefault="00267062">
      <w:pPr>
        <w:rPr>
          <w:rFonts w:ascii="Sparkasse Rg" w:hAnsi="Sparkasse Rg"/>
          <w:b/>
        </w:rPr>
      </w:pPr>
      <w:r w:rsidRPr="00463324">
        <w:rPr>
          <w:rFonts w:ascii="Sparkasse Rg" w:hAnsi="Sparkasse Rg"/>
          <w:b/>
        </w:rPr>
        <w:t>Begriffseinordnung</w:t>
      </w:r>
    </w:p>
    <w:p w14:paraId="7D5966FC" w14:textId="77777777" w:rsidR="00267062" w:rsidRPr="00463324" w:rsidRDefault="00267062" w:rsidP="00267062">
      <w:pPr>
        <w:rPr>
          <w:rFonts w:ascii="Sparkasse Rg" w:hAnsi="Sparkasse Rg"/>
        </w:rPr>
      </w:pPr>
      <w:r w:rsidRPr="00463324">
        <w:rPr>
          <w:rFonts w:ascii="Sparkasse Rg" w:hAnsi="Sparkasse Rg"/>
          <w:color w:val="FF0000"/>
        </w:rPr>
        <w:t xml:space="preserve">Selbstreguliertes Lernen </w:t>
      </w:r>
      <w:r w:rsidRPr="00463324">
        <w:rPr>
          <w:rFonts w:ascii="Sparkasse Rg" w:hAnsi="Sparkasse Rg"/>
        </w:rPr>
        <w:t>bezeichnet das von Lernenden aktiv initiierte Vorgehen, das eigene Lernverhalten unter Einsatz von verschiedenen Strategien zu steuern und zu regulieren.</w:t>
      </w:r>
    </w:p>
    <w:p w14:paraId="69D0D365" w14:textId="77777777" w:rsidR="00267062" w:rsidRPr="00463324" w:rsidRDefault="00267062" w:rsidP="00267062">
      <w:pPr>
        <w:rPr>
          <w:rFonts w:ascii="Sparkasse Rg" w:hAnsi="Sparkasse Rg"/>
        </w:rPr>
      </w:pPr>
    </w:p>
    <w:p w14:paraId="216C22C4" w14:textId="4AD9E3C7" w:rsidR="00267062" w:rsidRPr="00463324" w:rsidRDefault="00267062" w:rsidP="00267062">
      <w:pPr>
        <w:rPr>
          <w:rFonts w:ascii="Sparkasse Rg" w:hAnsi="Sparkasse Rg"/>
          <w:i/>
        </w:rPr>
      </w:pPr>
      <w:r w:rsidRPr="00463324">
        <w:rPr>
          <w:rFonts w:ascii="Sparkasse Rg" w:hAnsi="Sparkasse Rg"/>
          <w:i/>
        </w:rPr>
        <w:t>Hier betrachtete Phasen:</w:t>
      </w:r>
    </w:p>
    <w:p w14:paraId="2C12FEBE" w14:textId="03E3242C" w:rsidR="00267062" w:rsidRPr="00463324" w:rsidRDefault="00267062" w:rsidP="00267062">
      <w:pPr>
        <w:rPr>
          <w:rFonts w:ascii="Sparkasse Rg" w:hAnsi="Sparkasse Rg"/>
        </w:rPr>
      </w:pPr>
      <w:r w:rsidRPr="00463324">
        <w:rPr>
          <w:rFonts w:ascii="Sparkasse Rg" w:hAnsi="Sparkasse Rg"/>
        </w:rPr>
        <w:t xml:space="preserve">1: Vorbereitungsphase </w:t>
      </w:r>
    </w:p>
    <w:p w14:paraId="2334A2B4" w14:textId="2C683B74" w:rsidR="00267062" w:rsidRPr="00463324" w:rsidRDefault="00267062" w:rsidP="00267062">
      <w:pPr>
        <w:pStyle w:val="Listenabsatz"/>
        <w:numPr>
          <w:ilvl w:val="0"/>
          <w:numId w:val="2"/>
        </w:numPr>
        <w:rPr>
          <w:rFonts w:ascii="Sparkasse Rg" w:hAnsi="Sparkasse Rg"/>
        </w:rPr>
      </w:pPr>
      <w:r w:rsidRPr="00463324">
        <w:rPr>
          <w:rFonts w:ascii="Sparkasse Rg" w:hAnsi="Sparkasse Rg"/>
        </w:rPr>
        <w:t>bezieht sich auf Prozesse vor der eigentlichen Lernhandlung, darunter die genaue Aufgabenanalyse und motivationale Faktoren.</w:t>
      </w:r>
    </w:p>
    <w:p w14:paraId="35529EC5" w14:textId="73254D85" w:rsidR="00267062" w:rsidRPr="00463324" w:rsidRDefault="00267062" w:rsidP="00267062">
      <w:pPr>
        <w:pStyle w:val="Listenabsatz"/>
        <w:numPr>
          <w:ilvl w:val="0"/>
          <w:numId w:val="2"/>
        </w:numPr>
        <w:rPr>
          <w:rFonts w:ascii="Sparkasse Rg" w:hAnsi="Sparkasse Rg"/>
        </w:rPr>
      </w:pPr>
      <w:proofErr w:type="gramStart"/>
      <w:r w:rsidRPr="00463324">
        <w:rPr>
          <w:rFonts w:ascii="Sparkasse Rg" w:hAnsi="Sparkasse Rg"/>
        </w:rPr>
        <w:t>umfasst</w:t>
      </w:r>
      <w:proofErr w:type="gramEnd"/>
      <w:r w:rsidRPr="00463324">
        <w:rPr>
          <w:rFonts w:ascii="Sparkasse Rg" w:hAnsi="Sparkasse Rg"/>
        </w:rPr>
        <w:t xml:space="preserve"> die dezidierte Planung und Zielsetzung als wichtige selbstregulatorische Subprozesse. </w:t>
      </w:r>
    </w:p>
    <w:p w14:paraId="3DA1BB11" w14:textId="77777777" w:rsidR="00267062" w:rsidRPr="00463324" w:rsidRDefault="00267062" w:rsidP="00267062">
      <w:pPr>
        <w:rPr>
          <w:rFonts w:ascii="Sparkasse Rg" w:hAnsi="Sparkasse Rg"/>
        </w:rPr>
      </w:pPr>
      <w:r w:rsidRPr="00463324">
        <w:rPr>
          <w:rFonts w:ascii="Sparkasse Rg" w:hAnsi="Sparkasse Rg"/>
        </w:rPr>
        <w:t xml:space="preserve">2: Handlungsphase </w:t>
      </w:r>
    </w:p>
    <w:p w14:paraId="00924A4E" w14:textId="0B995F75" w:rsidR="00267062" w:rsidRPr="00463324" w:rsidRDefault="00267062" w:rsidP="00267062">
      <w:pPr>
        <w:pStyle w:val="Listenabsatz"/>
        <w:numPr>
          <w:ilvl w:val="0"/>
          <w:numId w:val="2"/>
        </w:numPr>
        <w:rPr>
          <w:rFonts w:ascii="Sparkasse Rg" w:hAnsi="Sparkasse Rg"/>
        </w:rPr>
      </w:pPr>
      <w:r w:rsidRPr="00463324">
        <w:rPr>
          <w:rFonts w:ascii="Sparkasse Rg" w:hAnsi="Sparkasse Rg"/>
        </w:rPr>
        <w:t xml:space="preserve">umfasst Prozesse, die während des Lernens auftreten, wie Selbstkontrolle (Einsatz von Lernstrategien und Anpassung an Anforderungen) und Selbstbeobachtung (metakognitives Monitoring und Selbstwirksamkeitserwartung) </w:t>
      </w:r>
    </w:p>
    <w:p w14:paraId="07393E9F" w14:textId="77777777" w:rsidR="00267062" w:rsidRPr="00463324" w:rsidRDefault="00267062" w:rsidP="00267062">
      <w:pPr>
        <w:rPr>
          <w:rFonts w:ascii="Sparkasse Rg" w:hAnsi="Sparkasse Rg"/>
        </w:rPr>
      </w:pPr>
      <w:r w:rsidRPr="00463324">
        <w:rPr>
          <w:rFonts w:ascii="Sparkasse Rg" w:hAnsi="Sparkasse Rg"/>
        </w:rPr>
        <w:t xml:space="preserve">3: Selbstreflexionsphase </w:t>
      </w:r>
    </w:p>
    <w:p w14:paraId="46066617" w14:textId="27A0383B" w:rsidR="00267062" w:rsidRPr="00463324" w:rsidRDefault="00267062" w:rsidP="00267062">
      <w:pPr>
        <w:pStyle w:val="Listenabsatz"/>
        <w:numPr>
          <w:ilvl w:val="0"/>
          <w:numId w:val="2"/>
        </w:numPr>
        <w:rPr>
          <w:rFonts w:ascii="Sparkasse Rg" w:hAnsi="Sparkasse Rg"/>
        </w:rPr>
      </w:pPr>
      <w:r w:rsidRPr="00463324">
        <w:rPr>
          <w:rFonts w:ascii="Sparkasse Rg" w:hAnsi="Sparkasse Rg"/>
        </w:rPr>
        <w:t>besteht aus Reflexion, Bewertung und darauf basierenden Reaktionen nach der Lernhandlung</w:t>
      </w:r>
    </w:p>
    <w:p w14:paraId="4C0CD4CF" w14:textId="77777777" w:rsidR="00267062" w:rsidRPr="00463324" w:rsidRDefault="00267062" w:rsidP="00267062">
      <w:pPr>
        <w:pStyle w:val="Listenabsatz"/>
        <w:rPr>
          <w:rFonts w:ascii="Sparkasse Rg" w:hAnsi="Sparkasse Rg"/>
        </w:rPr>
      </w:pPr>
    </w:p>
    <w:p w14:paraId="4E095EBA" w14:textId="77777777" w:rsidR="00267062" w:rsidRPr="00463324" w:rsidRDefault="00267062">
      <w:pPr>
        <w:rPr>
          <w:rFonts w:ascii="Sparkasse Rg" w:hAnsi="Sparkasse Rg"/>
          <w:b/>
        </w:rPr>
      </w:pPr>
      <w:r w:rsidRPr="00463324">
        <w:rPr>
          <w:rFonts w:ascii="Sparkasse Rg" w:hAnsi="Sparkasse Rg"/>
          <w:b/>
        </w:rPr>
        <w:br w:type="page"/>
      </w:r>
    </w:p>
    <w:p w14:paraId="0B19DE6B" w14:textId="5E5A6CB6" w:rsidR="00953ACF" w:rsidRPr="00463324" w:rsidRDefault="00953ACF">
      <w:pPr>
        <w:rPr>
          <w:rFonts w:ascii="Sparkasse Rg" w:hAnsi="Sparkasse Rg"/>
          <w:b/>
        </w:rPr>
      </w:pPr>
      <w:r w:rsidRPr="00463324">
        <w:rPr>
          <w:rFonts w:ascii="Sparkasse Rg" w:hAnsi="Sparkasse Rg"/>
          <w:b/>
        </w:rPr>
        <w:lastRenderedPageBreak/>
        <w:t>Forschungsvorgehen</w:t>
      </w:r>
    </w:p>
    <w:p w14:paraId="01C25B38" w14:textId="70022931" w:rsidR="00953ACF" w:rsidRPr="00463324" w:rsidRDefault="00953ACF" w:rsidP="00953ACF">
      <w:pPr>
        <w:pStyle w:val="Listenabsatz"/>
        <w:numPr>
          <w:ilvl w:val="0"/>
          <w:numId w:val="1"/>
        </w:numPr>
        <w:rPr>
          <w:rFonts w:ascii="Sparkasse Rg" w:hAnsi="Sparkasse Rg"/>
        </w:rPr>
      </w:pPr>
      <w:r w:rsidRPr="00463324">
        <w:rPr>
          <w:rFonts w:ascii="Sparkasse Rg" w:hAnsi="Sparkasse Rg"/>
        </w:rPr>
        <w:t>Standardisierter quantitativer Fragebogen</w:t>
      </w:r>
    </w:p>
    <w:p w14:paraId="3985F854" w14:textId="64EF702A" w:rsidR="00953ACF" w:rsidRPr="00463324" w:rsidRDefault="00953ACF" w:rsidP="00953ACF">
      <w:pPr>
        <w:pStyle w:val="Listenabsatz"/>
        <w:numPr>
          <w:ilvl w:val="0"/>
          <w:numId w:val="1"/>
        </w:numPr>
        <w:rPr>
          <w:rFonts w:ascii="Sparkasse Rg" w:hAnsi="Sparkasse Rg"/>
        </w:rPr>
      </w:pPr>
      <w:r w:rsidRPr="00463324">
        <w:rPr>
          <w:rFonts w:ascii="Sparkasse Rg" w:hAnsi="Sparkasse Rg"/>
        </w:rPr>
        <w:t>Querschnittstudie (ein Erhebungszeitpunkt, keine Messwiederholungen)</w:t>
      </w:r>
    </w:p>
    <w:p w14:paraId="5EB35766" w14:textId="550FDE71" w:rsidR="00953ACF" w:rsidRPr="00463324" w:rsidRDefault="00953ACF" w:rsidP="00953ACF">
      <w:pPr>
        <w:pStyle w:val="Listenabsatz"/>
        <w:numPr>
          <w:ilvl w:val="0"/>
          <w:numId w:val="1"/>
        </w:numPr>
        <w:rPr>
          <w:rFonts w:ascii="Sparkasse Rg" w:hAnsi="Sparkasse Rg"/>
        </w:rPr>
      </w:pPr>
      <w:r w:rsidRPr="00463324">
        <w:rPr>
          <w:rFonts w:ascii="Sparkasse Rg" w:hAnsi="Sparkasse Rg"/>
        </w:rPr>
        <w:t>Anvisierter Erhebungszeitraum: November 2023</w:t>
      </w:r>
    </w:p>
    <w:p w14:paraId="039E8BE9" w14:textId="35DD3327" w:rsidR="00953ACF" w:rsidRPr="00463324" w:rsidRDefault="00953ACF" w:rsidP="00953ACF">
      <w:pPr>
        <w:pStyle w:val="Listenabsatz"/>
        <w:numPr>
          <w:ilvl w:val="0"/>
          <w:numId w:val="1"/>
        </w:numPr>
        <w:rPr>
          <w:rFonts w:ascii="Sparkasse Rg" w:hAnsi="Sparkasse Rg"/>
        </w:rPr>
      </w:pPr>
      <w:r w:rsidRPr="00463324">
        <w:rPr>
          <w:rFonts w:ascii="Sparkasse Rg" w:hAnsi="Sparkasse Rg"/>
        </w:rPr>
        <w:t xml:space="preserve">Stichprobe: Alle Mitarbeitenden aus Unternehmen der </w:t>
      </w:r>
      <w:proofErr w:type="spellStart"/>
      <w:r w:rsidRPr="00463324">
        <w:rPr>
          <w:rFonts w:ascii="Sparkasse Rg" w:hAnsi="Sparkasse Rg"/>
        </w:rPr>
        <w:t>DSVGruppe</w:t>
      </w:r>
      <w:proofErr w:type="spellEnd"/>
      <w:r w:rsidRPr="00463324">
        <w:rPr>
          <w:rFonts w:ascii="Sparkasse Rg" w:hAnsi="Sparkasse Rg"/>
        </w:rPr>
        <w:t xml:space="preserve"> (insbesondere S-Communication Services und S-Payment)</w:t>
      </w:r>
    </w:p>
    <w:p w14:paraId="3A356F01" w14:textId="215D92EA" w:rsidR="00267062" w:rsidRPr="00463324" w:rsidRDefault="00267062" w:rsidP="00267062">
      <w:pPr>
        <w:pStyle w:val="Listenabsatz"/>
        <w:numPr>
          <w:ilvl w:val="1"/>
          <w:numId w:val="1"/>
        </w:numPr>
        <w:rPr>
          <w:rFonts w:ascii="Sparkasse Rg" w:hAnsi="Sparkasse Rg"/>
        </w:rPr>
      </w:pPr>
      <w:r w:rsidRPr="00463324">
        <w:rPr>
          <w:rFonts w:ascii="Sparkasse Rg" w:hAnsi="Sparkasse Rg"/>
        </w:rPr>
        <w:t xml:space="preserve">Fokus: Wissensarbeiter </w:t>
      </w:r>
    </w:p>
    <w:p w14:paraId="3EC67CAE" w14:textId="63B7C296" w:rsidR="00267062" w:rsidRPr="00463324" w:rsidRDefault="00267062" w:rsidP="00267062">
      <w:pPr>
        <w:pStyle w:val="Listenabsatz"/>
        <w:numPr>
          <w:ilvl w:val="2"/>
          <w:numId w:val="1"/>
        </w:numPr>
        <w:rPr>
          <w:rFonts w:ascii="Sparkasse Rg" w:hAnsi="Sparkasse Rg"/>
        </w:rPr>
      </w:pPr>
      <w:r w:rsidRPr="00463324">
        <w:rPr>
          <w:rFonts w:ascii="Sparkasse Rg" w:hAnsi="Sparkasse Rg"/>
        </w:rPr>
        <w:t>Personen, deren berufliche Tätigkeit auf die Nutzung und Erzeugung von Wissen ausgerichtet ist</w:t>
      </w:r>
    </w:p>
    <w:p w14:paraId="5FA9E8F0" w14:textId="1BB0E543" w:rsidR="00267062" w:rsidRPr="00463324" w:rsidRDefault="00267062" w:rsidP="00267062">
      <w:pPr>
        <w:pStyle w:val="Listenabsatz"/>
        <w:numPr>
          <w:ilvl w:val="2"/>
          <w:numId w:val="1"/>
        </w:numPr>
        <w:rPr>
          <w:rFonts w:ascii="Sparkasse Rg" w:hAnsi="Sparkasse Rg"/>
        </w:rPr>
      </w:pPr>
      <w:r w:rsidRPr="00463324">
        <w:rPr>
          <w:rFonts w:ascii="Sparkasse Rg" w:hAnsi="Sparkasse Rg"/>
        </w:rPr>
        <w:t>Arbeit erfordert intellektuelle Fähigkeiten und Kreativität</w:t>
      </w:r>
    </w:p>
    <w:p w14:paraId="51F27AB6" w14:textId="77777777" w:rsidR="00267062" w:rsidRPr="00463324" w:rsidRDefault="00267062" w:rsidP="00267062">
      <w:pPr>
        <w:pStyle w:val="Listenabsatz"/>
        <w:ind w:left="2160"/>
        <w:rPr>
          <w:rFonts w:ascii="Sparkasse Rg" w:hAnsi="Sparkasse Rg"/>
        </w:rPr>
      </w:pPr>
    </w:p>
    <w:p w14:paraId="36B5C8A3" w14:textId="468F47CD" w:rsidR="00953ACF" w:rsidRPr="00463324" w:rsidRDefault="00953ACF">
      <w:pPr>
        <w:rPr>
          <w:rFonts w:ascii="Sparkasse Rg" w:hAnsi="Sparkasse Rg"/>
          <w:b/>
        </w:rPr>
      </w:pPr>
      <w:r w:rsidRPr="00463324">
        <w:rPr>
          <w:rFonts w:ascii="Sparkasse Rg" w:hAnsi="Sparkasse Rg"/>
          <w:b/>
        </w:rPr>
        <w:t>Angenommene praktische Implikationen</w:t>
      </w:r>
    </w:p>
    <w:p w14:paraId="59D5D874" w14:textId="1BA4F7D7" w:rsidR="00953ACF" w:rsidRPr="00463324" w:rsidRDefault="00953ACF" w:rsidP="00953ACF">
      <w:pPr>
        <w:pStyle w:val="Listenabsatz"/>
        <w:numPr>
          <w:ilvl w:val="0"/>
          <w:numId w:val="1"/>
        </w:numPr>
        <w:rPr>
          <w:rFonts w:ascii="Sparkasse Rg" w:hAnsi="Sparkasse Rg"/>
        </w:rPr>
      </w:pPr>
      <w:r w:rsidRPr="00463324">
        <w:rPr>
          <w:rFonts w:ascii="Sparkasse Rg" w:hAnsi="Sparkasse Rg"/>
        </w:rPr>
        <w:t>Erfassung eines Lagebildes dafür, wie die Fähigkeit zum selbstregulierten Lernen in der Belegschaft ausgeprägt ist</w:t>
      </w:r>
    </w:p>
    <w:p w14:paraId="3FA1FA3F" w14:textId="58E83CEF" w:rsidR="00953ACF" w:rsidRPr="00463324" w:rsidRDefault="00953ACF" w:rsidP="00953ACF">
      <w:pPr>
        <w:pStyle w:val="Listenabsatz"/>
        <w:numPr>
          <w:ilvl w:val="0"/>
          <w:numId w:val="1"/>
        </w:numPr>
        <w:rPr>
          <w:rFonts w:ascii="Sparkasse Rg" w:hAnsi="Sparkasse Rg"/>
        </w:rPr>
      </w:pPr>
      <w:r w:rsidRPr="00463324">
        <w:rPr>
          <w:rFonts w:ascii="Sparkasse Rg" w:hAnsi="Sparkasse Rg"/>
        </w:rPr>
        <w:t>Herausstellung Merkmals-spezifischer Unterschiede in der Ausprägung des selbstregulierten Lernens (Jobprofil, Alter etc.)</w:t>
      </w:r>
    </w:p>
    <w:p w14:paraId="57B9AAC9" w14:textId="77777777" w:rsidR="00953ACF" w:rsidRPr="00463324" w:rsidRDefault="00953ACF" w:rsidP="00953ACF">
      <w:pPr>
        <w:pStyle w:val="Listenabsatz"/>
        <w:numPr>
          <w:ilvl w:val="0"/>
          <w:numId w:val="1"/>
        </w:numPr>
        <w:rPr>
          <w:rFonts w:ascii="Sparkasse Rg" w:hAnsi="Sparkasse Rg"/>
        </w:rPr>
      </w:pPr>
      <w:r w:rsidRPr="00463324">
        <w:rPr>
          <w:rFonts w:ascii="Sparkasse Rg" w:hAnsi="Sparkasse Rg"/>
        </w:rPr>
        <w:t>Förderung eines besseren Verständnisses dafür, wie Einzelpersonen ihren täglichen Lernprozess gestalten, um die Unterstützung bei Lernen und Entwicklung für Wissensarbeiter zu verbessern</w:t>
      </w:r>
    </w:p>
    <w:p w14:paraId="247D949D" w14:textId="7345FD1D" w:rsidR="00953ACF" w:rsidRPr="00463324" w:rsidRDefault="00953ACF" w:rsidP="00953ACF">
      <w:pPr>
        <w:pStyle w:val="Listenabsatz"/>
        <w:numPr>
          <w:ilvl w:val="1"/>
          <w:numId w:val="1"/>
        </w:numPr>
        <w:rPr>
          <w:rFonts w:ascii="Sparkasse Rg" w:hAnsi="Sparkasse Rg"/>
        </w:rPr>
      </w:pPr>
      <w:r w:rsidRPr="00463324">
        <w:rPr>
          <w:rFonts w:ascii="Sparkasse Rg" w:hAnsi="Sparkasse Rg"/>
        </w:rPr>
        <w:t>Ansätze zur Entwicklung von Förder-Interventionen zur Unterstützung von selbstreguliertem Lernen am Arbeitsplatz</w:t>
      </w:r>
    </w:p>
    <w:p w14:paraId="24685E42" w14:textId="58B8663D" w:rsidR="00953ACF" w:rsidRPr="00463324" w:rsidRDefault="00953ACF" w:rsidP="00463324">
      <w:pPr>
        <w:rPr>
          <w:rFonts w:ascii="Sparkasse Rg" w:hAnsi="Sparkasse Rg"/>
        </w:rPr>
      </w:pPr>
    </w:p>
    <w:sectPr w:rsidR="00953ACF" w:rsidRPr="004633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parkasse Rg">
    <w:panose1 w:val="020B0504050602020204"/>
    <w:charset w:val="00"/>
    <w:family w:val="swiss"/>
    <w:pitch w:val="variable"/>
    <w:sig w:usb0="800000A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6F7B"/>
    <w:multiLevelType w:val="hybridMultilevel"/>
    <w:tmpl w:val="4730739C"/>
    <w:lvl w:ilvl="0" w:tplc="578852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E25BC1"/>
    <w:multiLevelType w:val="hybridMultilevel"/>
    <w:tmpl w:val="BE2050AE"/>
    <w:lvl w:ilvl="0" w:tplc="5788527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9349467">
    <w:abstractNumId w:val="1"/>
  </w:num>
  <w:num w:numId="2" w16cid:durableId="2536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CF"/>
    <w:rsid w:val="00267062"/>
    <w:rsid w:val="00463324"/>
    <w:rsid w:val="00624BF9"/>
    <w:rsid w:val="00672D78"/>
    <w:rsid w:val="008228CE"/>
    <w:rsid w:val="00873234"/>
    <w:rsid w:val="00953A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9537"/>
  <w15:chartTrackingRefBased/>
  <w15:docId w15:val="{C273AD08-B1D7-40F1-9075-FF3368FD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3ACF"/>
    <w:pPr>
      <w:ind w:left="720"/>
      <w:contextualSpacing/>
    </w:pPr>
  </w:style>
  <w:style w:type="character" w:styleId="Hyperlink">
    <w:name w:val="Hyperlink"/>
    <w:basedOn w:val="Absatz-Standardschriftart"/>
    <w:uiPriority w:val="99"/>
    <w:unhideWhenUsed/>
    <w:rsid w:val="00463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ubera02@ph-heidelber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731</Words>
  <Characters>4611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Huber</dc:creator>
  <cp:keywords/>
  <dc:description/>
  <cp:lastModifiedBy>Huber, Anton</cp:lastModifiedBy>
  <cp:revision>4</cp:revision>
  <dcterms:created xsi:type="dcterms:W3CDTF">2023-09-28T09:27:00Z</dcterms:created>
  <dcterms:modified xsi:type="dcterms:W3CDTF">2023-11-10T14:44:00Z</dcterms:modified>
</cp:coreProperties>
</file>