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6.png" ContentType="image/png"/>
  <Override PartName="/word/media/rId207.png" ContentType="image/png"/>
  <Override PartName="/word/media/rId156.png" ContentType="image/png"/>
  <Override PartName="/word/media/rId152.png" ContentType="image/png"/>
  <Override PartName="/word/media/rId160.png" ContentType="image/png"/>
  <Override PartName="/word/media/rId101.png" ContentType="image/png"/>
  <Override PartName="/word/media/rId32.png" ContentType="image/png"/>
  <Override PartName="/word/media/rId36.png" ContentType="image/png"/>
  <Override PartName="/word/media/rId41.png" ContentType="image/png"/>
  <Override PartName="/word/media/rId45.png" ContentType="image/png"/>
  <Override PartName="/word/media/rId23.png" ContentType="image/png"/>
  <Override PartName="/word/media/rId27.png" ContentType="image/png"/>
  <Override PartName="/word/media/rId18.png" ContentType="image/png"/>
  <Override PartName="/word/media/rId60.png" ContentType="image/png"/>
  <Override PartName="/word/media/rId64.png" ContentType="image/png"/>
  <Override PartName="/word/media/rId69.png" ContentType="image/png"/>
  <Override PartName="/word/media/rId73.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 of Musculoskeletal Rodent Models for Investigating Neuromuscular Injury and Rehabilation</w:t>
      </w:r>
    </w:p>
    <w:p>
      <w:pPr>
        <w:pStyle w:val="Author"/>
      </w:pPr>
      <w:r>
        <w:t xml:space="preserve">Hudson Burke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bookmarkEnd w:id="9"/>
    <w:bookmarkStart w:id="10" w:name="acknowledgements"/>
    <w:p>
      <w:pPr>
        <w:pStyle w:val="Heading1"/>
      </w:pPr>
      <w:r>
        <w:t xml:space="preserve">Acknowledgements</w:t>
      </w:r>
    </w:p>
    <w:p>
      <w:pPr>
        <w:pStyle w:val="FirstParagraph"/>
      </w:pPr>
      <w:r>
        <w:t xml:space="preserve">To my advisor, Dr. Shawn Russell for his mentorship, guidance, and support throughout this project.</w:t>
      </w:r>
      <w:r>
        <w:t xml:space="preserve"> </w:t>
      </w:r>
      <w:r>
        <w:t xml:space="preserve">To Dr. Xiao Hu, for his invaluable insights and contributions to the development of the musculoskeletal model.</w:t>
      </w:r>
      <w:r>
        <w:t xml:space="preserve"> </w:t>
      </w:r>
      <w:r>
        <w:t xml:space="preserve">To Dr. Siddharth Singh, for his continual reminder of what’s important and his unwavering support.</w:t>
      </w:r>
    </w:p>
    <w:p>
      <w:pPr>
        <w:pStyle w:val="BodyText"/>
      </w:pPr>
      <w:r>
        <w:t xml:space="preserve">To my parents, who have always believed in me, encouraged me to pursue my passions, and supported me in every step of my journey.</w:t>
      </w:r>
    </w:p>
    <w:bookmarkEnd w:id="10"/>
    <w:bookmarkStart w:id="11" w:name="introduction"/>
    <w:p>
      <w:pPr>
        <w:pStyle w:val="Heading1"/>
      </w:pPr>
      <w:r>
        <w:t xml:space="preserve">1. Introduction</w:t>
      </w:r>
    </w:p>
    <w:p>
      <w:pPr>
        <w:pStyle w:val="Compact"/>
        <w:numPr>
          <w:ilvl w:val="0"/>
          <w:numId w:val="1001"/>
        </w:numPr>
      </w:pPr>
      <w:r>
        <w:t xml:space="preserve">~1.5 pgs</w:t>
      </w:r>
    </w:p>
    <w:bookmarkEnd w:id="11"/>
    <w:bookmarkStart w:id="84" w:name="sec-rat-vml"/>
    <w:p>
      <w:pPr>
        <w:pStyle w:val="Heading1"/>
      </w:pPr>
      <w:r>
        <w:t xml:space="preserve">2. Rat VML Analysis</w:t>
      </w:r>
    </w:p>
    <w:bookmarkStart w:id="12" w:name="introduction-1"/>
    <w:p>
      <w:pPr>
        <w:pStyle w:val="Heading2"/>
      </w:pPr>
      <w:r>
        <w:t xml:space="preserve">2.1 Introduction</w:t>
      </w:r>
    </w:p>
    <w:p>
      <w:pPr>
        <w:pStyle w:val="FirstParagraph"/>
      </w:pPr>
      <w:r>
        <w:t xml:space="preserve">Volumetric muscle loss (VML) causes permanent loss of functional muscle tissue and often leads to long-term deficits in strength, coordination, and locomotor performance. In both preclinical and clinical settings, histologic evidence of tissue remodeling does not always translate to functional recovery, making biomechanics a critical endpoint for evaluating treatment efficacy.</w:t>
      </w:r>
    </w:p>
    <w:p>
      <w:pPr>
        <w:pStyle w:val="BodyText"/>
      </w:pPr>
      <w:r>
        <w:t xml:space="preserve">Rodent gait analysis paired with inverse dynamics provides a sensitive framework for detecting compensatory strategies that may persist even when gross behavior appears improved. Joint-level kinematic and kinetic metrics can reveal whether therapies restore native function or simply shift load to other joints and muscle groups.</w:t>
      </w:r>
    </w:p>
    <w:p>
      <w:pPr>
        <w:pStyle w:val="BodyText"/>
      </w:pPr>
      <w:r>
        <w:t xml:space="preserve">This chapter compares long-term functional outcomes across six VML treatment strategies using spatiotemporal parameters, gait kinematics, and inverse-dynamics joint moments. The primary objective is to determine which interventions most effectively reduce pathological gait compensations relative to no repair and to an uninjured control dataset.</w:t>
      </w:r>
    </w:p>
    <w:bookmarkEnd w:id="12"/>
    <w:bookmarkStart w:id="17" w:name="methods"/>
    <w:p>
      <w:pPr>
        <w:pStyle w:val="Heading2"/>
      </w:pPr>
      <w:r>
        <w:t xml:space="preserve">2.2 Methods</w:t>
      </w:r>
    </w:p>
    <w:bookmarkStart w:id="13" w:name="experimental-design"/>
    <w:p>
      <w:pPr>
        <w:pStyle w:val="Heading3"/>
      </w:pPr>
      <w:r>
        <w:t xml:space="preserve">2.2.1 Experimental Design</w:t>
      </w:r>
    </w:p>
    <w:p>
      <w:pPr>
        <w:pStyle w:val="FirstParagraph"/>
      </w:pPr>
      <w:r>
        <w:t xml:space="preserve">Forty-eight 12-week-old female Lewis rats were divided into six treatment groups, with eight rats per group. A 20% by-mass volumetric muscle loss (VML) injury was created in the left lateral gastrocnemius (LG) muscle of each animal. The first group was a</w:t>
      </w:r>
      <w:r>
        <w:t xml:space="preserve"> </w:t>
      </w:r>
      <w:r>
        <w:rPr>
          <w:i/>
          <w:iCs/>
        </w:rPr>
        <w:t xml:space="preserve">No Repair (NR)</w:t>
      </w:r>
      <w:r>
        <w:t xml:space="preserve"> </w:t>
      </w:r>
      <w:r>
        <w:t xml:space="preserve">control, where the injury site was left empty. The second group received a</w:t>
      </w:r>
      <w:r>
        <w:t xml:space="preserve"> </w:t>
      </w:r>
      <w:r>
        <w:rPr>
          <w:i/>
          <w:iCs/>
        </w:rPr>
        <w:t xml:space="preserve">Tissue-Engineered Muscle Repair (TEMR)</w:t>
      </w:r>
      <w:r>
        <w:t xml:space="preserve">, which involved filling the site with a cell-seeded bioscaffold. The third and fourth groups received acellular treatments, consisting of either a pro-regenerative</w:t>
      </w:r>
      <w:r>
        <w:t xml:space="preserve"> </w:t>
      </w:r>
      <w:r>
        <w:rPr>
          <w:i/>
          <w:iCs/>
        </w:rPr>
        <w:t xml:space="preserve">Healy Hydrogel (HH)</w:t>
      </w:r>
      <w:r>
        <w:t xml:space="preserve"> </w:t>
      </w:r>
      <w:r>
        <w:t xml:space="preserve">or a porous collagen</w:t>
      </w:r>
      <w:r>
        <w:t xml:space="preserve"> </w:t>
      </w:r>
      <w:r>
        <w:rPr>
          <w:i/>
          <w:iCs/>
        </w:rPr>
        <w:t xml:space="preserve">Healy Sponge (HS)</w:t>
      </w:r>
      <w:r>
        <w:t xml:space="preserve">. The final two groups received combination treatments: one group was given the</w:t>
      </w:r>
      <w:r>
        <w:t xml:space="preserve"> </w:t>
      </w:r>
      <w:r>
        <w:rPr>
          <w:i/>
          <w:iCs/>
        </w:rPr>
        <w:t xml:space="preserve">TEMR construct with the Healy Hydrogel (TEMR+HH)</w:t>
      </w:r>
      <w:r>
        <w:t xml:space="preserve">, and the other received the</w:t>
      </w:r>
      <w:r>
        <w:t xml:space="preserve"> </w:t>
      </w:r>
      <w:r>
        <w:rPr>
          <w:i/>
          <w:iCs/>
        </w:rPr>
        <w:t xml:space="preserve">TEMR construct with an acellular keratin gel (TEMR+KG)</w:t>
      </w:r>
      <w:r>
        <w:t xml:space="preserve">. Functional assessment was performed 24 weeks post-surgery and each group was compared to the group that received no repair to clarify trends in recovery or decline. A previously collected dataset of 32 animals was used as the</w:t>
      </w:r>
      <w:r>
        <w:t xml:space="preserve"> </w:t>
      </w:r>
      <w:r>
        <w:rPr>
          <w:i/>
          <w:iCs/>
        </w:rPr>
        <w:t xml:space="preserve">Control</w:t>
      </w:r>
      <w:r>
        <w:t xml:space="preserve"> </w:t>
      </w:r>
      <w:r>
        <w:t xml:space="preserve">group.</w:t>
      </w:r>
    </w:p>
    <w:bookmarkEnd w:id="13"/>
    <w:bookmarkStart w:id="14" w:name="animal-care-and-surgical-procedures"/>
    <w:p>
      <w:pPr>
        <w:pStyle w:val="Heading3"/>
      </w:pPr>
      <w:r>
        <w:t xml:space="preserve">2.2.2 Animal Care and Surgical Procedures</w:t>
      </w:r>
    </w:p>
    <w:p>
      <w:pPr>
        <w:pStyle w:val="FirstParagraph"/>
      </w:pPr>
      <w:r>
        <w:t xml:space="preserve">All animal procedures were approved by the University of Virginia Animal Care and Use Committee and conducted in compliance with the</w:t>
      </w:r>
      <w:r>
        <w:t xml:space="preserve"> </w:t>
      </w:r>
      <w:r>
        <w:rPr>
          <w:i/>
          <w:iCs/>
        </w:rPr>
        <w:t xml:space="preserve">Guide for the Care and Use of Laboratory Animals</w:t>
      </w:r>
      <w:r>
        <w:t xml:space="preserve">, the Animal Welfare Act, and implementing Animal Welfare Regulations. Lewis rats (Charles River Laboratories) were pair-housed in a vivarium accredited by the American Association for the Accreditation of Laboratory Animal Care with ad libitum access to food and water.</w:t>
      </w:r>
    </w:p>
    <w:p>
      <w:pPr>
        <w:pStyle w:val="BodyText"/>
      </w:pPr>
      <w:r>
        <w:t xml:space="preserve">The VML injury surgery was performed in accordance with previously published methods (TODO: add Merritt citation key). The LG was exposed and a 20% distal portion was excised by mass. The assigned repair material was then implanted into the defect following published methodologies (TODO: add Corona/Machingal citation keys). No repair material was implanted in the No Repair (NR) group. The overlying fascia was closed with 6-0 vicryl sutures, and the skin was closed with 5-0 prolene interrupted sutures with skin glue to reduce risk of wound reopening.</w:t>
      </w:r>
    </w:p>
    <w:p>
      <w:pPr>
        <w:pStyle w:val="BodyText"/>
      </w:pPr>
      <w:r>
        <w:t xml:space="preserve">Prior to surgery, slow-release buprenorphine was administered (0.1 mg/kg, subcutaneously). All surgical procedures along with shaving and motion capture marker placement were performed under continuous isoflurane anesthesia inhalation (1.5–2.5%). The depth of anesthesia was monitored by the response of the animal to a slight toe pinch, where the lack of response was considered the surgical plane of anesthesia. A heated water perfusion system was utilized for core temperature maintenance. Post-operative analgesia was provided with quick-release buprenorphine (0.1 mg/kg, subcutaneously) at 36 and 48 hours. No animal required additional analgesia after 48 hours post-surgery as determined by veterinary staff that monitored for pain and distress.</w:t>
      </w:r>
    </w:p>
    <w:bookmarkEnd w:id="14"/>
    <w:bookmarkStart w:id="15" w:name="motion-capture-and-gait-analysis"/>
    <w:p>
      <w:pPr>
        <w:pStyle w:val="Heading3"/>
      </w:pPr>
      <w:r>
        <w:t xml:space="preserve">2.2.3 Motion Capture and Gait Analysis</w:t>
      </w:r>
    </w:p>
    <w:p>
      <w:pPr>
        <w:pStyle w:val="FirstParagraph"/>
      </w:pPr>
      <w:r>
        <w:t xml:space="preserve">After 24 weeks to allow for injury progression or healing, gait data was collected for each rat in the treatment groups. Reflective markers were adhered to bony landmarks on the pelvis and joint locations on the hindlimb based on the set described by Johnson et al. (2008) and utilized in previous studies by this group (Dienes 2019, 2022). Marker locations were: (1) L6 vertebra, (2) 5th caudal vertebra, (3-4) left and right anterior iliac crests, (5-6) left and right greater trochanter of the femur, (7-8) left and right lateral femoral epicondyle, (9-10) left and right lateral malleolus, and (11-12) left and right lateral aspect of the distal end of the 5th metatarsal. After an acclimation period, rats walked along an instrumented walkway while motion was captured with a seven-camera Vicon system recording marker data at 200Hz and synchronized with four in-ground ATI six-axis force transducers recording ground reaction forces at 1000 Hz. A minimum of three successful trials wherein one complete steady-state gait cycle, defined from foot strike to foot strike, per hindlimb without overlap on a force plate during stance phase were collected for each rat at each time point.</w:t>
      </w:r>
    </w:p>
    <w:bookmarkEnd w:id="15"/>
    <w:bookmarkStart w:id="16" w:name="gait-modeling-and-statistical-analysis"/>
    <w:p>
      <w:pPr>
        <w:pStyle w:val="Heading3"/>
      </w:pPr>
      <w:r>
        <w:t xml:space="preserve">2.2.4 Gait Modeling and Statistical Analysis</w:t>
      </w:r>
    </w:p>
    <w:p>
      <w:pPr>
        <w:pStyle w:val="FirstParagraph"/>
      </w:pPr>
      <w:r>
        <w:t xml:space="preserve">Marker trajectories and ground reaction force data were filtered using a 4th-order low-pass Butterworth filter (cutoff frequencies 15 Hz and 100 Hz, respectively). For each rat, a subject-specific OpenSim model of the hindlimbs was generated from limb measurements and previously acquired limb anthropometrics</w:t>
      </w:r>
      <w:r>
        <w:t xml:space="preserve"> </w:t>
      </w:r>
      <w:r>
        <w:t xml:space="preserve">(</w:t>
      </w:r>
      <w:r>
        <w:rPr>
          <w:b/>
          <w:bCs/>
        </w:rPr>
        <w:t xml:space="preserve">dienesAnalysisModelingRat2019?</w:t>
      </w:r>
      <w:r>
        <w:t xml:space="preserve">;</w:t>
      </w:r>
      <w:r>
        <w:t xml:space="preserve"> </w:t>
      </w:r>
      <w:r>
        <w:rPr>
          <w:b/>
          <w:bCs/>
        </w:rPr>
        <w:t xml:space="preserve">hicksKinematicKineticGait2023?</w:t>
      </w:r>
      <w:r>
        <w:t xml:space="preserve">)</w:t>
      </w:r>
      <w:r>
        <w:t xml:space="preserve">. OpenSim inverse kinematics and inverse dynamics tools were used to compute hindlimb joint angles and joint moments. Reported data correspond to one gait cycle, with stance and swing of the right stride reported independently to minimize apparent phase differences caused by velocity variation.</w:t>
      </w:r>
    </w:p>
    <w:p>
      <w:pPr>
        <w:pStyle w:val="BodyText"/>
      </w:pPr>
      <w:r>
        <w:t xml:space="preserve">Moments were normalized to total body mass multiplied by total body length, consistent with common biomechanics practice</w:t>
      </w:r>
      <w:r>
        <w:t xml:space="preserve"> </w:t>
      </w:r>
      <w:r>
        <w:t xml:space="preserve">(</w:t>
      </w:r>
      <w:r>
        <w:rPr>
          <w:b/>
          <w:bCs/>
        </w:rPr>
        <w:t xml:space="preserve">winter?</w:t>
      </w:r>
      <w:r>
        <w:t xml:space="preserve">)</w:t>
      </w:r>
      <w:r>
        <w:t xml:space="preserve">. Limitations of this normalization strategy are addressed in the Discussion. Spatiotemporal parameters (STPs) were calculated in Vicon Nexus using standard definitions (TODO: add Huxley citation key). At the 24-week endpoint, STPs were compared between each treatment and the NR group using unpaired two-sided t-tests. For time-series kinematic and kinetic data, Statistical Parametric Mapping (SPM) with unpaired t-tests was used to identify significant regions across the gait cycle (TODO: verify Pataky citation key).</w:t>
      </w:r>
    </w:p>
    <w:p>
      <w:pPr>
        <w:pStyle w:val="BodyText"/>
      </w:pPr>
      <w:r>
        <w:t xml:space="preserve">Because multiple endpoints and waveform regions were examined, these analyses should be interpreted as comparative and exploratory in this chapter. Significance was set at alpha = 0.05. In figures, red highlighted regions indicate significant difference versus NR, and black highlighted regions indicate significant difference versus Control.</w:t>
      </w:r>
    </w:p>
    <w:bookmarkEnd w:id="16"/>
    <w:bookmarkEnd w:id="17"/>
    <w:bookmarkStart w:id="79" w:name="results"/>
    <w:p>
      <w:pPr>
        <w:pStyle w:val="Heading2"/>
      </w:pPr>
      <w:r>
        <w:t xml:space="preserve">2.3 Results</w:t>
      </w:r>
    </w:p>
    <w:bookmarkStart w:id="22" w:name="spatiotemporal-parameters"/>
    <w:p>
      <w:pPr>
        <w:pStyle w:val="Heading3"/>
      </w:pPr>
      <w:r>
        <w:t xml:space="preserve">2.3.1 Spatiotemporal Parameters</w:t>
      </w:r>
    </w:p>
    <w:p>
      <w:pPr>
        <w:pStyle w:val="FirstParagraph"/>
      </w:pPr>
      <w:r>
        <w:t xml:space="preserve">Stride length, step width, and velocity are normalized by leg length calculated by summing the femur and tibia lengths.</w:t>
      </w:r>
    </w:p>
    <w:tbl>
      <w:tblPr>
        <w:tblStyle w:val="Table"/>
        <w:tblW w:type="pct" w:w="5000"/>
        <w:tblLayout w:type="fixed"/>
        <w:tblLook w:firstRow="0" w:lastRow="0" w:firstColumn="0" w:lastColumn="0" w:noHBand="0" w:noVBand="0" w:val="0000"/>
      </w:tblPr>
      <w:tblGrid>
        <w:gridCol w:w="7920"/>
      </w:tblGrid>
      <w:tr>
        <w:tc>
          <w:tcPr/>
          <w:bookmarkStart w:id="21" w:name="fig-vml-stp-table"/>
          <w:p>
            <w:pPr>
              <w:pStyle w:val="Compact"/>
              <w:jc w:val="center"/>
            </w:pPr>
            <w:r>
              <w:drawing>
                <wp:inline>
                  <wp:extent cx="5334000" cy="1569843"/>
                  <wp:effectExtent b="0" l="0" r="0" t="0"/>
                  <wp:docPr descr="" title="" id="19" name="Picture"/>
                  <a:graphic>
                    <a:graphicData uri="http://schemas.openxmlformats.org/drawingml/2006/picture">
                      <pic:pic>
                        <pic:nvPicPr>
                          <pic:cNvPr descr="chapters/../src/rat-vml/images/STP_table.png" id="20" name="Picture"/>
                          <pic:cNvPicPr>
                            <a:picLocks noChangeArrowheads="1" noChangeAspect="1"/>
                          </pic:cNvPicPr>
                        </pic:nvPicPr>
                        <pic:blipFill>
                          <a:blip r:embed="rId18"/>
                          <a:stretch>
                            <a:fillRect/>
                          </a:stretch>
                        </pic:blipFill>
                        <pic:spPr bwMode="auto">
                          <a:xfrm>
                            <a:off x="0" y="0"/>
                            <a:ext cx="5334000" cy="1569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Spatiotemporal parameter summary at 24 weeks post-injury, with symbols denoting pairwise significance versus No Repair and Control.</w:t>
            </w:r>
          </w:p>
          <w:bookmarkEnd w:id="21"/>
        </w:tc>
      </w:tr>
    </w:tbl>
    <w:p>
      <w:pPr>
        <w:pStyle w:val="BodyText"/>
      </w:pPr>
      <w:r>
        <w:rPr>
          <w:i/>
          <w:iCs/>
        </w:rPr>
        <w:t xml:space="preserve">^,</w:t>
      </w:r>
      <w:r>
        <w:rPr>
          <w:i/>
          <w:iCs/>
        </w:rPr>
        <w:t xml:space="preserve"> </w:t>
      </w:r>
      <w:r>
        <w:rPr>
          <w:i/>
          <w:iCs/>
        </w:rPr>
        <w:t xml:space="preserve">,</w:t>
      </w:r>
      <w:r>
        <w:rPr>
          <w:i/>
          <w:iCs/>
        </w:rPr>
        <w:t xml:space="preserve"> </w:t>
      </w:r>
      <w:r>
        <w:rPr>
          <w:i/>
          <w:iCs/>
        </w:rPr>
        <w:t xml:space="preserve">^ indicates p &lt; 0.05, 0.01, 0.001 respectively compared to NR</w:t>
      </w:r>
    </w:p>
    <w:p>
      <w:pPr>
        <w:pStyle w:val="BodyText"/>
      </w:pPr>
      <w:r>
        <w:rPr>
          <w:i/>
          <w:iCs/>
        </w:rPr>
        <w:t xml:space="preserve">*, **, *** indicates p &lt; 0.05, 0.01, 0.001 respectively compared to Control</w:t>
      </w:r>
    </w:p>
    <w:p>
      <w:pPr>
        <w:pStyle w:val="BodyText"/>
      </w:pPr>
      <w:r>
        <w:t xml:space="preserve">The No Repair group had a significantly narrower step width and decreased stance percentage compared to the control group. This narrower step width was reflected in nearly every other treatment except the TEMR+HH group.</w:t>
      </w:r>
      <w:r>
        <w:t xml:space="preserve"> </w:t>
      </w:r>
      <w:r>
        <w:t xml:space="preserve">All groups that received some form of TEMR treatment moved significantly slower compared to both the Control and No Repair groups. This was coupled with significant increases in stance percentages and decreases in stride lengths compared to the Control group.</w:t>
      </w:r>
    </w:p>
    <w:bookmarkEnd w:id="22"/>
    <w:bookmarkStart w:id="78" w:name="kinematics-and-kinetics"/>
    <w:p>
      <w:pPr>
        <w:pStyle w:val="Heading3"/>
      </w:pPr>
      <w:r>
        <w:t xml:space="preserve">2.3.2 Kinematics and Kinetics</w:t>
      </w:r>
    </w:p>
    <w:bookmarkStart w:id="31" w:name="no-repair-nr"/>
    <w:p>
      <w:pPr>
        <w:pStyle w:val="Heading4"/>
      </w:pPr>
      <w:r>
        <w:t xml:space="preserve">2.3.2.1 No Repair (NR)</w:t>
      </w:r>
    </w:p>
    <w:p>
      <w:pPr>
        <w:pStyle w:val="FirstParagraph"/>
      </w:pPr>
      <w:bookmarkStart w:id="26" w:name="fig-vml-nr-kinematics"/>
      <w:r>
        <w:drawing>
          <wp:inline>
            <wp:extent cx="5334000" cy="1128523"/>
            <wp:effectExtent b="0" l="0" r="0" t="0"/>
            <wp:docPr descr="No Repair group kinematic trajectories across the gait cycle." title="" id="24" name="Picture"/>
            <a:graphic>
              <a:graphicData uri="http://schemas.openxmlformats.org/drawingml/2006/picture">
                <pic:pic>
                  <pic:nvPicPr>
                    <pic:cNvPr descr="chapters/../src/rat-vml/images/NR_kinematics.png" id="25" name="Picture"/>
                    <pic:cNvPicPr>
                      <a:picLocks noChangeArrowheads="1" noChangeAspect="1"/>
                    </pic:cNvPicPr>
                  </pic:nvPicPr>
                  <pic:blipFill>
                    <a:blip r:embed="rId23"/>
                    <a:stretch>
                      <a:fillRect/>
                    </a:stretch>
                  </pic:blipFill>
                  <pic:spPr bwMode="auto">
                    <a:xfrm>
                      <a:off x="0" y="0"/>
                      <a:ext cx="5334000" cy="1128523"/>
                    </a:xfrm>
                    <a:prstGeom prst="rect">
                      <a:avLst/>
                    </a:prstGeom>
                    <a:noFill/>
                    <a:ln w="9525">
                      <a:noFill/>
                      <a:headEnd/>
                      <a:tailEnd/>
                    </a:ln>
                  </pic:spPr>
                </pic:pic>
              </a:graphicData>
            </a:graphic>
          </wp:inline>
        </w:drawing>
      </w:r>
      <w:bookmarkEnd w:id="26"/>
      <w:r>
        <w:t xml:space="preserve"> </w:t>
      </w:r>
      <w:bookmarkStart w:id="30" w:name="fig-vml-nr-kinetics"/>
      <w:r>
        <w:drawing>
          <wp:inline>
            <wp:extent cx="5334000" cy="1128523"/>
            <wp:effectExtent b="0" l="0" r="0" t="0"/>
            <wp:docPr descr="No Repair group joint moments across the gait cycle." title="" id="28" name="Picture"/>
            <a:graphic>
              <a:graphicData uri="http://schemas.openxmlformats.org/drawingml/2006/picture">
                <pic:pic>
                  <pic:nvPicPr>
                    <pic:cNvPr descr="chapters/../src/rat-vml/images/NR_kinetics.png" id="29" name="Picture"/>
                    <pic:cNvPicPr>
                      <a:picLocks noChangeArrowheads="1" noChangeAspect="1"/>
                    </pic:cNvPicPr>
                  </pic:nvPicPr>
                  <pic:blipFill>
                    <a:blip r:embed="rId27"/>
                    <a:stretch>
                      <a:fillRect/>
                    </a:stretch>
                  </pic:blipFill>
                  <pic:spPr bwMode="auto">
                    <a:xfrm>
                      <a:off x="0" y="0"/>
                      <a:ext cx="5334000" cy="1128523"/>
                    </a:xfrm>
                    <a:prstGeom prst="rect">
                      <a:avLst/>
                    </a:prstGeom>
                    <a:noFill/>
                    <a:ln w="9525">
                      <a:noFill/>
                      <a:headEnd/>
                      <a:tailEnd/>
                    </a:ln>
                  </pic:spPr>
                </pic:pic>
              </a:graphicData>
            </a:graphic>
          </wp:inline>
        </w:drawing>
      </w:r>
      <w:bookmarkEnd w:id="30"/>
    </w:p>
    <w:p>
      <w:pPr>
        <w:pStyle w:val="BodyText"/>
      </w:pPr>
      <w:r>
        <w:t xml:space="preserve">The primary differences seen in the injured subjects compared to the control dataset were an increased ankle dorsiflexion angle during mid-stance coupled with increases in the knee extension and hip internal rotation moments. These changes suggest that to compensate for the loss of plantarflexor function, the animals are adopting a gait strategy that reduces the demand on the ankle joint by increasing dorsiflexion and utilizing more proximal musculature to generate the necessary extension moments at the knee and hip. Effective therapies would be expected to mitigate these compensations and restore more normal kinematic and kinetic patterns.</w:t>
      </w:r>
    </w:p>
    <w:bookmarkEnd w:id="31"/>
    <w:bookmarkStart w:id="40" w:name="healy-hydrogel-hh"/>
    <w:p>
      <w:pPr>
        <w:pStyle w:val="Heading4"/>
      </w:pPr>
      <w:r>
        <w:t xml:space="preserve">2.3.2.2 Healy Hydrogel (HH)</w:t>
      </w:r>
    </w:p>
    <w:p>
      <w:pPr>
        <w:pStyle w:val="FirstParagraph"/>
      </w:pPr>
      <w:bookmarkStart w:id="35" w:name="fig-vml-hh-kinematics"/>
      <w:r>
        <w:drawing>
          <wp:inline>
            <wp:extent cx="5334000" cy="1128523"/>
            <wp:effectExtent b="0" l="0" r="0" t="0"/>
            <wp:docPr descr="Healy Hydrogel group kinematic trajectories across the gait cycle." title="" id="33" name="Picture"/>
            <a:graphic>
              <a:graphicData uri="http://schemas.openxmlformats.org/drawingml/2006/picture">
                <pic:pic>
                  <pic:nvPicPr>
                    <pic:cNvPr descr="chapters/../src/rat-vml/images/HH_kinematics.png" id="34" name="Picture"/>
                    <pic:cNvPicPr>
                      <a:picLocks noChangeArrowheads="1" noChangeAspect="1"/>
                    </pic:cNvPicPr>
                  </pic:nvPicPr>
                  <pic:blipFill>
                    <a:blip r:embed="rId32"/>
                    <a:stretch>
                      <a:fillRect/>
                    </a:stretch>
                  </pic:blipFill>
                  <pic:spPr bwMode="auto">
                    <a:xfrm>
                      <a:off x="0" y="0"/>
                      <a:ext cx="5334000" cy="1128523"/>
                    </a:xfrm>
                    <a:prstGeom prst="rect">
                      <a:avLst/>
                    </a:prstGeom>
                    <a:noFill/>
                    <a:ln w="9525">
                      <a:noFill/>
                      <a:headEnd/>
                      <a:tailEnd/>
                    </a:ln>
                  </pic:spPr>
                </pic:pic>
              </a:graphicData>
            </a:graphic>
          </wp:inline>
        </w:drawing>
      </w:r>
      <w:bookmarkEnd w:id="35"/>
      <w:r>
        <w:t xml:space="preserve"> </w:t>
      </w:r>
      <w:bookmarkStart w:id="39" w:name="fig-vml-hh-kinetics"/>
      <w:r>
        <w:drawing>
          <wp:inline>
            <wp:extent cx="5334000" cy="1128523"/>
            <wp:effectExtent b="0" l="0" r="0" t="0"/>
            <wp:docPr descr="Healy Hydrogel group joint moments across the gait cycle." title="" id="37" name="Picture"/>
            <a:graphic>
              <a:graphicData uri="http://schemas.openxmlformats.org/drawingml/2006/picture">
                <pic:pic>
                  <pic:nvPicPr>
                    <pic:cNvPr descr="chapters/../src/rat-vml/images/HH_kinetics.png" id="38" name="Picture"/>
                    <pic:cNvPicPr>
                      <a:picLocks noChangeArrowheads="1" noChangeAspect="1"/>
                    </pic:cNvPicPr>
                  </pic:nvPicPr>
                  <pic:blipFill>
                    <a:blip r:embed="rId36"/>
                    <a:stretch>
                      <a:fillRect/>
                    </a:stretch>
                  </pic:blipFill>
                  <pic:spPr bwMode="auto">
                    <a:xfrm>
                      <a:off x="0" y="0"/>
                      <a:ext cx="5334000" cy="1128523"/>
                    </a:xfrm>
                    <a:prstGeom prst="rect">
                      <a:avLst/>
                    </a:prstGeom>
                    <a:noFill/>
                    <a:ln w="9525">
                      <a:noFill/>
                      <a:headEnd/>
                      <a:tailEnd/>
                    </a:ln>
                  </pic:spPr>
                </pic:pic>
              </a:graphicData>
            </a:graphic>
          </wp:inline>
        </w:drawing>
      </w:r>
      <w:bookmarkEnd w:id="39"/>
    </w:p>
    <w:p>
      <w:pPr>
        <w:pStyle w:val="BodyText"/>
      </w:pPr>
      <w:r>
        <w:t xml:space="preserve">The Healy Hydrogel group demonstrated very similar kinematic and kinetic patterns to the No Repair group, with increased ankle dorsiflexion during mid-stance and elevated knee extension and hip internal rotation moments. Significance was also seen in some other kinematic measures, but this is likely a result of variability in marker placement. This suggests that the hydrogel alone did not provide sufficient functional recovery to alter the compensatory gait strategies observed in the No Repair group.</w:t>
      </w:r>
    </w:p>
    <w:bookmarkEnd w:id="40"/>
    <w:bookmarkStart w:id="49" w:name="healy-sponge-hs"/>
    <w:p>
      <w:pPr>
        <w:pStyle w:val="Heading4"/>
      </w:pPr>
      <w:r>
        <w:t xml:space="preserve">2.3.2.3 Healy Sponge (HS)</w:t>
      </w:r>
    </w:p>
    <w:p>
      <w:pPr>
        <w:pStyle w:val="FirstParagraph"/>
      </w:pPr>
      <w:bookmarkStart w:id="44" w:name="fig-vml-hs-kinematics"/>
      <w:r>
        <w:drawing>
          <wp:inline>
            <wp:extent cx="5334000" cy="1128523"/>
            <wp:effectExtent b="0" l="0" r="0" t="0"/>
            <wp:docPr descr="Healy Sponge group kinematic trajectories across the gait cycle." title="" id="42" name="Picture"/>
            <a:graphic>
              <a:graphicData uri="http://schemas.openxmlformats.org/drawingml/2006/picture">
                <pic:pic>
                  <pic:nvPicPr>
                    <pic:cNvPr descr="chapters/../src/rat-vml/images/HS_kinematics.png" id="43" name="Picture"/>
                    <pic:cNvPicPr>
                      <a:picLocks noChangeArrowheads="1" noChangeAspect="1"/>
                    </pic:cNvPicPr>
                  </pic:nvPicPr>
                  <pic:blipFill>
                    <a:blip r:embed="rId41"/>
                    <a:stretch>
                      <a:fillRect/>
                    </a:stretch>
                  </pic:blipFill>
                  <pic:spPr bwMode="auto">
                    <a:xfrm>
                      <a:off x="0" y="0"/>
                      <a:ext cx="5334000" cy="1128523"/>
                    </a:xfrm>
                    <a:prstGeom prst="rect">
                      <a:avLst/>
                    </a:prstGeom>
                    <a:noFill/>
                    <a:ln w="9525">
                      <a:noFill/>
                      <a:headEnd/>
                      <a:tailEnd/>
                    </a:ln>
                  </pic:spPr>
                </pic:pic>
              </a:graphicData>
            </a:graphic>
          </wp:inline>
        </w:drawing>
      </w:r>
      <w:bookmarkEnd w:id="44"/>
      <w:r>
        <w:t xml:space="preserve"> </w:t>
      </w:r>
      <w:bookmarkStart w:id="48" w:name="fig-vml-hs-kinetics"/>
      <w:r>
        <w:drawing>
          <wp:inline>
            <wp:extent cx="5334000" cy="1128523"/>
            <wp:effectExtent b="0" l="0" r="0" t="0"/>
            <wp:docPr descr="Healy Sponge group joint moments across the gait cycle." title="" id="46" name="Picture"/>
            <a:graphic>
              <a:graphicData uri="http://schemas.openxmlformats.org/drawingml/2006/picture">
                <pic:pic>
                  <pic:nvPicPr>
                    <pic:cNvPr descr="chapters/../src/rat-vml/images/HS_kinetics.png" id="47" name="Picture"/>
                    <pic:cNvPicPr>
                      <a:picLocks noChangeArrowheads="1" noChangeAspect="1"/>
                    </pic:cNvPicPr>
                  </pic:nvPicPr>
                  <pic:blipFill>
                    <a:blip r:embed="rId45"/>
                    <a:stretch>
                      <a:fillRect/>
                    </a:stretch>
                  </pic:blipFill>
                  <pic:spPr bwMode="auto">
                    <a:xfrm>
                      <a:off x="0" y="0"/>
                      <a:ext cx="5334000" cy="1128523"/>
                    </a:xfrm>
                    <a:prstGeom prst="rect">
                      <a:avLst/>
                    </a:prstGeom>
                    <a:noFill/>
                    <a:ln w="9525">
                      <a:noFill/>
                      <a:headEnd/>
                      <a:tailEnd/>
                    </a:ln>
                  </pic:spPr>
                </pic:pic>
              </a:graphicData>
            </a:graphic>
          </wp:inline>
        </w:drawing>
      </w:r>
      <w:bookmarkEnd w:id="48"/>
    </w:p>
    <w:p>
      <w:pPr>
        <w:pStyle w:val="BodyText"/>
      </w:pPr>
      <w:r>
        <w:t xml:space="preserve">The Healy Sponge group exhibited kinematic and kinetic patterns more similar to the Control group compared to the No Repair and Healy Hydrogel groups. While some significant difference remained in the knee extension moment, the curve shifted away from the trajectory seen in the No Repair group and towards the Control group, and the overall patterns suggested a trend toward normalization of gait mechanics. The difference in ankle dorsiflexion angle did not reach the level of significance compared to either the Control or No Repair groups, but visual inspection of the curves suggests it is still closer to the No Repair values, and the lack of significance is more likely a result of a higher variance. This indicates that the sponge may have provided a more conducive environment for muscle regeneration or functional compensation compared to the hydrogel.</w:t>
      </w:r>
    </w:p>
    <w:bookmarkEnd w:id="49"/>
    <w:bookmarkStart w:id="50" w:name="Xf8677ccc93506aaed8d6674ea8458dbf6c74b69"/>
    <w:p>
      <w:pPr>
        <w:pStyle w:val="Heading4"/>
      </w:pPr>
      <w:r>
        <w:t xml:space="preserve">2.3.2.4 Tissue-Engineered Muscle Repair Combination Therapies</w:t>
      </w:r>
    </w:p>
    <w:p>
      <w:pPr>
        <w:pStyle w:val="FirstParagraph"/>
      </w:pPr>
      <w:r>
        <w:t xml:space="preserve">Many of the TEMR groups exhibited similar patterns and will be analyzed together.</w:t>
      </w:r>
    </w:p>
    <w:bookmarkEnd w:id="50"/>
    <w:bookmarkStart w:id="59" w:name="tissue-engineered-muscle-repair-temr"/>
    <w:p>
      <w:pPr>
        <w:pStyle w:val="Heading4"/>
      </w:pPr>
      <w:r>
        <w:t xml:space="preserve">2.3.2.5 Tissue-Engineered Muscle Repair (TEMR)</w:t>
      </w:r>
    </w:p>
    <w:p>
      <w:pPr>
        <w:pStyle w:val="FirstParagraph"/>
      </w:pPr>
      <w:bookmarkStart w:id="54" w:name="fig-vml-temr-kinematics"/>
      <w:r>
        <w:drawing>
          <wp:inline>
            <wp:extent cx="5334000" cy="1128523"/>
            <wp:effectExtent b="0" l="0" r="0" t="0"/>
            <wp:docPr descr="TEMR group kinematic trajectories across the gait cycle." title="" id="52" name="Picture"/>
            <a:graphic>
              <a:graphicData uri="http://schemas.openxmlformats.org/drawingml/2006/picture">
                <pic:pic>
                  <pic:nvPicPr>
                    <pic:cNvPr descr="chapters/../src/rat-vml/images/TEMR_kinematics.png" id="53" name="Picture"/>
                    <pic:cNvPicPr>
                      <a:picLocks noChangeArrowheads="1" noChangeAspect="1"/>
                    </pic:cNvPicPr>
                  </pic:nvPicPr>
                  <pic:blipFill>
                    <a:blip r:embed="rId51"/>
                    <a:stretch>
                      <a:fillRect/>
                    </a:stretch>
                  </pic:blipFill>
                  <pic:spPr bwMode="auto">
                    <a:xfrm>
                      <a:off x="0" y="0"/>
                      <a:ext cx="5334000" cy="1128523"/>
                    </a:xfrm>
                    <a:prstGeom prst="rect">
                      <a:avLst/>
                    </a:prstGeom>
                    <a:noFill/>
                    <a:ln w="9525">
                      <a:noFill/>
                      <a:headEnd/>
                      <a:tailEnd/>
                    </a:ln>
                  </pic:spPr>
                </pic:pic>
              </a:graphicData>
            </a:graphic>
          </wp:inline>
        </w:drawing>
      </w:r>
      <w:bookmarkEnd w:id="54"/>
      <w:r>
        <w:t xml:space="preserve"> </w:t>
      </w:r>
      <w:bookmarkStart w:id="58" w:name="fig-vml-temr-kinetics"/>
      <w:r>
        <w:drawing>
          <wp:inline>
            <wp:extent cx="5334000" cy="1128523"/>
            <wp:effectExtent b="0" l="0" r="0" t="0"/>
            <wp:docPr descr="TEMR group joint moments across the gait cycle." title="" id="56" name="Picture"/>
            <a:graphic>
              <a:graphicData uri="http://schemas.openxmlformats.org/drawingml/2006/picture">
                <pic:pic>
                  <pic:nvPicPr>
                    <pic:cNvPr descr="chapters/../src/rat-vml/images/TEMR_kinetics.png" id="57" name="Picture"/>
                    <pic:cNvPicPr>
                      <a:picLocks noChangeArrowheads="1" noChangeAspect="1"/>
                    </pic:cNvPicPr>
                  </pic:nvPicPr>
                  <pic:blipFill>
                    <a:blip r:embed="rId55"/>
                    <a:stretch>
                      <a:fillRect/>
                    </a:stretch>
                  </pic:blipFill>
                  <pic:spPr bwMode="auto">
                    <a:xfrm>
                      <a:off x="0" y="0"/>
                      <a:ext cx="5334000" cy="1128523"/>
                    </a:xfrm>
                    <a:prstGeom prst="rect">
                      <a:avLst/>
                    </a:prstGeom>
                    <a:noFill/>
                    <a:ln w="9525">
                      <a:noFill/>
                      <a:headEnd/>
                      <a:tailEnd/>
                    </a:ln>
                  </pic:spPr>
                </pic:pic>
              </a:graphicData>
            </a:graphic>
          </wp:inline>
        </w:drawing>
      </w:r>
      <w:bookmarkEnd w:id="58"/>
    </w:p>
    <w:bookmarkEnd w:id="59"/>
    <w:bookmarkStart w:id="68" w:name="temr-and-hydrogel-temrhh"/>
    <w:p>
      <w:pPr>
        <w:pStyle w:val="Heading4"/>
      </w:pPr>
      <w:r>
        <w:t xml:space="preserve">2.3.2.6 TEMR and Hydrogel (TEMR+HH)</w:t>
      </w:r>
    </w:p>
    <w:p>
      <w:pPr>
        <w:pStyle w:val="FirstParagraph"/>
      </w:pPr>
      <w:bookmarkStart w:id="63" w:name="fig-vml-temr-hh-kinematics"/>
      <w:r>
        <w:drawing>
          <wp:inline>
            <wp:extent cx="5334000" cy="1128523"/>
            <wp:effectExtent b="0" l="0" r="0" t="0"/>
            <wp:docPr descr="TEMR+HH group kinematic trajectories across the gait cycle." title="" id="61" name="Picture"/>
            <a:graphic>
              <a:graphicData uri="http://schemas.openxmlformats.org/drawingml/2006/picture">
                <pic:pic>
                  <pic:nvPicPr>
                    <pic:cNvPr descr="chapters/../src/rat-vml/images/TEMR_HH_kinematics.png" id="62" name="Picture"/>
                    <pic:cNvPicPr>
                      <a:picLocks noChangeArrowheads="1" noChangeAspect="1"/>
                    </pic:cNvPicPr>
                  </pic:nvPicPr>
                  <pic:blipFill>
                    <a:blip r:embed="rId60"/>
                    <a:stretch>
                      <a:fillRect/>
                    </a:stretch>
                  </pic:blipFill>
                  <pic:spPr bwMode="auto">
                    <a:xfrm>
                      <a:off x="0" y="0"/>
                      <a:ext cx="5334000" cy="1128523"/>
                    </a:xfrm>
                    <a:prstGeom prst="rect">
                      <a:avLst/>
                    </a:prstGeom>
                    <a:noFill/>
                    <a:ln w="9525">
                      <a:noFill/>
                      <a:headEnd/>
                      <a:tailEnd/>
                    </a:ln>
                  </pic:spPr>
                </pic:pic>
              </a:graphicData>
            </a:graphic>
          </wp:inline>
        </w:drawing>
      </w:r>
      <w:bookmarkEnd w:id="63"/>
      <w:r>
        <w:t xml:space="preserve"> </w:t>
      </w:r>
      <w:bookmarkStart w:id="67" w:name="fig-vml-temr-hh-kinetics"/>
      <w:r>
        <w:drawing>
          <wp:inline>
            <wp:extent cx="5334000" cy="1128523"/>
            <wp:effectExtent b="0" l="0" r="0" t="0"/>
            <wp:docPr descr="TEMR+HH group joint moments across the gait cycle." title="" id="65" name="Picture"/>
            <a:graphic>
              <a:graphicData uri="http://schemas.openxmlformats.org/drawingml/2006/picture">
                <pic:pic>
                  <pic:nvPicPr>
                    <pic:cNvPr descr="chapters/../src/rat-vml/images/TEMR_HH_kinetics.png" id="66" name="Picture"/>
                    <pic:cNvPicPr>
                      <a:picLocks noChangeArrowheads="1" noChangeAspect="1"/>
                    </pic:cNvPicPr>
                  </pic:nvPicPr>
                  <pic:blipFill>
                    <a:blip r:embed="rId64"/>
                    <a:stretch>
                      <a:fillRect/>
                    </a:stretch>
                  </pic:blipFill>
                  <pic:spPr bwMode="auto">
                    <a:xfrm>
                      <a:off x="0" y="0"/>
                      <a:ext cx="5334000" cy="1128523"/>
                    </a:xfrm>
                    <a:prstGeom prst="rect">
                      <a:avLst/>
                    </a:prstGeom>
                    <a:noFill/>
                    <a:ln w="9525">
                      <a:noFill/>
                      <a:headEnd/>
                      <a:tailEnd/>
                    </a:ln>
                  </pic:spPr>
                </pic:pic>
              </a:graphicData>
            </a:graphic>
          </wp:inline>
        </w:drawing>
      </w:r>
      <w:bookmarkEnd w:id="67"/>
    </w:p>
    <w:bookmarkEnd w:id="68"/>
    <w:bookmarkStart w:id="77" w:name="temr-and-keratin-gel-temrkg"/>
    <w:p>
      <w:pPr>
        <w:pStyle w:val="Heading4"/>
      </w:pPr>
      <w:r>
        <w:t xml:space="preserve">2.3.2.7 TEMR and Keratin Gel (TEMR+KG)</w:t>
      </w:r>
    </w:p>
    <w:p>
      <w:pPr>
        <w:pStyle w:val="FirstParagraph"/>
      </w:pPr>
      <w:bookmarkStart w:id="72" w:name="fig-vml-temr-kg-kinematics"/>
      <w:r>
        <w:drawing>
          <wp:inline>
            <wp:extent cx="5334000" cy="1128523"/>
            <wp:effectExtent b="0" l="0" r="0" t="0"/>
            <wp:docPr descr="TEMR+KG group kinematic trajectories across the gait cycle." title="" id="70" name="Picture"/>
            <a:graphic>
              <a:graphicData uri="http://schemas.openxmlformats.org/drawingml/2006/picture">
                <pic:pic>
                  <pic:nvPicPr>
                    <pic:cNvPr descr="chapters/../src/rat-vml/images/TEMR_KG_kinematics.png" id="71" name="Picture"/>
                    <pic:cNvPicPr>
                      <a:picLocks noChangeArrowheads="1" noChangeAspect="1"/>
                    </pic:cNvPicPr>
                  </pic:nvPicPr>
                  <pic:blipFill>
                    <a:blip r:embed="rId69"/>
                    <a:stretch>
                      <a:fillRect/>
                    </a:stretch>
                  </pic:blipFill>
                  <pic:spPr bwMode="auto">
                    <a:xfrm>
                      <a:off x="0" y="0"/>
                      <a:ext cx="5334000" cy="1128523"/>
                    </a:xfrm>
                    <a:prstGeom prst="rect">
                      <a:avLst/>
                    </a:prstGeom>
                    <a:noFill/>
                    <a:ln w="9525">
                      <a:noFill/>
                      <a:headEnd/>
                      <a:tailEnd/>
                    </a:ln>
                  </pic:spPr>
                </pic:pic>
              </a:graphicData>
            </a:graphic>
          </wp:inline>
        </w:drawing>
      </w:r>
      <w:bookmarkEnd w:id="72"/>
      <w:r>
        <w:t xml:space="preserve"> </w:t>
      </w:r>
      <w:bookmarkStart w:id="76" w:name="fig-vml-temr-kg-kinetics"/>
      <w:r>
        <w:drawing>
          <wp:inline>
            <wp:extent cx="5334000" cy="1128523"/>
            <wp:effectExtent b="0" l="0" r="0" t="0"/>
            <wp:docPr descr="TEMR+KG group joint moments across the gait cycle." title="" id="74" name="Picture"/>
            <a:graphic>
              <a:graphicData uri="http://schemas.openxmlformats.org/drawingml/2006/picture">
                <pic:pic>
                  <pic:nvPicPr>
                    <pic:cNvPr descr="chapters/../src/rat-vml/images/TEMR_KG_kinetics.png" id="75" name="Picture"/>
                    <pic:cNvPicPr>
                      <a:picLocks noChangeArrowheads="1" noChangeAspect="1"/>
                    </pic:cNvPicPr>
                  </pic:nvPicPr>
                  <pic:blipFill>
                    <a:blip r:embed="rId73"/>
                    <a:stretch>
                      <a:fillRect/>
                    </a:stretch>
                  </pic:blipFill>
                  <pic:spPr bwMode="auto">
                    <a:xfrm>
                      <a:off x="0" y="0"/>
                      <a:ext cx="5334000" cy="1128523"/>
                    </a:xfrm>
                    <a:prstGeom prst="rect">
                      <a:avLst/>
                    </a:prstGeom>
                    <a:noFill/>
                    <a:ln w="9525">
                      <a:noFill/>
                      <a:headEnd/>
                      <a:tailEnd/>
                    </a:ln>
                  </pic:spPr>
                </pic:pic>
              </a:graphicData>
            </a:graphic>
          </wp:inline>
        </w:drawing>
      </w:r>
      <w:bookmarkEnd w:id="76"/>
    </w:p>
    <w:p>
      <w:pPr>
        <w:pStyle w:val="BodyText"/>
      </w:pPr>
      <w:r>
        <w:t xml:space="preserve">Kinematically, the ankle dorsiflexion angle is still significantly elevated in mid-stance compared to Control. The kinetic profile across all three TEMR groups is similar, with decreased knee extension moment during stance compared to the No Repair group but still significantly greater than the Control group. Similarly, the hip internal rotation moments are significantly greater than Control in mid-stance, akin to the No Repair group. A unique adaptation that surfaces in the TEMR groups is a decrease in ankle plantarflexion moment compared to both the Control and No Repair groups during mid-stance. These findings suggest that while the TEMR treatments may not fully restore normal gait mechanics, they do introduce unique compensatory strategies, particularly at the ankle joint.</w:t>
      </w:r>
    </w:p>
    <w:bookmarkEnd w:id="77"/>
    <w:bookmarkEnd w:id="78"/>
    <w:bookmarkEnd w:id="79"/>
    <w:bookmarkStart w:id="82" w:name="discussion"/>
    <w:p>
      <w:pPr>
        <w:pStyle w:val="Heading2"/>
      </w:pPr>
      <w:r>
        <w:t xml:space="preserve">2.4 Discussion</w:t>
      </w:r>
    </w:p>
    <w:bookmarkStart w:id="80" w:name="summary-of-findings"/>
    <w:p>
      <w:pPr>
        <w:pStyle w:val="Heading3"/>
      </w:pPr>
      <w:r>
        <w:t xml:space="preserve">2.4.1 Summary of Findings</w:t>
      </w:r>
    </w:p>
    <w:p>
      <w:pPr>
        <w:pStyle w:val="FirstParagraph"/>
      </w:pPr>
      <w:r>
        <w:t xml:space="preserve">This study provides a biomechanical comparison of multiple treatment strategies for VML in a rat model at a long-term endpoint. The No Repair group exhibited compensatory gait adaptations, including increased ankle dorsiflexion and elevated knee and hip moments, consistent with persistent plantarflexor impairment. Broadly, treatment groups retained elements of this compensation pattern, suggesting incomplete restoration of native mechanics.</w:t>
      </w:r>
    </w:p>
    <w:p>
      <w:pPr>
        <w:pStyle w:val="BodyText"/>
      </w:pPr>
      <w:r>
        <w:t xml:space="preserve">The Healy Hydrogel group was most similar to No Repair. The Healy Sponge group showed the clearest trend toward normalization in several kinematic and kinetic features, though not a complete return to control-like behavior. TEMR-based treatments did not fully restore normal gait but appeared to alter compensation patterns, particularly through ankle moment behavior during stance.</w:t>
      </w:r>
    </w:p>
    <w:bookmarkEnd w:id="80"/>
    <w:bookmarkStart w:id="81" w:name="limitations-and-future-directions"/>
    <w:p>
      <w:pPr>
        <w:pStyle w:val="Heading3"/>
      </w:pPr>
      <w:r>
        <w:t xml:space="preserve">2.4.2 Limitations and Future Directions</w:t>
      </w:r>
    </w:p>
    <w:p>
      <w:pPr>
        <w:pStyle w:val="FirstParagraph"/>
      </w:pPr>
      <w:r>
        <w:t xml:space="preserve">In this study, joint moments were normalized to body mass multiplied by total length to account for size differences and facilitate group comparison. However, this strategy assumes geometric scaling relationships that may not fully capture age-related or segment-specific growth effects in rodents. The use of a previously collected control dataset is another limitation, because even with similar acquisition protocols, cross-cohort differences can influence apparent group effects.</w:t>
      </w:r>
    </w:p>
    <w:p>
      <w:pPr>
        <w:pStyle w:val="BodyText"/>
      </w:pPr>
      <w:r>
        <w:t xml:space="preserve">This analysis is also limited to a single terminal time point and net joint moments. A longitudinal design would better resolve the timing and progression of compensatory adaptations, while muscle-level simulations (for example, computed muscle control) could help partition net moments into candidate muscle force contributions. Future work should also include age-matched uninjured controls and evaluate alternative normalization strategies that account for differential segment growth (for example, tibia-femur disproportionality).</w:t>
      </w:r>
    </w:p>
    <w:p>
      <w:pPr>
        <w:pStyle w:val="BodyText"/>
      </w:pPr>
      <w:r>
        <w:t xml:space="preserve">Finally, integrating biomechanical outcomes with histologic and molecular measurements would improve mechanistic interpretation and help distinguish therapies that produce true functional regeneration from those that primarily redistribute mechanical demand.</w:t>
      </w:r>
    </w:p>
    <w:bookmarkEnd w:id="81"/>
    <w:bookmarkEnd w:id="82"/>
    <w:bookmarkStart w:id="83" w:name="conclusion"/>
    <w:p>
      <w:pPr>
        <w:pStyle w:val="Heading2"/>
      </w:pPr>
      <w:r>
        <w:t xml:space="preserve">2.5 Conclusion</w:t>
      </w:r>
    </w:p>
    <w:p>
      <w:pPr>
        <w:pStyle w:val="FirstParagraph"/>
      </w:pPr>
      <w:r>
        <w:t xml:space="preserve">Volumetric muscle loss causes functional impairments that are not adequately addressed by current clinical practice. This study provides a broad comparison of the long-term functional efficacy of several preclinical regenerative strategies. We found that while no treatment achieved a full return to uninjured function, therapies incorporating a specific sponge material produced modest but significant trends toward functional healing, demonstrating mitigated pathological gait compensations. This work emphasizes the utility and importance of detailed biomechanical assessment in evaluating VML treatments and highlights the potential of biomaterials to enhance regenerative outcomes.</w:t>
      </w:r>
    </w:p>
    <w:bookmarkEnd w:id="83"/>
    <w:bookmarkEnd w:id="84"/>
    <w:bookmarkStart w:id="95" w:name="X7b140730edca771ae13e21be6dfb593f550cd25"/>
    <w:p>
      <w:pPr>
        <w:pStyle w:val="Heading1"/>
      </w:pPr>
      <w:r>
        <w:t xml:space="preserve">3. Normalization of Rodent Inverse Dynamics Data</w:t>
      </w:r>
    </w:p>
    <w:bookmarkStart w:id="85" w:name="introduction-2"/>
    <w:p>
      <w:pPr>
        <w:pStyle w:val="Heading2"/>
      </w:pPr>
      <w:r>
        <w:t xml:space="preserve">3.1 Introduction</w:t>
      </w:r>
    </w:p>
    <w:p>
      <w:pPr>
        <w:pStyle w:val="FirstParagraph"/>
      </w:pPr>
      <w:r>
        <w:t xml:space="preserve">Inverse dynamics analyses of rodent locomotion can provide valuable insight into how muscles, joints, and segment dynamics interact during gait. However, direct comparison of joint moments across animals is difficult because raw moment magnitudes are influenced by animal size, segment geometry, and locomotor speed. As a result, two animals with similar movement strategies can still exhibit different absolute moments simply because of scale effects.</w:t>
      </w:r>
    </w:p>
    <w:p>
      <w:pPr>
        <w:pStyle w:val="BodyText"/>
      </w:pPr>
      <w:r>
        <w:t xml:space="preserve">Normalization methods are designed to reduce this confounding size dependence by expressing joint moments relative to biologically meaningful scaling terms. When successful, normalization improves interpretability across subjects, strengthens between-group comparisons, and makes derived biomechanical conclusions more portable across studies. In this chapter, we evaluate candidate normalization measurements for rodent inverse-dynamics data by first quantifying how strongly each candidate explains variation in joint-moment magnitude.</w:t>
      </w:r>
    </w:p>
    <w:p>
      <w:pPr>
        <w:pStyle w:val="BodyText"/>
      </w:pPr>
      <w:r>
        <w:t xml:space="preserve">Wannop et al. (2012)</w:t>
      </w:r>
      <w:r>
        <w:t xml:space="preserve"> </w:t>
      </w:r>
      <w:r>
        <w:t xml:space="preserve">compared several approaches for normalizing ground reaction forces and moments across subjects, including simple division normalization, power-law normalization, and offset normalization. Their key point was that ratio scaling is only appropriate when the relationship between a biomechanical variable and the normalization term is well described by a proportional model with zero intercept. When the intercept is nonzero, simple division can leave residual size dependence; in that case, offset normalization, defined as subtracting the fitted intercept before dividing by the normalization variable, may perform better. They found that if there is a large enough data set, power curve or offset normalization methods are more effective than simple division normalization.</w:t>
      </w:r>
    </w:p>
    <w:p>
      <w:pPr>
        <w:pStyle w:val="BodyText"/>
      </w:pPr>
      <w:r>
        <w:t xml:space="preserve">We apply a similar approach by evaluating the scaling relationships between various candidate normalization measurements and the magnitudes of joint moments across a sample of 35 rats. We fit linear, power, and exponential models to these relationships and assess their goodness of fit using the coefficient of determination (</w:t>
      </w:r>
      <m:oMath>
        <m:sSup>
          <m:e>
            <m:r>
              <m:t>R</m:t>
            </m:r>
          </m:e>
          <m:sup>
            <m:r>
              <m:t>2</m:t>
            </m:r>
          </m:sup>
        </m:sSup>
      </m:oMath>
      <w:r>
        <w:t xml:space="preserve">) to screen candidate scaling relationships for later normalization analyses.</w:t>
      </w:r>
    </w:p>
    <w:bookmarkEnd w:id="85"/>
    <w:bookmarkStart w:id="86" w:name="methods-1"/>
    <w:p>
      <w:pPr>
        <w:pStyle w:val="Heading2"/>
      </w:pPr>
      <w:r>
        <w:t xml:space="preserve">3.2 Methods</w:t>
      </w:r>
    </w:p>
    <w:p>
      <w:pPr>
        <w:pStyle w:val="FirstParagraph"/>
      </w:pPr>
      <w:r>
        <w:t xml:space="preserve">We analyzed inverse-dynamics data from 35 rats (32 baseline animals: BAA01-BAA32; 3 older animals: Old01-Old03). Candidate normalization measurements included body mass, whole-body and segment lengths, and walking speed, along with simple composite terms motivated by dynamic similarity. Specifically, we evaluated the following predictors:</w:t>
      </w:r>
      <w:r>
        <w:t xml:space="preserve"> </w:t>
      </w:r>
      <w:r>
        <w:rPr>
          <w:rStyle w:val="VerbatimChar"/>
        </w:rPr>
        <w:t xml:space="preserve">Mass</w:t>
      </w:r>
      <w:r>
        <w:t xml:space="preserve">,</w:t>
      </w:r>
      <w:r>
        <w:t xml:space="preserve"> </w:t>
      </w:r>
      <w:r>
        <w:rPr>
          <w:rStyle w:val="VerbatimChar"/>
        </w:rPr>
        <w:t xml:space="preserve">TotalLength</w:t>
      </w:r>
      <w:r>
        <w:t xml:space="preserve">,</w:t>
      </w:r>
      <w:r>
        <w:t xml:space="preserve"> </w:t>
      </w:r>
      <w:r>
        <w:rPr>
          <w:rStyle w:val="VerbatimChar"/>
        </w:rPr>
        <w:t xml:space="preserve">RightTibiaLength</w:t>
      </w:r>
      <w:r>
        <w:t xml:space="preserve">,</w:t>
      </w:r>
      <w:r>
        <w:t xml:space="preserve"> </w:t>
      </w:r>
      <w:r>
        <w:rPr>
          <w:rStyle w:val="VerbatimChar"/>
        </w:rPr>
        <w:t xml:space="preserve">RightFemurLength</w:t>
      </w:r>
      <w:r>
        <w:t xml:space="preserve">,</w:t>
      </w:r>
      <w:r>
        <w:t xml:space="preserve"> </w:t>
      </w:r>
      <w:r>
        <w:rPr>
          <w:rStyle w:val="VerbatimChar"/>
        </w:rPr>
        <w:t xml:space="preserve">RightFootLength</w:t>
      </w:r>
      <w:r>
        <w:t xml:space="preserve">,</w:t>
      </w:r>
      <w:r>
        <w:t xml:space="preserve"> </w:t>
      </w:r>
      <w:r>
        <w:rPr>
          <w:rStyle w:val="VerbatimChar"/>
        </w:rPr>
        <w:t xml:space="preserve">RightWalkingSpeed</w:t>
      </w:r>
      <w:r>
        <w:t xml:space="preserve">,</w:t>
      </w:r>
      <w:r>
        <w:t xml:space="preserve"> </w:t>
      </w:r>
      <w:r>
        <w:rPr>
          <w:rStyle w:val="VerbatimChar"/>
        </w:rPr>
        <w:t xml:space="preserve">RightLegLength</w:t>
      </w:r>
      <w:r>
        <w:t xml:space="preserve"> </w:t>
      </w:r>
      <w:r>
        <w:t xml:space="preserve">(</w:t>
      </w:r>
      <w:r>
        <w:rPr>
          <w:rStyle w:val="VerbatimChar"/>
        </w:rPr>
        <w:t xml:space="preserve">RightTibiaLength + RightFemurLength</w:t>
      </w:r>
      <w:r>
        <w:t xml:space="preserve">),</w:t>
      </w:r>
      <w:r>
        <w:t xml:space="preserve"> </w:t>
      </w:r>
      <w:r>
        <w:rPr>
          <w:rStyle w:val="VerbatimChar"/>
        </w:rPr>
        <w:t xml:space="preserve">Mass*TotalLength</w:t>
      </w:r>
      <w:r>
        <w:t xml:space="preserve">,</w:t>
      </w:r>
      <w:r>
        <w:t xml:space="preserve"> </w:t>
      </w:r>
      <w:r>
        <w:rPr>
          <w:rStyle w:val="VerbatimChar"/>
        </w:rPr>
        <w:t xml:space="preserve">Mass*RightTibiaLength</w:t>
      </w:r>
      <w:r>
        <w:t xml:space="preserve">, and</w:t>
      </w:r>
      <w:r>
        <w:t xml:space="preserve"> </w:t>
      </w:r>
      <w:r>
        <w:rPr>
          <w:rStyle w:val="VerbatimChar"/>
        </w:rPr>
        <w:t xml:space="preserve">Mass*Speed</w:t>
      </w:r>
      <w:r>
        <w:t xml:space="preserve"> </w:t>
      </w:r>
      <w:r>
        <w:t xml:space="preserve">(</w:t>
      </w:r>
      <w:r>
        <w:rPr>
          <w:rStyle w:val="VerbatimChar"/>
        </w:rPr>
        <w:t xml:space="preserve">Mass * RightWalkingSpeed</w:t>
      </w:r>
      <w:r>
        <w:t xml:space="preserve">).</w:t>
      </w:r>
    </w:p>
    <w:p>
      <w:pPr>
        <w:pStyle w:val="BodyText"/>
      </w:pPr>
      <w:r>
        <w:t xml:space="preserve">These predictors were selected to span both easily measured global descriptors (e.g., body mass) and limb-specific descriptors that may better capture local mechanical scaling at individual joints. Composite terms were included because many biomechanical quantities are expected to scale with more than one physical dimension (for example, force-like and moment-like terms may couple mass and length).</w:t>
      </w:r>
    </w:p>
    <w:p>
      <w:pPr>
        <w:pStyle w:val="BodyText"/>
      </w:pPr>
      <w:r>
        <w:t xml:space="preserve">For each predictor, we modeled the peak magnitude of each right-limb joint moment (</w:t>
      </w:r>
      <w:r>
        <w:rPr>
          <w:rStyle w:val="VerbatimChar"/>
        </w:rPr>
        <w:t xml:space="preserve">hip_r_flx_moment</w:t>
      </w:r>
      <w:r>
        <w:t xml:space="preserve">,</w:t>
      </w:r>
      <w:r>
        <w:t xml:space="preserve"> </w:t>
      </w:r>
      <w:r>
        <w:rPr>
          <w:rStyle w:val="VerbatimChar"/>
        </w:rPr>
        <w:t xml:space="preserve">hip_r_add_moment</w:t>
      </w:r>
      <w:r>
        <w:t xml:space="preserve">,</w:t>
      </w:r>
      <w:r>
        <w:t xml:space="preserve"> </w:t>
      </w:r>
      <w:r>
        <w:rPr>
          <w:rStyle w:val="VerbatimChar"/>
        </w:rPr>
        <w:t xml:space="preserve">hip_r_int_moment</w:t>
      </w:r>
      <w:r>
        <w:t xml:space="preserve">,</w:t>
      </w:r>
      <w:r>
        <w:t xml:space="preserve"> </w:t>
      </w:r>
      <w:r>
        <w:rPr>
          <w:rStyle w:val="VerbatimChar"/>
        </w:rPr>
        <w:t xml:space="preserve">knee_r_flx_moment</w:t>
      </w:r>
      <w:r>
        <w:t xml:space="preserve">,</w:t>
      </w:r>
      <w:r>
        <w:t xml:space="preserve"> </w:t>
      </w:r>
      <w:r>
        <w:rPr>
          <w:rStyle w:val="VerbatimChar"/>
        </w:rPr>
        <w:t xml:space="preserve">ankle_r_flx_moment</w:t>
      </w:r>
      <w:r>
        <w:t xml:space="preserve">) from OpenSim inverse-dynamics analysis using two candidate scaling models:</w:t>
      </w:r>
    </w:p>
    <w:p>
      <w:pPr>
        <w:pStyle w:val="Compact"/>
        <w:numPr>
          <w:ilvl w:val="0"/>
          <w:numId w:val="1002"/>
        </w:numPr>
      </w:pPr>
      <w:r>
        <w:t xml:space="preserve">Linear Offset:</w:t>
      </w:r>
      <w:r>
        <w:t xml:space="preserve"> </w:t>
      </w:r>
      <m:oMath>
        <m:r>
          <m:t>y</m:t>
        </m:r>
        <m:r>
          <m:rPr>
            <m:sty m:val="p"/>
          </m:rPr>
          <m:t>=</m:t>
        </m:r>
        <m:r>
          <m:t>a</m:t>
        </m:r>
        <m:r>
          <m:t>x</m:t>
        </m:r>
        <m:r>
          <m:rPr>
            <m:sty m:val="p"/>
          </m:rPr>
          <m:t>+</m:t>
        </m:r>
        <m:r>
          <m:t>b</m:t>
        </m:r>
      </m:oMath>
    </w:p>
    <w:p>
      <w:pPr>
        <w:pStyle w:val="Compact"/>
        <w:numPr>
          <w:ilvl w:val="0"/>
          <w:numId w:val="1002"/>
        </w:numPr>
      </w:pPr>
      <w:r>
        <w:t xml:space="preserve">Power:</w:t>
      </w:r>
      <w:r>
        <w:t xml:space="preserve"> </w:t>
      </w:r>
      <m:oMath>
        <m:r>
          <m:t>y</m:t>
        </m:r>
        <m:r>
          <m:rPr>
            <m:sty m:val="p"/>
          </m:rPr>
          <m:t>=</m:t>
        </m:r>
        <m:r>
          <m:t>a</m:t>
        </m:r>
        <m:sSup>
          <m:e>
            <m:r>
              <m:t>x</m:t>
            </m:r>
          </m:e>
          <m:sup>
            <m:r>
              <m:t>b</m:t>
            </m:r>
          </m:sup>
        </m:sSup>
        <m:r>
          <m:rPr>
            <m:sty m:val="p"/>
          </m:rPr>
          <m:t>+</m:t>
        </m:r>
        <m:r>
          <m:t>c</m:t>
        </m:r>
      </m:oMath>
    </w:p>
    <w:p>
      <w:pPr>
        <w:pStyle w:val="FirstParagraph"/>
      </w:pPr>
      <w:r>
        <w:t xml:space="preserve">Prior to fitting, rows with zero values in the current predictor were excluded (e.g., missing</w:t>
      </w:r>
      <w:r>
        <w:t xml:space="preserve"> </w:t>
      </w:r>
      <w:r>
        <w:rPr>
          <w:rStyle w:val="VerbatimChar"/>
        </w:rPr>
        <w:t xml:space="preserve">TotalLength</w:t>
      </w:r>
      <w:r>
        <w:t xml:space="preserve"> </w:t>
      </w:r>
      <w:r>
        <w:t xml:space="preserve">entries) so that each measurement-moment model used only valid observations for that predictor. Peak joint moments were analyzed in absolute-value form to compare scaling relationships independent of sign convention and moment direction, focusing the analysis on magnitude scaling.</w:t>
      </w:r>
    </w:p>
    <w:p>
      <w:pPr>
        <w:pStyle w:val="BodyText"/>
      </w:pPr>
      <w:r>
        <w:t xml:space="preserve">All models were fit with nonlinear least squares (</w:t>
      </w:r>
      <w:r>
        <w:rPr>
          <w:rStyle w:val="VerbatimChar"/>
        </w:rPr>
        <w:t xml:space="preserve">scipy.optimize.curve_fit</w:t>
      </w:r>
      <w:r>
        <w:t xml:space="preserve">, max function evaluations = 50,000). Goodness of fit was quantified using the coefficient of determination,</w:t>
      </w:r>
      <w:r>
        <w:t xml:space="preserve"> </w:t>
      </w:r>
      <m:oMath>
        <m:sSup>
          <m:e>
            <m:r>
              <m:t>R</m:t>
            </m:r>
          </m:e>
          <m:sup>
            <m:r>
              <m:t>2</m:t>
            </m:r>
          </m:sup>
        </m:sSup>
        <m:r>
          <m:rPr>
            <m:sty m:val="p"/>
          </m:rPr>
          <m:t>=</m:t>
        </m:r>
        <m:r>
          <m:t>1</m:t>
        </m:r>
        <m:r>
          <m:rPr>
            <m:sty m:val="p"/>
          </m:rPr>
          <m:t>−</m:t>
        </m:r>
        <m:f>
          <m:fPr>
            <m:type m:val="bar"/>
          </m:fPr>
          <m:num>
            <m:r>
              <m:t>S</m:t>
            </m:r>
            <m:sSub>
              <m:e>
                <m:r>
                  <m:t>S</m:t>
                </m:r>
              </m:e>
              <m:sub>
                <m:r>
                  <m:t>r</m:t>
                </m:r>
                <m:r>
                  <m:t>e</m:t>
                </m:r>
                <m:r>
                  <m:t>s</m:t>
                </m:r>
              </m:sub>
            </m:sSub>
          </m:num>
          <m:den>
            <m:r>
              <m:t>S</m:t>
            </m:r>
            <m:sSub>
              <m:e>
                <m:r>
                  <m:t>S</m:t>
                </m:r>
              </m:e>
              <m:sub>
                <m:r>
                  <m:t>t</m:t>
                </m:r>
                <m:r>
                  <m:t>o</m:t>
                </m:r>
                <m:r>
                  <m:t>t</m:t>
                </m:r>
              </m:sub>
            </m:sSub>
          </m:den>
        </m:f>
      </m:oMath>
      <w:r>
        <w:t xml:space="preserve">, computed for each measurement-moment-model combination. Higher</w:t>
      </w:r>
      <w:r>
        <w:t xml:space="preserve"> </w:t>
      </w:r>
      <m:oMath>
        <m:sSup>
          <m:e>
            <m:r>
              <m:t>R</m:t>
            </m:r>
          </m:e>
          <m:sup>
            <m:r>
              <m:t>2</m:t>
            </m:r>
          </m:sup>
        </m:sSup>
      </m:oMath>
      <w:r>
        <w:t xml:space="preserve"> </w:t>
      </w:r>
      <w:r>
        <w:t xml:space="preserve">indicates that the candidate measurement explains a larger fraction of variation in joint-moment magnitude under the specified model form.</w:t>
      </w:r>
    </w:p>
    <w:p>
      <w:pPr>
        <w:pStyle w:val="BodyText"/>
      </w:pPr>
      <w:r>
        <w:t xml:space="preserve">In this chapter,</w:t>
      </w:r>
      <w:r>
        <w:t xml:space="preserve"> </w:t>
      </w:r>
      <m:oMath>
        <m:sSup>
          <m:e>
            <m:r>
              <m:t>R</m:t>
            </m:r>
          </m:e>
          <m:sup>
            <m:r>
              <m:t>2</m:t>
            </m:r>
          </m:sup>
        </m:sSup>
      </m:oMath>
      <w:r>
        <w:t xml:space="preserve"> </w:t>
      </w:r>
      <w:r>
        <w:t xml:space="preserve">is used as an initial screening metric for plausible normalization variables rather than as a direct test of normalization effectiveness. This distinction is important: a strong scaling fit suggests a useful candidate denominator, but does not by itself confirm that post-normalization values are independent of body size. A closer replication of the Wannop framework would additionally test for residual dependence after normalization.</w:t>
      </w:r>
    </w:p>
    <w:bookmarkEnd w:id="86"/>
    <w:bookmarkStart w:id="93" w:name="results-1"/>
    <w:p>
      <w:pPr>
        <w:pStyle w:val="Heading2"/>
      </w:pPr>
      <w:r>
        <w:t xml:space="preserve">3.3 Results</w:t>
      </w:r>
    </w:p>
    <w:p>
      <w:pPr>
        <w:pStyle w:val="FirstParagraph"/>
      </w:pPr>
      <w:r>
        <w:t xml:space="preserve">We summarized the resulting</w:t>
      </w:r>
      <w:r>
        <w:t xml:space="preserve"> </w:t>
      </w:r>
      <m:oMath>
        <m:sSup>
          <m:e>
            <m:r>
              <m:t>R</m:t>
            </m:r>
          </m:e>
          <m:sup>
            <m:r>
              <m:t>2</m:t>
            </m:r>
          </m:sup>
        </m:sSup>
      </m:oMath>
      <w:r>
        <w:t xml:space="preserve"> </w:t>
      </w:r>
      <w:r>
        <w:t xml:space="preserve">values in heatmaps (measurement × joint moment) separately for linear</w:t>
      </w:r>
      <w:r>
        <w:t xml:space="preserve"> </w:t>
      </w:r>
      <w:hyperlink w:anchor="fig-lin-heatmap">
        <w:r>
          <w:rPr>
            <w:rStyle w:val="Hyperlink"/>
          </w:rPr>
          <w:t xml:space="preserve">Figure 3.1</w:t>
        </w:r>
      </w:hyperlink>
      <w:r>
        <w:t xml:space="preserve"> </w:t>
      </w:r>
      <w:r>
        <w:t xml:space="preserve">and power</w:t>
      </w:r>
      <w:r>
        <w:t xml:space="preserve"> </w:t>
      </w:r>
      <w:hyperlink w:anchor="fig-pow-heatmap">
        <w:r>
          <w:rPr>
            <w:rStyle w:val="Hyperlink"/>
          </w:rPr>
          <w:t xml:space="preserve">Figure 3.2</w:t>
        </w:r>
      </w:hyperlink>
      <w:r>
        <w:t xml:space="preserve"> </w:t>
      </w:r>
      <w:r>
        <w:t xml:space="preserve">fits to identify the most consistent candidate predictors across joints. Viewing both model classes side-by-side helps distinguish whether a predictor is broadly useful regardless of model form or only performs well under one functional relationship.</w:t>
      </w:r>
    </w:p>
    <w:p>
      <w:pPr>
        <w:pStyle w:val="SourceCode"/>
      </w:pP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polars </w:t>
      </w:r>
      <w:r>
        <w:rPr>
          <w:rStyle w:val="ImportTok"/>
        </w:rPr>
        <w:t xml:space="preserve">as</w:t>
      </w:r>
      <w:r>
        <w:rPr>
          <w:rStyle w:val="NormalTok"/>
        </w:rPr>
        <w:t xml:space="preserve"> pl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br/>
      </w:r>
      <w:r>
        <w:rPr>
          <w:rStyle w:val="NormalTok"/>
        </w:rPr>
        <w:t xml:space="preserve">df </w:t>
      </w:r>
      <w:r>
        <w:rPr>
          <w:rStyle w:val="OperatorTok"/>
        </w:rPr>
        <w:t xml:space="preserve">=</w:t>
      </w:r>
      <w:r>
        <w:rPr>
          <w:rStyle w:val="NormalTok"/>
        </w:rPr>
        <w:t xml:space="preserve"> pl.read_csv(Path(</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"normalization_data.csv"</w:t>
      </w:r>
      <w:r>
        <w:rPr>
          <w:rStyle w:val="NormalTok"/>
        </w:rPr>
        <w:t xml:space="preserve">)</w:t>
      </w:r>
      <w:r>
        <w:br/>
      </w:r>
      <w:r>
        <w:br/>
      </w:r>
      <w:r>
        <w:rPr>
          <w:rStyle w:val="KeywordTok"/>
        </w:rPr>
        <w:t xml:space="preserve">def</w:t>
      </w:r>
      <w:r>
        <w:rPr>
          <w:rStyle w:val="NormalTok"/>
        </w:rPr>
        <w:t xml:space="preserve"> r2_score(y_true, y_pred):</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ss_tot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Handles horizontal data: perfect fit if ss_res is also 0</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ss_res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np.clip(</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lin_off(xx, 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xx </w:t>
      </w:r>
      <w:r>
        <w:rPr>
          <w:rStyle w:val="OperatorTok"/>
        </w:rPr>
        <w:t xml:space="preserve">+</w:t>
      </w:r>
      <w:r>
        <w:rPr>
          <w:rStyle w:val="NormalTok"/>
        </w:rPr>
        <w:t xml:space="preserve"> b</w:t>
      </w:r>
      <w:r>
        <w:br/>
      </w:r>
      <w:r>
        <w:br/>
      </w:r>
      <w:r>
        <w:rPr>
          <w:rStyle w:val="KeywordTok"/>
        </w:rPr>
        <w:t xml:space="preserve">def</w:t>
      </w:r>
      <w:r>
        <w:rPr>
          <w:rStyle w:val="NormalTok"/>
        </w:rPr>
        <w:t xml:space="preserve"> pow_off(xx, a, b, c):</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(xx </w:t>
      </w:r>
      <w:r>
        <w:rPr>
          <w:rStyle w:val="OperatorTok"/>
        </w:rPr>
        <w:t xml:space="preserve">**</w:t>
      </w:r>
      <w:r>
        <w:rPr>
          <w:rStyle w:val="NormalTok"/>
        </w:rPr>
        <w:t xml:space="preserve"> b) </w:t>
      </w:r>
      <w:r>
        <w:rPr>
          <w:rStyle w:val="OperatorTok"/>
        </w:rPr>
        <w:t xml:space="preserve">+</w:t>
      </w:r>
      <w:r>
        <w:rPr>
          <w:rStyle w:val="NormalTok"/>
        </w:rPr>
        <w:t xml:space="preserve"> c</w:t>
      </w:r>
      <w:r>
        <w:br/>
      </w:r>
      <w:r>
        <w:br/>
      </w:r>
      <w:r>
        <w:rPr>
          <w:rStyle w:val="CommentTok"/>
        </w:rPr>
        <w:t xml:space="preserve"># def exp_off(xx, a, b, c):</w:t>
      </w:r>
      <w:r>
        <w:br/>
      </w:r>
      <w:r>
        <w:rPr>
          <w:rStyle w:val="CommentTok"/>
        </w:rPr>
        <w:t xml:space="preserve">#     z = np.clip(xx, a_min=1e-6, a_max=np.inf)  # Avoid issues with log(0) in curve fitting</w:t>
      </w:r>
      <w:r>
        <w:br/>
      </w:r>
      <w:r>
        <w:rPr>
          <w:rStyle w:val="CommentTok"/>
        </w:rPr>
        <w:t xml:space="preserve">#     return a * np.exp(b * z) + c</w:t>
      </w:r>
      <w:r>
        <w:br/>
      </w:r>
      <w:r>
        <w:br/>
      </w:r>
      <w:r>
        <w:rPr>
          <w:rStyle w:val="NormalTok"/>
        </w:rPr>
        <w:t xml:space="preserve">fit_funcs </w:t>
      </w:r>
      <w:r>
        <w:rPr>
          <w:rStyle w:val="OperatorTok"/>
        </w:rPr>
        <w:t xml:space="preserve">=</w:t>
      </w:r>
      <w:r>
        <w:rPr>
          <w:rStyle w:val="NormalTok"/>
        </w:rPr>
        <w:t xml:space="preserve"> {</w:t>
      </w:r>
      <w:r>
        <w:br/>
      </w:r>
      <w:r>
        <w:rPr>
          <w:rStyle w:val="NormalTok"/>
        </w:rPr>
        <w:t xml:space="preserve">  </w:t>
      </w:r>
      <w:r>
        <w:rPr>
          <w:rStyle w:val="StringTok"/>
        </w:rPr>
        <w:t xml:space="preserve">"Linear"</w:t>
      </w:r>
      <w:r>
        <w:rPr>
          <w:rStyle w:val="NormalTok"/>
        </w:rPr>
        <w:t xml:space="preserve">: lin_off, </w:t>
      </w:r>
      <w:r>
        <w:br/>
      </w:r>
      <w:r>
        <w:rPr>
          <w:rStyle w:val="NormalTok"/>
        </w:rPr>
        <w:t xml:space="preserve">  </w:t>
      </w:r>
      <w:r>
        <w:rPr>
          <w:rStyle w:val="StringTok"/>
        </w:rPr>
        <w:t xml:space="preserve">"Power"</w:t>
      </w:r>
      <w:r>
        <w:rPr>
          <w:rStyle w:val="NormalTok"/>
        </w:rPr>
        <w:t xml:space="preserve">: pow_off, </w:t>
      </w:r>
      <w:r>
        <w:br/>
      </w:r>
      <w:r>
        <w:rPr>
          <w:rStyle w:val="NormalTok"/>
        </w:rPr>
        <w:t xml:space="preserve">  </w:t>
      </w:r>
      <w:r>
        <w:rPr>
          <w:rStyle w:val="CommentTok"/>
        </w:rPr>
        <w:t xml:space="preserve"># "Exponential": exp_off</w:t>
      </w:r>
      <w:r>
        <w:br/>
      </w:r>
      <w:r>
        <w:rPr>
          <w:rStyle w:val="NormalTok"/>
        </w:rPr>
        <w:t xml:space="preserve">}</w:t>
      </w:r>
      <w:r>
        <w:br/>
      </w:r>
      <w:r>
        <w:br/>
      </w:r>
      <w:r>
        <w:rPr>
          <w:rStyle w:val="NormalTok"/>
        </w:rPr>
        <w:t xml:space="preserve">raw_measurements </w:t>
      </w:r>
      <w:r>
        <w:rPr>
          <w:rStyle w:val="OperatorTok"/>
        </w:rPr>
        <w:t xml:space="preserve">=</w:t>
      </w:r>
      <w:r>
        <w:rPr>
          <w:rStyle w:val="NormalTok"/>
        </w:rPr>
        <w:t xml:space="preserve"> [</w:t>
      </w:r>
      <w:r>
        <w:rPr>
          <w:rStyle w:val="StringTok"/>
        </w:rPr>
        <w:t xml:space="preserve">"Mass"</w:t>
      </w:r>
      <w:r>
        <w:rPr>
          <w:rStyle w:val="NormalTok"/>
        </w:rPr>
        <w:t xml:space="preserve">, </w:t>
      </w:r>
      <w:r>
        <w:rPr>
          <w:rStyle w:val="StringTok"/>
        </w:rPr>
        <w:t xml:space="preserve">"TotalLength"</w:t>
      </w:r>
      <w:r>
        <w:rPr>
          <w:rStyle w:val="NormalTok"/>
        </w:rPr>
        <w:t xml:space="preserve">, </w:t>
      </w:r>
      <w:r>
        <w:rPr>
          <w:rStyle w:val="StringTok"/>
        </w:rPr>
        <w:t xml:space="preserve">"RightTibiaLength"</w:t>
      </w:r>
      <w:r>
        <w:rPr>
          <w:rStyle w:val="NormalTok"/>
        </w:rPr>
        <w:t xml:space="preserve">, </w:t>
      </w:r>
      <w:r>
        <w:rPr>
          <w:rStyle w:val="StringTok"/>
        </w:rPr>
        <w:t xml:space="preserve">"RightFemurLength"</w:t>
      </w:r>
      <w:r>
        <w:rPr>
          <w:rStyle w:val="NormalTok"/>
        </w:rPr>
        <w:t xml:space="preserve">, </w:t>
      </w:r>
      <w:r>
        <w:rPr>
          <w:rStyle w:val="StringTok"/>
        </w:rPr>
        <w:t xml:space="preserve">"RightFootLength"</w:t>
      </w:r>
      <w:r>
        <w:rPr>
          <w:rStyle w:val="NormalTok"/>
        </w:rPr>
        <w:t xml:space="preserve">, </w:t>
      </w:r>
      <w:r>
        <w:rPr>
          <w:rStyle w:val="StringTok"/>
        </w:rPr>
        <w:t xml:space="preserve">"RightWalkingSpeed"</w:t>
      </w:r>
      <w:r>
        <w:rPr>
          <w:rStyle w:val="NormalTok"/>
        </w:rPr>
        <w:t xml:space="preserve">]</w:t>
      </w:r>
      <w:r>
        <w:br/>
      </w:r>
      <w:r>
        <w:rPr>
          <w:rStyle w:val="NormalTok"/>
        </w:rPr>
        <w:t xml:space="preserve">computed_measurements </w:t>
      </w:r>
      <w:r>
        <w:rPr>
          <w:rStyle w:val="OperatorTok"/>
        </w:rPr>
        <w:t xml:space="preserve">=</w:t>
      </w:r>
      <w:r>
        <w:rPr>
          <w:rStyle w:val="NormalTok"/>
        </w:rPr>
        <w:t xml:space="preserve"> {</w:t>
      </w:r>
      <w:r>
        <w:br/>
      </w:r>
      <w:r>
        <w:rPr>
          <w:rStyle w:val="NormalTok"/>
        </w:rPr>
        <w:t xml:space="preserve">  </w:t>
      </w:r>
      <w:r>
        <w:rPr>
          <w:rStyle w:val="StringTok"/>
        </w:rPr>
        <w:t xml:space="preserve">"RightLegLength"</w:t>
      </w:r>
      <w:r>
        <w:rPr>
          <w:rStyle w:val="NormalTok"/>
        </w:rPr>
        <w:t xml:space="preserve">: </w:t>
      </w:r>
      <w:r>
        <w:rPr>
          <w:rStyle w:val="KeywordTok"/>
        </w:rPr>
        <w:t xml:space="preserve">lambda</w:t>
      </w:r>
      <w:r>
        <w:rPr>
          <w:rStyle w:val="NormalTok"/>
        </w:rPr>
        <w:t xml:space="preserve"> df: df[</w:t>
      </w:r>
      <w:r>
        <w:rPr>
          <w:rStyle w:val="StringTok"/>
        </w:rPr>
        <w:t xml:space="preserve">"RightTibiaLength"</w:t>
      </w:r>
      <w:r>
        <w:rPr>
          <w:rStyle w:val="NormalTok"/>
        </w:rPr>
        <w:t xml:space="preserve">] </w:t>
      </w:r>
      <w:r>
        <w:rPr>
          <w:rStyle w:val="OperatorTok"/>
        </w:rPr>
        <w:t xml:space="preserve">+</w:t>
      </w:r>
      <w:r>
        <w:rPr>
          <w:rStyle w:val="NormalTok"/>
        </w:rPr>
        <w:t xml:space="preserve"> df[</w:t>
      </w:r>
      <w:r>
        <w:rPr>
          <w:rStyle w:val="StringTok"/>
        </w:rPr>
        <w:t xml:space="preserve">"RightFemurLength"</w:t>
      </w:r>
      <w:r>
        <w:rPr>
          <w:rStyle w:val="NormalTok"/>
        </w:rPr>
        <w:t xml:space="preserve">],</w:t>
      </w:r>
      <w:r>
        <w:br/>
      </w:r>
      <w:r>
        <w:rPr>
          <w:rStyle w:val="NormalTok"/>
        </w:rPr>
        <w:t xml:space="preserve">  </w:t>
      </w:r>
      <w:r>
        <w:rPr>
          <w:rStyle w:val="StringTok"/>
        </w:rPr>
        <w:t xml:space="preserve">"Mass*TotalLength"</w:t>
      </w:r>
      <w:r>
        <w:rPr>
          <w:rStyle w:val="NormalTok"/>
        </w:rPr>
        <w:t xml:space="preserve">: </w:t>
      </w:r>
      <w:r>
        <w:rPr>
          <w:rStyle w:val="KeywordTok"/>
        </w:rPr>
        <w:t xml:space="preserve">lambda</w:t>
      </w:r>
      <w:r>
        <w:rPr>
          <w:rStyle w:val="NormalTok"/>
        </w:rPr>
        <w:t xml:space="preserve"> df: df[</w:t>
      </w:r>
      <w:r>
        <w:rPr>
          <w:rStyle w:val="StringTok"/>
        </w:rPr>
        <w:t xml:space="preserve">"Mass"</w:t>
      </w:r>
      <w:r>
        <w:rPr>
          <w:rStyle w:val="NormalTok"/>
        </w:rPr>
        <w:t xml:space="preserve">] </w:t>
      </w:r>
      <w:r>
        <w:rPr>
          <w:rStyle w:val="OperatorTok"/>
        </w:rPr>
        <w:t xml:space="preserve">*</w:t>
      </w:r>
      <w:r>
        <w:rPr>
          <w:rStyle w:val="NormalTok"/>
        </w:rPr>
        <w:t xml:space="preserve"> df[</w:t>
      </w:r>
      <w:r>
        <w:rPr>
          <w:rStyle w:val="StringTok"/>
        </w:rPr>
        <w:t xml:space="preserve">"TotalLength"</w:t>
      </w:r>
      <w:r>
        <w:rPr>
          <w:rStyle w:val="NormalTok"/>
        </w:rPr>
        <w:t xml:space="preserve">],</w:t>
      </w:r>
      <w:r>
        <w:br/>
      </w:r>
      <w:r>
        <w:rPr>
          <w:rStyle w:val="NormalTok"/>
        </w:rPr>
        <w:t xml:space="preserve">  </w:t>
      </w:r>
      <w:r>
        <w:rPr>
          <w:rStyle w:val="StringTok"/>
        </w:rPr>
        <w:t xml:space="preserve">"Mass*RightTibiaLength"</w:t>
      </w:r>
      <w:r>
        <w:rPr>
          <w:rStyle w:val="NormalTok"/>
        </w:rPr>
        <w:t xml:space="preserve">: </w:t>
      </w:r>
      <w:r>
        <w:rPr>
          <w:rStyle w:val="KeywordTok"/>
        </w:rPr>
        <w:t xml:space="preserve">lambda</w:t>
      </w:r>
      <w:r>
        <w:rPr>
          <w:rStyle w:val="NormalTok"/>
        </w:rPr>
        <w:t xml:space="preserve"> df: df[</w:t>
      </w:r>
      <w:r>
        <w:rPr>
          <w:rStyle w:val="StringTok"/>
        </w:rPr>
        <w:t xml:space="preserve">"Mass"</w:t>
      </w:r>
      <w:r>
        <w:rPr>
          <w:rStyle w:val="NormalTok"/>
        </w:rPr>
        <w:t xml:space="preserve">] </w:t>
      </w:r>
      <w:r>
        <w:rPr>
          <w:rStyle w:val="OperatorTok"/>
        </w:rPr>
        <w:t xml:space="preserve">*</w:t>
      </w:r>
      <w:r>
        <w:rPr>
          <w:rStyle w:val="NormalTok"/>
        </w:rPr>
        <w:t xml:space="preserve"> df[</w:t>
      </w:r>
      <w:r>
        <w:rPr>
          <w:rStyle w:val="StringTok"/>
        </w:rPr>
        <w:t xml:space="preserve">"RightTibiaLength"</w:t>
      </w:r>
      <w:r>
        <w:rPr>
          <w:rStyle w:val="NormalTok"/>
        </w:rPr>
        <w:t xml:space="preserve">],</w:t>
      </w:r>
      <w:r>
        <w:br/>
      </w:r>
      <w:r>
        <w:rPr>
          <w:rStyle w:val="NormalTok"/>
        </w:rPr>
        <w:t xml:space="preserve">  </w:t>
      </w:r>
      <w:r>
        <w:rPr>
          <w:rStyle w:val="StringTok"/>
        </w:rPr>
        <w:t xml:space="preserve">"Mass*Speed"</w:t>
      </w:r>
      <w:r>
        <w:rPr>
          <w:rStyle w:val="NormalTok"/>
        </w:rPr>
        <w:t xml:space="preserve">: </w:t>
      </w:r>
      <w:r>
        <w:rPr>
          <w:rStyle w:val="KeywordTok"/>
        </w:rPr>
        <w:t xml:space="preserve">lambda</w:t>
      </w:r>
      <w:r>
        <w:rPr>
          <w:rStyle w:val="NormalTok"/>
        </w:rPr>
        <w:t xml:space="preserve"> df: df[</w:t>
      </w:r>
      <w:r>
        <w:rPr>
          <w:rStyle w:val="StringTok"/>
        </w:rPr>
        <w:t xml:space="preserve">"Mass"</w:t>
      </w:r>
      <w:r>
        <w:rPr>
          <w:rStyle w:val="NormalTok"/>
        </w:rPr>
        <w:t xml:space="preserve">] </w:t>
      </w:r>
      <w:r>
        <w:rPr>
          <w:rStyle w:val="OperatorTok"/>
        </w:rPr>
        <w:t xml:space="preserve">*</w:t>
      </w:r>
      <w:r>
        <w:rPr>
          <w:rStyle w:val="NormalTok"/>
        </w:rPr>
        <w:t xml:space="preserve"> df[</w:t>
      </w:r>
      <w:r>
        <w:rPr>
          <w:rStyle w:val="StringTok"/>
        </w:rPr>
        <w:t xml:space="preserve">"RightWalkingSpeed"</w:t>
      </w:r>
      <w:r>
        <w:rPr>
          <w:rStyle w:val="NormalTok"/>
        </w:rPr>
        <w:t xml:space="preserve">],</w:t>
      </w:r>
      <w:r>
        <w:br/>
      </w:r>
      <w:r>
        <w:rPr>
          <w:rStyle w:val="NormalTok"/>
        </w:rPr>
        <w:t xml:space="preserve">}</w:t>
      </w:r>
      <w:r>
        <w:br/>
      </w:r>
      <w:r>
        <w:rPr>
          <w:rStyle w:val="NormalTok"/>
        </w:rPr>
        <w:t xml:space="preserve">measurements </w:t>
      </w:r>
      <w:r>
        <w:rPr>
          <w:rStyle w:val="OperatorTok"/>
        </w:rPr>
        <w:t xml:space="preserve">=</w:t>
      </w:r>
      <w:r>
        <w:rPr>
          <w:rStyle w:val="NormalTok"/>
        </w:rPr>
        <w:t xml:space="preserve"> raw_measurements </w:t>
      </w:r>
      <w:r>
        <w:rPr>
          <w:rStyle w:val="OperatorTok"/>
        </w:rPr>
        <w:t xml:space="preserve">+</w:t>
      </w:r>
      <w:r>
        <w:rPr>
          <w:rStyle w:val="NormalTok"/>
        </w:rPr>
        <w:t xml:space="preserve"> </w:t>
      </w:r>
      <w:r>
        <w:rPr>
          <w:rStyle w:val="BuiltInTok"/>
        </w:rPr>
        <w:t xml:space="preserve">list</w:t>
      </w:r>
      <w:r>
        <w:rPr>
          <w:rStyle w:val="NormalTok"/>
        </w:rPr>
        <w:t xml:space="preserve">(computed_measurements.keys())</w:t>
      </w:r>
      <w:r>
        <w:br/>
      </w:r>
      <w:r>
        <w:rPr>
          <w:rStyle w:val="NormalTok"/>
        </w:rPr>
        <w:t xml:space="preserve">moments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df.columns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measurements </w:t>
      </w:r>
      <w:r>
        <w:rPr>
          <w:rStyle w:val="KeywordTok"/>
        </w:rPr>
        <w:t xml:space="preserve">and</w:t>
      </w:r>
      <w:r>
        <w:rPr>
          <w:rStyle w:val="NormalTok"/>
        </w:rPr>
        <w:t xml:space="preserve"> col </w:t>
      </w:r>
      <w:r>
        <w:rPr>
          <w:rStyle w:val="OperatorTok"/>
        </w:rPr>
        <w:t xml:space="preserve">!=</w:t>
      </w:r>
      <w:r>
        <w:rPr>
          <w:rStyle w:val="NormalTok"/>
        </w:rPr>
        <w:t xml:space="preserve"> </w:t>
      </w:r>
      <w:r>
        <w:rPr>
          <w:rStyle w:val="StringTok"/>
        </w:rPr>
        <w:t xml:space="preserve">"Subject"</w:t>
      </w:r>
      <w:r>
        <w:rPr>
          <w:rStyle w:val="NormalTok"/>
        </w:rPr>
        <w:t xml:space="preserve">] </w:t>
      </w:r>
      <w:r>
        <w:br/>
      </w:r>
      <w:r>
        <w:br/>
      </w:r>
      <w:r>
        <w:rPr>
          <w:rStyle w:val="NormalTok"/>
        </w:rPr>
        <w:t xml:space="preserve">df </w:t>
      </w:r>
      <w:r>
        <w:rPr>
          <w:rStyle w:val="OperatorTok"/>
        </w:rPr>
        <w:t xml:space="preserve">=</w:t>
      </w:r>
      <w:r>
        <w:rPr>
          <w:rStyle w:val="NormalTok"/>
        </w:rPr>
        <w:t xml:space="preserve"> df.with_columns([</w:t>
      </w:r>
      <w:r>
        <w:br/>
      </w:r>
      <w:r>
        <w:rPr>
          <w:rStyle w:val="NormalTok"/>
        </w:rPr>
        <w:t xml:space="preserve">    </w:t>
      </w:r>
      <w:r>
        <w:rPr>
          <w:rStyle w:val="OperatorTok"/>
        </w:rPr>
        <w:t xml:space="preserve">*</w:t>
      </w:r>
      <w:r>
        <w:rPr>
          <w:rStyle w:val="NormalTok"/>
        </w:rPr>
        <w:t xml:space="preserve">(computed_measurements[name](df).alias(name) </w:t>
      </w:r>
      <w:r>
        <w:rPr>
          <w:rStyle w:val="ControlFlowTok"/>
        </w:rPr>
        <w:t xml:space="preserve">for</w:t>
      </w:r>
      <w:r>
        <w:rPr>
          <w:rStyle w:val="NormalTok"/>
        </w:rPr>
        <w:t xml:space="preserve"> name </w:t>
      </w:r>
      <w:r>
        <w:rPr>
          <w:rStyle w:val="KeywordTok"/>
        </w:rPr>
        <w:t xml:space="preserve">in</w:t>
      </w:r>
      <w:r>
        <w:rPr>
          <w:rStyle w:val="NormalTok"/>
        </w:rPr>
        <w:t xml:space="preserve"> computed_measurements)</w:t>
      </w:r>
      <w:r>
        <w:br/>
      </w:r>
      <w:r>
        <w:rPr>
          <w:rStyle w:val="NormalTok"/>
        </w:rPr>
        <w:t xml:space="preserve">])</w:t>
      </w:r>
      <w:r>
        <w:br/>
      </w:r>
      <w:r>
        <w:rPr>
          <w:rStyle w:val="NormalTok"/>
        </w:rPr>
        <w:t xml:space="preserve">fit_results </w:t>
      </w:r>
      <w:r>
        <w:rPr>
          <w:rStyle w:val="OperatorTok"/>
        </w:rPr>
        <w:t xml:space="preserve">=</w:t>
      </w:r>
      <w:r>
        <w:rPr>
          <w:rStyle w:val="NormalTok"/>
        </w:rPr>
        <w:t xml:space="preserve"> pl.DataFrame(schema</w:t>
      </w:r>
      <w:r>
        <w:rPr>
          <w:rStyle w:val="OperatorTok"/>
        </w:rPr>
        <w:t xml:space="preserve">=</w:t>
      </w:r>
      <w:r>
        <w:rPr>
          <w:rStyle w:val="NormalTok"/>
        </w:rPr>
        <w:t xml:space="preserve">{</w:t>
      </w:r>
      <w:r>
        <w:br/>
      </w:r>
      <w:r>
        <w:rPr>
          <w:rStyle w:val="NormalTok"/>
        </w:rPr>
        <w:t xml:space="preserve">  </w:t>
      </w:r>
      <w:r>
        <w:rPr>
          <w:rStyle w:val="StringTok"/>
        </w:rPr>
        <w:t xml:space="preserve">"measurement"</w:t>
      </w:r>
      <w:r>
        <w:rPr>
          <w:rStyle w:val="NormalTok"/>
        </w:rPr>
        <w:t xml:space="preserve">: pl.String,</w:t>
      </w:r>
      <w:r>
        <w:br/>
      </w:r>
      <w:r>
        <w:rPr>
          <w:rStyle w:val="NormalTok"/>
        </w:rPr>
        <w:t xml:space="preserve">  </w:t>
      </w:r>
      <w:r>
        <w:rPr>
          <w:rStyle w:val="StringTok"/>
        </w:rPr>
        <w:t xml:space="preserve">"moment"</w:t>
      </w:r>
      <w:r>
        <w:rPr>
          <w:rStyle w:val="NormalTok"/>
        </w:rPr>
        <w:t xml:space="preserve">: pl.String,</w:t>
      </w:r>
      <w:r>
        <w:br/>
      </w:r>
      <w:r>
        <w:rPr>
          <w:rStyle w:val="NormalTok"/>
        </w:rPr>
        <w:t xml:space="preserve">  </w:t>
      </w:r>
      <w:r>
        <w:rPr>
          <w:rStyle w:val="StringTok"/>
        </w:rPr>
        <w:t xml:space="preserve">"fit_type"</w:t>
      </w:r>
      <w:r>
        <w:rPr>
          <w:rStyle w:val="NormalTok"/>
        </w:rPr>
        <w:t xml:space="preserve">: pl.String,</w:t>
      </w:r>
      <w:r>
        <w:br/>
      </w:r>
      <w:r>
        <w:rPr>
          <w:rStyle w:val="NormalTok"/>
        </w:rPr>
        <w:t xml:space="preserve">  </w:t>
      </w:r>
      <w:r>
        <w:rPr>
          <w:rStyle w:val="StringTok"/>
        </w:rPr>
        <w:t xml:space="preserve">"parameters"</w:t>
      </w:r>
      <w:r>
        <w:rPr>
          <w:rStyle w:val="NormalTok"/>
        </w:rPr>
        <w:t xml:space="preserve">: pl.List(pl.Float64),</w:t>
      </w:r>
      <w:r>
        <w:br/>
      </w:r>
      <w:r>
        <w:rPr>
          <w:rStyle w:val="NormalTok"/>
        </w:rPr>
        <w:t xml:space="preserve">  </w:t>
      </w:r>
      <w:r>
        <w:rPr>
          <w:rStyle w:val="StringTok"/>
        </w:rPr>
        <w:t xml:space="preserve">"covariance"</w:t>
      </w:r>
      <w:r>
        <w:rPr>
          <w:rStyle w:val="NormalTok"/>
        </w:rPr>
        <w:t xml:space="preserve">: pl.List(pl.Float64),</w:t>
      </w:r>
      <w:r>
        <w:br/>
      </w:r>
      <w:r>
        <w:rPr>
          <w:rStyle w:val="NormalTok"/>
        </w:rPr>
        <w:t xml:space="preserve">  </w:t>
      </w:r>
      <w:r>
        <w:rPr>
          <w:rStyle w:val="StringTok"/>
        </w:rPr>
        <w:t xml:space="preserve">"r2"</w:t>
      </w:r>
      <w:r>
        <w:rPr>
          <w:rStyle w:val="NormalTok"/>
        </w:rPr>
        <w:t xml:space="preserve">: pl.Float64,</w:t>
      </w:r>
      <w:r>
        <w:br/>
      </w:r>
      <w:r>
        <w:rPr>
          <w:rStyle w:val="NormalTok"/>
        </w:rPr>
        <w:t xml:space="preserve">})</w:t>
      </w:r>
      <w:r>
        <w:br/>
      </w:r>
      <w:r>
        <w:br/>
      </w:r>
      <w:r>
        <w:rPr>
          <w:rStyle w:val="ControlFlowTok"/>
        </w:rPr>
        <w:t xml:space="preserve">for</w:t>
      </w:r>
      <w:r>
        <w:rPr>
          <w:rStyle w:val="NormalTok"/>
        </w:rPr>
        <w:t xml:space="preserve"> measurement </w:t>
      </w:r>
      <w:r>
        <w:rPr>
          <w:rStyle w:val="KeywordTok"/>
        </w:rPr>
        <w:t xml:space="preserve">in</w:t>
      </w:r>
      <w:r>
        <w:rPr>
          <w:rStyle w:val="NormalTok"/>
        </w:rPr>
        <w:t xml:space="preserve"> measurements:</w:t>
      </w:r>
      <w:r>
        <w:br/>
      </w:r>
      <w:r>
        <w:rPr>
          <w:rStyle w:val="NormalTok"/>
        </w:rPr>
        <w:t xml:space="preserve">  x </w:t>
      </w:r>
      <w:r>
        <w:rPr>
          <w:rStyle w:val="OperatorTok"/>
        </w:rPr>
        <w:t xml:space="preserve">=</w:t>
      </w:r>
      <w:r>
        <w:rPr>
          <w:rStyle w:val="NormalTok"/>
        </w:rPr>
        <w:t xml:space="preserve"> df.select(pl.col(measurement)).to_numpy().flatten()</w:t>
      </w:r>
      <w:r>
        <w:br/>
      </w:r>
      <w:r>
        <w:rPr>
          <w:rStyle w:val="NormalTok"/>
        </w:rPr>
        <w:t xml:space="preserve">  mask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np.isfinite(x)</w:t>
      </w:r>
      <w:r>
        <w:br/>
      </w:r>
      <w:r>
        <w:rPr>
          <w:rStyle w:val="NormalTok"/>
        </w:rPr>
        <w:t xml:space="preserve">  x </w:t>
      </w:r>
      <w:r>
        <w:rPr>
          <w:rStyle w:val="OperatorTok"/>
        </w:rPr>
        <w:t xml:space="preserve">=</w:t>
      </w:r>
      <w:r>
        <w:rPr>
          <w:rStyle w:val="NormalTok"/>
        </w:rPr>
        <w:t xml:space="preserve"> x[mask]</w:t>
      </w:r>
      <w:r>
        <w:br/>
      </w:r>
      <w:r>
        <w:rPr>
          <w:rStyle w:val="NormalTok"/>
        </w:rPr>
        <w:t xml:space="preserve">  </w:t>
      </w:r>
      <w:r>
        <w:rPr>
          <w:rStyle w:val="ControlFlowTok"/>
        </w:rPr>
        <w:t xml:space="preserve">for</w:t>
      </w:r>
      <w:r>
        <w:rPr>
          <w:rStyle w:val="NormalTok"/>
        </w:rPr>
        <w:t xml:space="preserve"> moment </w:t>
      </w:r>
      <w:r>
        <w:rPr>
          <w:rStyle w:val="KeywordTok"/>
        </w:rPr>
        <w:t xml:space="preserve">in</w:t>
      </w:r>
      <w:r>
        <w:rPr>
          <w:rStyle w:val="NormalTok"/>
        </w:rPr>
        <w:t xml:space="preserve"> moments:</w:t>
      </w:r>
      <w:r>
        <w:br/>
      </w:r>
      <w:r>
        <w:rPr>
          <w:rStyle w:val="NormalTok"/>
        </w:rPr>
        <w:t xml:space="preserve">    y </w:t>
      </w:r>
      <w:r>
        <w:rPr>
          <w:rStyle w:val="OperatorTok"/>
        </w:rPr>
        <w:t xml:space="preserve">=</w:t>
      </w:r>
      <w:r>
        <w:rPr>
          <w:rStyle w:val="NormalTok"/>
        </w:rPr>
        <w:t xml:space="preserve"> df.select(</w:t>
      </w:r>
      <w:r>
        <w:rPr>
          <w:rStyle w:val="BuiltInTok"/>
        </w:rPr>
        <w:t xml:space="preserve">abs</w:t>
      </w:r>
      <w:r>
        <w:rPr>
          <w:rStyle w:val="NormalTok"/>
        </w:rPr>
        <w:t xml:space="preserve">(pl.col(moment))).to_numpy().flatten()</w:t>
      </w:r>
      <w:r>
        <w:br/>
      </w:r>
      <w:r>
        <w:rPr>
          <w:rStyle w:val="NormalTok"/>
        </w:rPr>
        <w:t xml:space="preserve">    y </w:t>
      </w:r>
      <w:r>
        <w:rPr>
          <w:rStyle w:val="OperatorTok"/>
        </w:rPr>
        <w:t xml:space="preserve">=</w:t>
      </w:r>
      <w:r>
        <w:rPr>
          <w:rStyle w:val="NormalTok"/>
        </w:rPr>
        <w:t xml:space="preserve"> y[mask]</w:t>
      </w:r>
      <w:r>
        <w:br/>
      </w:r>
      <w:r>
        <w:rPr>
          <w:rStyle w:val="NormalTok"/>
        </w:rPr>
        <w:t xml:space="preserve">    </w:t>
      </w:r>
      <w:r>
        <w:rPr>
          <w:rStyle w:val="ControlFlowTok"/>
        </w:rPr>
        <w:t xml:space="preserve">for</w:t>
      </w:r>
      <w:r>
        <w:rPr>
          <w:rStyle w:val="NormalTok"/>
        </w:rPr>
        <w:t xml:space="preserve"> name, fit </w:t>
      </w:r>
      <w:r>
        <w:rPr>
          <w:rStyle w:val="KeywordTok"/>
        </w:rPr>
        <w:t xml:space="preserve">in</w:t>
      </w:r>
      <w:r>
        <w:rPr>
          <w:rStyle w:val="NormalTok"/>
        </w:rPr>
        <w:t xml:space="preserve"> fit_funcs.items():</w:t>
      </w:r>
      <w:r>
        <w:br/>
      </w:r>
      <w:r>
        <w:rPr>
          <w:rStyle w:val="NormalTok"/>
        </w:rPr>
        <w:t xml:space="preserve">      params, cov </w:t>
      </w:r>
      <w:r>
        <w:rPr>
          <w:rStyle w:val="OperatorTok"/>
        </w:rPr>
        <w:t xml:space="preserve">=</w:t>
      </w:r>
      <w:r>
        <w:rPr>
          <w:rStyle w:val="NormalTok"/>
        </w:rPr>
        <w:t xml:space="preserve"> curve_fit(fit, x, y, maxfev</w:t>
      </w:r>
      <w:r>
        <w:rPr>
          <w:rStyle w:val="OperatorTok"/>
        </w:rPr>
        <w:t xml:space="preserve">=</w:t>
      </w:r>
      <w:r>
        <w:rPr>
          <w:rStyle w:val="DecValTok"/>
        </w:rPr>
        <w:t xml:space="preserve">50000</w:t>
      </w:r>
      <w:r>
        <w:rPr>
          <w:rStyle w:val="NormalTok"/>
        </w:rPr>
        <w:t xml:space="preserve">)</w:t>
      </w:r>
      <w:r>
        <w:br/>
      </w:r>
      <w:r>
        <w:rPr>
          <w:rStyle w:val="NormalTok"/>
        </w:rPr>
        <w:t xml:space="preserve">      r2 </w:t>
      </w:r>
      <w:r>
        <w:rPr>
          <w:rStyle w:val="OperatorTok"/>
        </w:rPr>
        <w:t xml:space="preserve">=</w:t>
      </w:r>
      <w:r>
        <w:rPr>
          <w:rStyle w:val="NormalTok"/>
        </w:rPr>
        <w:t xml:space="preserve"> r2_score(y, fit(x, </w:t>
      </w:r>
      <w:r>
        <w:rPr>
          <w:rStyle w:val="OperatorTok"/>
        </w:rPr>
        <w:t xml:space="preserve">*</w:t>
      </w:r>
      <w:r>
        <w:rPr>
          <w:rStyle w:val="NormalTok"/>
        </w:rPr>
        <w:t xml:space="preserve">params))</w:t>
      </w:r>
      <w:r>
        <w:br/>
      </w:r>
      <w:r>
        <w:rPr>
          <w:rStyle w:val="NormalTok"/>
        </w:rPr>
        <w:t xml:space="preserve">      fit_results </w:t>
      </w:r>
      <w:r>
        <w:rPr>
          <w:rStyle w:val="OperatorTok"/>
        </w:rPr>
        <w:t xml:space="preserve">=</w:t>
      </w:r>
      <w:r>
        <w:rPr>
          <w:rStyle w:val="NormalTok"/>
        </w:rPr>
        <w:t xml:space="preserve"> fit_results.vstack(</w:t>
      </w:r>
      <w:r>
        <w:br/>
      </w:r>
      <w:r>
        <w:rPr>
          <w:rStyle w:val="NormalTok"/>
        </w:rPr>
        <w:t xml:space="preserve">        pl.DataFrame({</w:t>
      </w:r>
      <w:r>
        <w:br/>
      </w:r>
      <w:r>
        <w:rPr>
          <w:rStyle w:val="NormalTok"/>
        </w:rPr>
        <w:t xml:space="preserve">          </w:t>
      </w:r>
      <w:r>
        <w:rPr>
          <w:rStyle w:val="StringTok"/>
        </w:rPr>
        <w:t xml:space="preserve">"measurement"</w:t>
      </w:r>
      <w:r>
        <w:rPr>
          <w:rStyle w:val="NormalTok"/>
        </w:rPr>
        <w:t xml:space="preserve">: measurement,</w:t>
      </w:r>
      <w:r>
        <w:br/>
      </w:r>
      <w:r>
        <w:rPr>
          <w:rStyle w:val="NormalTok"/>
        </w:rPr>
        <w:t xml:space="preserve">          </w:t>
      </w:r>
      <w:r>
        <w:rPr>
          <w:rStyle w:val="StringTok"/>
        </w:rPr>
        <w:t xml:space="preserve">"moment"</w:t>
      </w:r>
      <w:r>
        <w:rPr>
          <w:rStyle w:val="NormalTok"/>
        </w:rPr>
        <w:t xml:space="preserve">: moment,</w:t>
      </w:r>
      <w:r>
        <w:br/>
      </w:r>
      <w:r>
        <w:rPr>
          <w:rStyle w:val="NormalTok"/>
        </w:rPr>
        <w:t xml:space="preserve">          </w:t>
      </w:r>
      <w:r>
        <w:rPr>
          <w:rStyle w:val="StringTok"/>
        </w:rPr>
        <w:t xml:space="preserve">"fit_type"</w:t>
      </w:r>
      <w:r>
        <w:rPr>
          <w:rStyle w:val="NormalTok"/>
        </w:rPr>
        <w:t xml:space="preserve">: name,</w:t>
      </w:r>
      <w:r>
        <w:br/>
      </w:r>
      <w:r>
        <w:rPr>
          <w:rStyle w:val="NormalTok"/>
        </w:rPr>
        <w:t xml:space="preserve">          </w:t>
      </w:r>
      <w:r>
        <w:rPr>
          <w:rStyle w:val="StringTok"/>
        </w:rPr>
        <w:t xml:space="preserve">"parameters"</w:t>
      </w:r>
      <w:r>
        <w:rPr>
          <w:rStyle w:val="NormalTok"/>
        </w:rPr>
        <w:t xml:space="preserve">: [params.tolist()],</w:t>
      </w:r>
      <w:r>
        <w:br/>
      </w:r>
      <w:r>
        <w:rPr>
          <w:rStyle w:val="NormalTok"/>
        </w:rPr>
        <w:t xml:space="preserve">          </w:t>
      </w:r>
      <w:r>
        <w:rPr>
          <w:rStyle w:val="StringTok"/>
        </w:rPr>
        <w:t xml:space="preserve">"covariance"</w:t>
      </w:r>
      <w:r>
        <w:rPr>
          <w:rStyle w:val="NormalTok"/>
        </w:rPr>
        <w:t xml:space="preserve">: [cov.flatten().tolist()],</w:t>
      </w:r>
      <w:r>
        <w:br/>
      </w:r>
      <w:r>
        <w:rPr>
          <w:rStyle w:val="NormalTok"/>
        </w:rPr>
        <w:t xml:space="preserve">          </w:t>
      </w:r>
      <w:r>
        <w:rPr>
          <w:rStyle w:val="StringTok"/>
        </w:rPr>
        <w:t xml:space="preserve">"r2"</w:t>
      </w:r>
      <w:r>
        <w:rPr>
          <w:rStyle w:val="NormalTok"/>
        </w:rPr>
        <w:t xml:space="preserve">: r2,</w:t>
      </w:r>
      <w:r>
        <w:br/>
      </w:r>
      <w:r>
        <w:rPr>
          <w:rStyle w:val="NormalTok"/>
        </w:rPr>
        <w:t xml:space="preserve">        })</w:t>
      </w:r>
      <w:r>
        <w:br/>
      </w:r>
      <w:r>
        <w:rPr>
          <w:rStyle w:val="NormalTok"/>
        </w:rPr>
        <w:t xml:space="preserve">      )</w:t>
      </w:r>
      <w:r>
        <w:br/>
      </w:r>
      <w:r>
        <w:br/>
      </w:r>
      <w:r>
        <w:rPr>
          <w:rStyle w:val="CommentTok"/>
        </w:rPr>
        <w:t xml:space="preserve"># Summary values used in inline text and table output.</w:t>
      </w:r>
      <w:r>
        <w:br/>
      </w:r>
      <w:r>
        <w:rPr>
          <w:rStyle w:val="NormalTok"/>
        </w:rPr>
        <w:t xml:space="preserve">knee_best </w:t>
      </w:r>
      <w:r>
        <w:rPr>
          <w:rStyle w:val="OperatorTok"/>
        </w:rPr>
        <w:t xml:space="preserve">=</w:t>
      </w:r>
      <w:r>
        <w:rPr>
          <w:rStyle w:val="NormalTok"/>
        </w:rPr>
        <w:t xml:space="preserve"> (</w:t>
      </w:r>
      <w:r>
        <w:br/>
      </w:r>
      <w:r>
        <w:rPr>
          <w:rStyle w:val="NormalTok"/>
        </w:rPr>
        <w:t xml:space="preserve">  fit_results</w:t>
      </w:r>
      <w:r>
        <w:br/>
      </w:r>
      <w:r>
        <w:rPr>
          <w:rStyle w:val="NormalTok"/>
        </w:rPr>
        <w:t xml:space="preserve">  .</w:t>
      </w:r>
      <w:r>
        <w:rPr>
          <w:rStyle w:val="BuiltInTok"/>
        </w:rPr>
        <w:t xml:space="preserve">filter</w:t>
      </w:r>
      <w:r>
        <w:rPr>
          <w:rStyle w:val="NormalTok"/>
        </w:rPr>
        <w:t xml:space="preserve">(pl.col(</w:t>
      </w:r>
      <w:r>
        <w:rPr>
          <w:rStyle w:val="StringTok"/>
        </w:rPr>
        <w:t xml:space="preserve">"moment"</w:t>
      </w:r>
      <w:r>
        <w:rPr>
          <w:rStyle w:val="NormalTok"/>
        </w:rPr>
        <w:t xml:space="preserve">) </w:t>
      </w:r>
      <w:r>
        <w:rPr>
          <w:rStyle w:val="OperatorTok"/>
        </w:rPr>
        <w:t xml:space="preserve">==</w:t>
      </w:r>
      <w:r>
        <w:rPr>
          <w:rStyle w:val="NormalTok"/>
        </w:rPr>
        <w:t xml:space="preserve"> </w:t>
      </w:r>
      <w:r>
        <w:rPr>
          <w:rStyle w:val="StringTok"/>
        </w:rPr>
        <w:t xml:space="preserve">"knee_r_flx_moment"</w:t>
      </w:r>
      <w:r>
        <w:rPr>
          <w:rStyle w:val="NormalTok"/>
        </w:rPr>
        <w:t xml:space="preserve">)</w:t>
      </w:r>
      <w:r>
        <w:br/>
      </w:r>
      <w:r>
        <w:rPr>
          <w:rStyle w:val="NormalTok"/>
        </w:rPr>
        <w:t xml:space="preserve">  .sort(</w:t>
      </w:r>
      <w:r>
        <w:rPr>
          <w:rStyle w:val="StringTok"/>
        </w:rPr>
        <w:t xml:space="preserve">"r2"</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  .row(</w:t>
      </w:r>
      <w:r>
        <w:rPr>
          <w:rStyle w:val="DecValTok"/>
        </w:rPr>
        <w:t xml:space="preserve">0</w:t>
      </w:r>
      <w:r>
        <w:rPr>
          <w:rStyle w:val="NormalTok"/>
        </w:rPr>
        <w:t xml:space="preserve">, named</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knee_best_measurement </w:t>
      </w:r>
      <w:r>
        <w:rPr>
          <w:rStyle w:val="OperatorTok"/>
        </w:rPr>
        <w:t xml:space="preserve">=</w:t>
      </w:r>
      <w:r>
        <w:rPr>
          <w:rStyle w:val="NormalTok"/>
        </w:rPr>
        <w:t xml:space="preserve"> knee_best[</w:t>
      </w:r>
      <w:r>
        <w:rPr>
          <w:rStyle w:val="StringTok"/>
        </w:rPr>
        <w:t xml:space="preserve">"measurement"</w:t>
      </w:r>
      <w:r>
        <w:rPr>
          <w:rStyle w:val="NormalTok"/>
        </w:rPr>
        <w:t xml:space="preserve">]</w:t>
      </w:r>
      <w:r>
        <w:br/>
      </w:r>
      <w:r>
        <w:rPr>
          <w:rStyle w:val="NormalTok"/>
        </w:rPr>
        <w:t xml:space="preserve">knee_best_fit_type </w:t>
      </w:r>
      <w:r>
        <w:rPr>
          <w:rStyle w:val="OperatorTok"/>
        </w:rPr>
        <w:t xml:space="preserve">=</w:t>
      </w:r>
      <w:r>
        <w:rPr>
          <w:rStyle w:val="NormalTok"/>
        </w:rPr>
        <w:t xml:space="preserve"> knee_best[</w:t>
      </w:r>
      <w:r>
        <w:rPr>
          <w:rStyle w:val="StringTok"/>
        </w:rPr>
        <w:t xml:space="preserve">"fit_type"</w:t>
      </w:r>
      <w:r>
        <w:rPr>
          <w:rStyle w:val="NormalTok"/>
        </w:rPr>
        <w:t xml:space="preserve">].lower()</w:t>
      </w:r>
      <w:r>
        <w:br/>
      </w:r>
      <w:r>
        <w:rPr>
          <w:rStyle w:val="NormalTok"/>
        </w:rPr>
        <w:t xml:space="preserve">knee_best_r2 </w:t>
      </w:r>
      <w:r>
        <w:rPr>
          <w:rStyle w:val="OperatorTok"/>
        </w:rPr>
        <w:t xml:space="preserve">=</w:t>
      </w:r>
      <w:r>
        <w:rPr>
          <w:rStyle w:val="NormalTok"/>
        </w:rPr>
        <w:t xml:space="preserve"> knee_best[</w:t>
      </w:r>
      <w:r>
        <w:rPr>
          <w:rStyle w:val="StringTok"/>
        </w:rPr>
        <w:t xml:space="preserve">"r2"</w:t>
      </w:r>
      <w:r>
        <w:rPr>
          <w:rStyle w:val="NormalTok"/>
        </w:rPr>
        <w:t xml:space="preserve">]</w:t>
      </w:r>
      <w:r>
        <w:br/>
      </w:r>
      <w:r>
        <w:br/>
      </w:r>
      <w:r>
        <w:rPr>
          <w:rStyle w:val="NormalTok"/>
        </w:rPr>
        <w:t xml:space="preserve">best_fits </w:t>
      </w:r>
      <w:r>
        <w:rPr>
          <w:rStyle w:val="OperatorTok"/>
        </w:rPr>
        <w:t xml:space="preserve">=</w:t>
      </w:r>
      <w:r>
        <w:rPr>
          <w:rStyle w:val="NormalTok"/>
        </w:rPr>
        <w:t xml:space="preserve"> fit_results.group_by([</w:t>
      </w:r>
      <w:r>
        <w:rPr>
          <w:rStyle w:val="StringTok"/>
        </w:rPr>
        <w:t xml:space="preserve">"measurement"</w:t>
      </w:r>
      <w:r>
        <w:rPr>
          <w:rStyle w:val="NormalTok"/>
        </w:rPr>
        <w:t xml:space="preserve">, </w:t>
      </w:r>
      <w:r>
        <w:rPr>
          <w:rStyle w:val="StringTok"/>
        </w:rPr>
        <w:t xml:space="preserve">"moment"</w:t>
      </w:r>
      <w:r>
        <w:rPr>
          <w:rStyle w:val="NormalTok"/>
        </w:rPr>
        <w:t xml:space="preserve">]).agg(</w:t>
      </w:r>
      <w:r>
        <w:br/>
      </w:r>
      <w:r>
        <w:rPr>
          <w:rStyle w:val="NormalTok"/>
        </w:rPr>
        <w:t xml:space="preserve">  pl.col(</w:t>
      </w:r>
      <w:r>
        <w:rPr>
          <w:rStyle w:val="StringTok"/>
        </w:rPr>
        <w:t xml:space="preserve">"r2"</w:t>
      </w:r>
      <w:r>
        <w:rPr>
          <w:rStyle w:val="NormalTok"/>
        </w:rPr>
        <w:t xml:space="preserve">).</w:t>
      </w:r>
      <w:r>
        <w:rPr>
          <w:rStyle w:val="BuiltInTok"/>
        </w:rPr>
        <w:t xml:space="preserve">max</w:t>
      </w:r>
      <w:r>
        <w:rPr>
          <w:rStyle w:val="NormalTok"/>
        </w:rPr>
        <w:t xml:space="preserve">().alias(</w:t>
      </w:r>
      <w:r>
        <w:rPr>
          <w:rStyle w:val="StringTok"/>
        </w:rPr>
        <w:t xml:space="preserve">"best_r2"</w:t>
      </w:r>
      <w:r>
        <w:rPr>
          <w:rStyle w:val="NormalTok"/>
        </w:rPr>
        <w:t xml:space="preserve">)</w:t>
      </w:r>
      <w:r>
        <w:br/>
      </w:r>
      <w:r>
        <w:rPr>
          <w:rStyle w:val="NormalTok"/>
        </w:rPr>
        <w:t xml:space="preserve">)</w:t>
      </w:r>
      <w:r>
        <w:br/>
      </w:r>
      <w:r>
        <w:rPr>
          <w:rStyle w:val="NormalTok"/>
        </w:rPr>
        <w:t xml:space="preserve">best_fits_summary </w:t>
      </w:r>
      <w:r>
        <w:rPr>
          <w:rStyle w:val="OperatorTok"/>
        </w:rPr>
        <w:t xml:space="preserve">=</w:t>
      </w:r>
      <w:r>
        <w:rPr>
          <w:rStyle w:val="NormalTok"/>
        </w:rPr>
        <w:t xml:space="preserve"> (</w:t>
      </w:r>
      <w:r>
        <w:br/>
      </w:r>
      <w:r>
        <w:rPr>
          <w:rStyle w:val="NormalTok"/>
        </w:rPr>
        <w:t xml:space="preserve">  best_fits</w:t>
      </w:r>
      <w:r>
        <w:br/>
      </w:r>
      <w:r>
        <w:rPr>
          <w:rStyle w:val="NormalTok"/>
        </w:rPr>
        <w:t xml:space="preserve">  .group_by(</w:t>
      </w:r>
      <w:r>
        <w:rPr>
          <w:rStyle w:val="StringTok"/>
        </w:rPr>
        <w:t xml:space="preserve">"measurement"</w:t>
      </w:r>
      <w:r>
        <w:rPr>
          <w:rStyle w:val="NormalTok"/>
        </w:rPr>
        <w:t xml:space="preserve">)</w:t>
      </w:r>
      <w:r>
        <w:br/>
      </w:r>
      <w:r>
        <w:rPr>
          <w:rStyle w:val="NormalTok"/>
        </w:rPr>
        <w:t xml:space="preserve">  .agg(pl.col(</w:t>
      </w:r>
      <w:r>
        <w:rPr>
          <w:rStyle w:val="StringTok"/>
        </w:rPr>
        <w:t xml:space="preserve">"best_r2"</w:t>
      </w:r>
      <w:r>
        <w:rPr>
          <w:rStyle w:val="NormalTok"/>
        </w:rPr>
        <w:t xml:space="preserve">).mean().alias(</w:t>
      </w:r>
      <w:r>
        <w:rPr>
          <w:rStyle w:val="StringTok"/>
        </w:rPr>
        <w:t xml:space="preserve">"mean_best_r2"</w:t>
      </w:r>
      <w:r>
        <w:rPr>
          <w:rStyle w:val="NormalTok"/>
        </w:rPr>
        <w:t xml:space="preserve">))</w:t>
      </w:r>
      <w:r>
        <w:br/>
      </w:r>
      <w:r>
        <w:rPr>
          <w:rStyle w:val="NormalTok"/>
        </w:rPr>
        <w:t xml:space="preserve">)</w:t>
      </w:r>
      <w:r>
        <w:br/>
      </w:r>
      <w:r>
        <w:br/>
      </w:r>
      <w:r>
        <w:rPr>
          <w:rStyle w:val="NormalTok"/>
        </w:rPr>
        <w:t xml:space="preserve">fit_type_means </w:t>
      </w:r>
      <w:r>
        <w:rPr>
          <w:rStyle w:val="OperatorTok"/>
        </w:rPr>
        <w:t xml:space="preserve">=</w:t>
      </w:r>
      <w:r>
        <w:rPr>
          <w:rStyle w:val="NormalTok"/>
        </w:rPr>
        <w:t xml:space="preserve"> (</w:t>
      </w:r>
      <w:r>
        <w:br/>
      </w:r>
      <w:r>
        <w:rPr>
          <w:rStyle w:val="NormalTok"/>
        </w:rPr>
        <w:t xml:space="preserve">  fit_results</w:t>
      </w:r>
      <w:r>
        <w:br/>
      </w:r>
      <w:r>
        <w:rPr>
          <w:rStyle w:val="NormalTok"/>
        </w:rPr>
        <w:t xml:space="preserve">  .group_by([</w:t>
      </w:r>
      <w:r>
        <w:rPr>
          <w:rStyle w:val="StringTok"/>
        </w:rPr>
        <w:t xml:space="preserve">"measurement"</w:t>
      </w:r>
      <w:r>
        <w:rPr>
          <w:rStyle w:val="NormalTok"/>
        </w:rPr>
        <w:t xml:space="preserve">, </w:t>
      </w:r>
      <w:r>
        <w:rPr>
          <w:rStyle w:val="StringTok"/>
        </w:rPr>
        <w:t xml:space="preserve">"fit_type"</w:t>
      </w:r>
      <w:r>
        <w:rPr>
          <w:rStyle w:val="NormalTok"/>
        </w:rPr>
        <w:t xml:space="preserve">])</w:t>
      </w:r>
      <w:r>
        <w:br/>
      </w:r>
      <w:r>
        <w:rPr>
          <w:rStyle w:val="NormalTok"/>
        </w:rPr>
        <w:t xml:space="preserve">  .agg(pl.col(</w:t>
      </w:r>
      <w:r>
        <w:rPr>
          <w:rStyle w:val="StringTok"/>
        </w:rPr>
        <w:t xml:space="preserve">"r2"</w:t>
      </w:r>
      <w:r>
        <w:rPr>
          <w:rStyle w:val="NormalTok"/>
        </w:rPr>
        <w:t xml:space="preserve">).mean().alias(</w:t>
      </w:r>
      <w:r>
        <w:rPr>
          <w:rStyle w:val="StringTok"/>
        </w:rPr>
        <w:t xml:space="preserve">"mean_r2"</w:t>
      </w:r>
      <w:r>
        <w:rPr>
          <w:rStyle w:val="NormalTok"/>
        </w:rPr>
        <w:t xml:space="preserve">))</w:t>
      </w:r>
      <w:r>
        <w:br/>
      </w:r>
      <w:r>
        <w:rPr>
          <w:rStyle w:val="NormalTok"/>
        </w:rPr>
        <w:t xml:space="preserve">)</w:t>
      </w:r>
      <w:r>
        <w:br/>
      </w:r>
      <w:r>
        <w:br/>
      </w:r>
      <w:r>
        <w:rPr>
          <w:rStyle w:val="NormalTok"/>
        </w:rPr>
        <w:t xml:space="preserve">linear_means </w:t>
      </w:r>
      <w:r>
        <w:rPr>
          <w:rStyle w:val="OperatorTok"/>
        </w:rPr>
        <w:t xml:space="preserve">=</w:t>
      </w:r>
      <w:r>
        <w:rPr>
          <w:rStyle w:val="NormalTok"/>
        </w:rPr>
        <w:t xml:space="preserve"> (</w:t>
      </w:r>
      <w:r>
        <w:br/>
      </w:r>
      <w:r>
        <w:rPr>
          <w:rStyle w:val="NormalTok"/>
        </w:rPr>
        <w:t xml:space="preserve">  fit_type_means</w:t>
      </w:r>
      <w:r>
        <w:br/>
      </w:r>
      <w:r>
        <w:rPr>
          <w:rStyle w:val="NormalTok"/>
        </w:rPr>
        <w:t xml:space="preserve">  .</w:t>
      </w:r>
      <w:r>
        <w:rPr>
          <w:rStyle w:val="BuiltInTok"/>
        </w:rPr>
        <w:t xml:space="preserve">filter</w:t>
      </w:r>
      <w:r>
        <w:rPr>
          <w:rStyle w:val="NormalTok"/>
        </w:rPr>
        <w:t xml:space="preserve">(pl.col(</w:t>
      </w:r>
      <w:r>
        <w:rPr>
          <w:rStyle w:val="StringTok"/>
        </w:rPr>
        <w:t xml:space="preserve">"fit_type"</w:t>
      </w:r>
      <w:r>
        <w:rPr>
          <w:rStyle w:val="NormalTok"/>
        </w:rPr>
        <w:t xml:space="preserve">) </w:t>
      </w:r>
      <w:r>
        <w:rPr>
          <w:rStyle w:val="OperatorTok"/>
        </w:rPr>
        <w:t xml:space="preserve">==</w:t>
      </w:r>
      <w:r>
        <w:rPr>
          <w:rStyle w:val="NormalTok"/>
        </w:rPr>
        <w:t xml:space="preserve"> </w:t>
      </w:r>
      <w:r>
        <w:rPr>
          <w:rStyle w:val="StringTok"/>
        </w:rPr>
        <w:t xml:space="preserve">"Linear"</w:t>
      </w:r>
      <w:r>
        <w:rPr>
          <w:rStyle w:val="NormalTok"/>
        </w:rPr>
        <w:t xml:space="preserve">)</w:t>
      </w:r>
      <w:r>
        <w:br/>
      </w:r>
      <w:r>
        <w:rPr>
          <w:rStyle w:val="NormalTok"/>
        </w:rPr>
        <w:t xml:space="preserve">  .select([</w:t>
      </w:r>
      <w:r>
        <w:rPr>
          <w:rStyle w:val="StringTok"/>
        </w:rPr>
        <w:t xml:space="preserve">"measurement"</w:t>
      </w:r>
      <w:r>
        <w:rPr>
          <w:rStyle w:val="NormalTok"/>
        </w:rPr>
        <w:t xml:space="preserve">, pl.col(</w:t>
      </w:r>
      <w:r>
        <w:rPr>
          <w:rStyle w:val="StringTok"/>
        </w:rPr>
        <w:t xml:space="preserve">"mean_r2"</w:t>
      </w:r>
      <w:r>
        <w:rPr>
          <w:rStyle w:val="NormalTok"/>
        </w:rPr>
        <w:t xml:space="preserve">).alias(</w:t>
      </w:r>
      <w:r>
        <w:rPr>
          <w:rStyle w:val="StringTok"/>
        </w:rPr>
        <w:t xml:space="preserve">"mean_linear_offset_r2"</w:t>
      </w:r>
      <w:r>
        <w:rPr>
          <w:rStyle w:val="NormalTok"/>
        </w:rPr>
        <w:t xml:space="preserve">)])</w:t>
      </w:r>
      <w:r>
        <w:br/>
      </w:r>
      <w:r>
        <w:rPr>
          <w:rStyle w:val="NormalTok"/>
        </w:rPr>
        <w:t xml:space="preserve">)</w:t>
      </w:r>
      <w:r>
        <w:br/>
      </w:r>
      <w:r>
        <w:br/>
      </w:r>
      <w:r>
        <w:rPr>
          <w:rStyle w:val="NormalTok"/>
        </w:rPr>
        <w:t xml:space="preserve">power_means </w:t>
      </w:r>
      <w:r>
        <w:rPr>
          <w:rStyle w:val="OperatorTok"/>
        </w:rPr>
        <w:t xml:space="preserve">=</w:t>
      </w:r>
      <w:r>
        <w:rPr>
          <w:rStyle w:val="NormalTok"/>
        </w:rPr>
        <w:t xml:space="preserve"> (</w:t>
      </w:r>
      <w:r>
        <w:br/>
      </w:r>
      <w:r>
        <w:rPr>
          <w:rStyle w:val="NormalTok"/>
        </w:rPr>
        <w:t xml:space="preserve">  fit_type_means</w:t>
      </w:r>
      <w:r>
        <w:br/>
      </w:r>
      <w:r>
        <w:rPr>
          <w:rStyle w:val="NormalTok"/>
        </w:rPr>
        <w:t xml:space="preserve">  .</w:t>
      </w:r>
      <w:r>
        <w:rPr>
          <w:rStyle w:val="BuiltInTok"/>
        </w:rPr>
        <w:t xml:space="preserve">filter</w:t>
      </w:r>
      <w:r>
        <w:rPr>
          <w:rStyle w:val="NormalTok"/>
        </w:rPr>
        <w:t xml:space="preserve">(pl.col(</w:t>
      </w:r>
      <w:r>
        <w:rPr>
          <w:rStyle w:val="StringTok"/>
        </w:rPr>
        <w:t xml:space="preserve">"fit_type"</w:t>
      </w:r>
      <w:r>
        <w:rPr>
          <w:rStyle w:val="NormalTok"/>
        </w:rPr>
        <w:t xml:space="preserve">) </w:t>
      </w:r>
      <w:r>
        <w:rPr>
          <w:rStyle w:val="OperatorTok"/>
        </w:rPr>
        <w:t xml:space="preserve">==</w:t>
      </w:r>
      <w:r>
        <w:rPr>
          <w:rStyle w:val="NormalTok"/>
        </w:rPr>
        <w:t xml:space="preserve"> </w:t>
      </w:r>
      <w:r>
        <w:rPr>
          <w:rStyle w:val="StringTok"/>
        </w:rPr>
        <w:t xml:space="preserve">"Power"</w:t>
      </w:r>
      <w:r>
        <w:rPr>
          <w:rStyle w:val="NormalTok"/>
        </w:rPr>
        <w:t xml:space="preserve">)</w:t>
      </w:r>
      <w:r>
        <w:br/>
      </w:r>
      <w:r>
        <w:rPr>
          <w:rStyle w:val="NormalTok"/>
        </w:rPr>
        <w:t xml:space="preserve">  .select([</w:t>
      </w:r>
      <w:r>
        <w:rPr>
          <w:rStyle w:val="StringTok"/>
        </w:rPr>
        <w:t xml:space="preserve">"measurement"</w:t>
      </w:r>
      <w:r>
        <w:rPr>
          <w:rStyle w:val="NormalTok"/>
        </w:rPr>
        <w:t xml:space="preserve">, pl.col(</w:t>
      </w:r>
      <w:r>
        <w:rPr>
          <w:rStyle w:val="StringTok"/>
        </w:rPr>
        <w:t xml:space="preserve">"mean_r2"</w:t>
      </w:r>
      <w:r>
        <w:rPr>
          <w:rStyle w:val="NormalTok"/>
        </w:rPr>
        <w:t xml:space="preserve">).alias(</w:t>
      </w:r>
      <w:r>
        <w:rPr>
          <w:rStyle w:val="StringTok"/>
        </w:rPr>
        <w:t xml:space="preserve">"mean_power_r2"</w:t>
      </w:r>
      <w:r>
        <w:rPr>
          <w:rStyle w:val="NormalTok"/>
        </w:rPr>
        <w:t xml:space="preserve">)])</w:t>
      </w:r>
      <w:r>
        <w:br/>
      </w:r>
      <w:r>
        <w:rPr>
          <w:rStyle w:val="NormalTok"/>
        </w:rPr>
        <w:t xml:space="preserve">)</w:t>
      </w:r>
      <w:r>
        <w:br/>
      </w:r>
      <w:r>
        <w:br/>
      </w:r>
      <w:r>
        <w:rPr>
          <w:rStyle w:val="NormalTok"/>
        </w:rPr>
        <w:t xml:space="preserve">best_fits_summary_full </w:t>
      </w:r>
      <w:r>
        <w:rPr>
          <w:rStyle w:val="OperatorTok"/>
        </w:rPr>
        <w:t xml:space="preserve">=</w:t>
      </w:r>
      <w:r>
        <w:rPr>
          <w:rStyle w:val="NormalTok"/>
        </w:rPr>
        <w:t xml:space="preserve"> (</w:t>
      </w:r>
      <w:r>
        <w:br/>
      </w:r>
      <w:r>
        <w:rPr>
          <w:rStyle w:val="NormalTok"/>
        </w:rPr>
        <w:t xml:space="preserve">  best_fits_summary</w:t>
      </w:r>
      <w:r>
        <w:br/>
      </w:r>
      <w:r>
        <w:rPr>
          <w:rStyle w:val="NormalTok"/>
        </w:rPr>
        <w:t xml:space="preserve">  .join(linear_means, on</w:t>
      </w:r>
      <w:r>
        <w:rPr>
          <w:rStyle w:val="OperatorTok"/>
        </w:rPr>
        <w:t xml:space="preserve">=</w:t>
      </w:r>
      <w:r>
        <w:rPr>
          <w:rStyle w:val="StringTok"/>
        </w:rPr>
        <w:t xml:space="preserve">"measurement"</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.join(power_means, on</w:t>
      </w:r>
      <w:r>
        <w:rPr>
          <w:rStyle w:val="OperatorTok"/>
        </w:rPr>
        <w:t xml:space="preserve">=</w:t>
      </w:r>
      <w:r>
        <w:rPr>
          <w:rStyle w:val="StringTok"/>
        </w:rPr>
        <w:t xml:space="preserve">"measurement"</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.sort(</w:t>
      </w:r>
      <w:r>
        <w:rPr>
          <w:rStyle w:val="StringTok"/>
        </w:rPr>
        <w:t xml:space="preserve">"mean_best_r2"</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top_measurements </w:t>
      </w:r>
      <w:r>
        <w:rPr>
          <w:rStyle w:val="OperatorTok"/>
        </w:rPr>
        <w:t xml:space="preserve">=</w:t>
      </w:r>
      <w:r>
        <w:rPr>
          <w:rStyle w:val="NormalTok"/>
        </w:rPr>
        <w:t xml:space="preserve"> best_fits_summary_full.select(</w:t>
      </w:r>
      <w:r>
        <w:rPr>
          <w:rStyle w:val="StringTok"/>
        </w:rPr>
        <w:t xml:space="preserve">"measurement"</w:t>
      </w:r>
      <w:r>
        <w:rPr>
          <w:rStyle w:val="NormalTok"/>
        </w:rPr>
        <w:t xml:space="preserve">).to_series().to_list()</w:t>
      </w:r>
      <w:r>
        <w:br/>
      </w:r>
      <w:r>
        <w:rPr>
          <w:rStyle w:val="NormalTok"/>
        </w:rPr>
        <w:t xml:space="preserve">top_1, top_2, top_3 </w:t>
      </w:r>
      <w:r>
        <w:rPr>
          <w:rStyle w:val="OperatorTok"/>
        </w:rPr>
        <w:t xml:space="preserve">=</w:t>
      </w:r>
      <w:r>
        <w:rPr>
          <w:rStyle w:val="NormalTok"/>
        </w:rPr>
        <w:t xml:space="preserve"> top_measurements[:</w:t>
      </w:r>
      <w:r>
        <w:rPr>
          <w:rStyle w:val="DecValTok"/>
        </w:rPr>
        <w:t xml:space="preserve">3</w:t>
      </w:r>
      <w:r>
        <w:rPr>
          <w:rStyle w:val="NormalTok"/>
        </w:rPr>
        <w:t xml:space="preserve">]</w:t>
      </w:r>
    </w:p>
    <w:p>
      <w:pPr>
        <w:pStyle w:val="SourceCode"/>
      </w:pPr>
      <w:r>
        <w:rPr>
          <w:rStyle w:val="NormalTok"/>
        </w:rPr>
        <w:t xml:space="preserve">linear_fit_results </w:t>
      </w:r>
      <w:r>
        <w:rPr>
          <w:rStyle w:val="OperatorTok"/>
        </w:rPr>
        <w:t xml:space="preserve">=</w:t>
      </w:r>
      <w:r>
        <w:rPr>
          <w:rStyle w:val="NormalTok"/>
        </w:rPr>
        <w:t xml:space="preserve"> fit_results.</w:t>
      </w:r>
      <w:r>
        <w:rPr>
          <w:rStyle w:val="BuiltInTok"/>
        </w:rPr>
        <w:t xml:space="preserve">filter</w:t>
      </w:r>
      <w:r>
        <w:rPr>
          <w:rStyle w:val="NormalTok"/>
        </w:rPr>
        <w:t xml:space="preserve">(pl.col(</w:t>
      </w:r>
      <w:r>
        <w:rPr>
          <w:rStyle w:val="StringTok"/>
        </w:rPr>
        <w:t xml:space="preserve">"fit_type"</w:t>
      </w:r>
      <w:r>
        <w:rPr>
          <w:rStyle w:val="NormalTok"/>
        </w:rPr>
        <w:t xml:space="preserve">) </w:t>
      </w:r>
      <w:r>
        <w:rPr>
          <w:rStyle w:val="OperatorTok"/>
        </w:rPr>
        <w:t xml:space="preserve">==</w:t>
      </w:r>
      <w:r>
        <w:rPr>
          <w:rStyle w:val="NormalTok"/>
        </w:rPr>
        <w:t xml:space="preserve"> </w:t>
      </w:r>
      <w:r>
        <w:rPr>
          <w:rStyle w:val="StringTok"/>
        </w:rPr>
        <w:t xml:space="preserve">"Linear"</w:t>
      </w:r>
      <w:r>
        <w:rPr>
          <w:rStyle w:val="NormalTok"/>
        </w:rPr>
        <w:t xml:space="preserve">).to_pandas()</w:t>
      </w:r>
      <w:r>
        <w:br/>
      </w:r>
      <w:r>
        <w:rPr>
          <w:rStyle w:val="NormalTok"/>
        </w:rPr>
        <w:t xml:space="preserve">linear_fit_pivot </w:t>
      </w:r>
      <w:r>
        <w:rPr>
          <w:rStyle w:val="OperatorTok"/>
        </w:rPr>
        <w:t xml:space="preserve">=</w:t>
      </w:r>
      <w:r>
        <w:rPr>
          <w:rStyle w:val="NormalTok"/>
        </w:rPr>
        <w:t xml:space="preserve"> linear_fit_results.pivot(</w:t>
      </w:r>
      <w:r>
        <w:br/>
      </w:r>
      <w:r>
        <w:rPr>
          <w:rStyle w:val="NormalTok"/>
        </w:rPr>
        <w:t xml:space="preserve">  index</w:t>
      </w:r>
      <w:r>
        <w:rPr>
          <w:rStyle w:val="OperatorTok"/>
        </w:rPr>
        <w:t xml:space="preserve">=</w:t>
      </w:r>
      <w:r>
        <w:rPr>
          <w:rStyle w:val="StringTok"/>
        </w:rPr>
        <w:t xml:space="preserve">"measurement"</w:t>
      </w:r>
      <w:r>
        <w:rPr>
          <w:rStyle w:val="NormalTok"/>
        </w:rPr>
        <w:t xml:space="preserve">,</w:t>
      </w:r>
      <w:r>
        <w:br/>
      </w:r>
      <w:r>
        <w:rPr>
          <w:rStyle w:val="NormalTok"/>
        </w:rPr>
        <w:t xml:space="preserve">  columns</w:t>
      </w:r>
      <w:r>
        <w:rPr>
          <w:rStyle w:val="OperatorTok"/>
        </w:rPr>
        <w:t xml:space="preserve">=</w:t>
      </w:r>
      <w:r>
        <w:rPr>
          <w:rStyle w:val="StringTok"/>
        </w:rPr>
        <w:t xml:space="preserve">"moment"</w:t>
      </w:r>
      <w:r>
        <w:rPr>
          <w:rStyle w:val="NormalTok"/>
        </w:rPr>
        <w:t xml:space="preserve">,</w:t>
      </w:r>
      <w:r>
        <w:br/>
      </w:r>
      <w:r>
        <w:rPr>
          <w:rStyle w:val="NormalTok"/>
        </w:rPr>
        <w:t xml:space="preserve">  values</w:t>
      </w:r>
      <w:r>
        <w:rPr>
          <w:rStyle w:val="OperatorTok"/>
        </w:rPr>
        <w:t xml:space="preserve">=</w:t>
      </w:r>
      <w:r>
        <w:rPr>
          <w:rStyle w:val="StringTok"/>
        </w:rPr>
        <w:t xml:space="preserve">"r2"</w:t>
      </w:r>
      <w:r>
        <w:rPr>
          <w:rStyle w:val="NormalTok"/>
        </w:rPr>
        <w:t xml:space="preserve">,</w:t>
      </w:r>
      <w:r>
        <w:br/>
      </w:r>
      <w:r>
        <w:rPr>
          <w:rStyle w:val="NormalTok"/>
        </w:rPr>
        <w:t xml:space="preserve">)</w:t>
      </w:r>
      <w:r>
        <w:br/>
      </w:r>
      <w:r>
        <w:br/>
      </w:r>
      <w:r>
        <w:rPr>
          <w:rStyle w:val="NormalTok"/>
        </w:rPr>
        <w:t xml:space="preserve">fig </w:t>
      </w:r>
      <w:r>
        <w:rPr>
          <w:rStyle w:val="OperatorTok"/>
        </w:rPr>
        <w:t xml:space="preserve">=</w:t>
      </w:r>
      <w:r>
        <w:rPr>
          <w:rStyle w:val="NormalTok"/>
        </w:rPr>
        <w:t xml:space="preserve"> px.imshow(</w:t>
      </w:r>
      <w:r>
        <w:br/>
      </w:r>
      <w:r>
        <w:rPr>
          <w:rStyle w:val="NormalTok"/>
        </w:rPr>
        <w:t xml:space="preserve">  linear_fit_pivot,</w:t>
      </w:r>
      <w:r>
        <w:br/>
      </w:r>
      <w:r>
        <w:rPr>
          <w:rStyle w:val="NormalTok"/>
        </w:rPr>
        <w:t xml:space="preserve">  text_auto</w:t>
      </w:r>
      <w:r>
        <w:rPr>
          <w:rStyle w:val="OperatorTok"/>
        </w:rPr>
        <w:t xml:space="preserve">=</w:t>
      </w:r>
      <w:r>
        <w:rPr>
          <w:rStyle w:val="StringTok"/>
        </w:rPr>
        <w:t xml:space="preserve">".2f"</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"Joint Moment"</w:t>
      </w:r>
      <w:r>
        <w:rPr>
          <w:rStyle w:val="NormalTok"/>
        </w:rPr>
        <w:t xml:space="preserve">, y</w:t>
      </w:r>
      <w:r>
        <w:rPr>
          <w:rStyle w:val="OperatorTok"/>
        </w:rPr>
        <w:t xml:space="preserve">=</w:t>
      </w:r>
      <w:r>
        <w:rPr>
          <w:rStyle w:val="StringTok"/>
        </w:rPr>
        <w:t xml:space="preserve">"Measurement"</w:t>
      </w:r>
      <w:r>
        <w:rPr>
          <w:rStyle w:val="NormalTok"/>
        </w:rPr>
        <w:t xml:space="preserve">, color</w:t>
      </w:r>
      <w:r>
        <w:rPr>
          <w:rStyle w:val="OperatorTok"/>
        </w:rPr>
        <w:t xml:space="preserve">=</w:t>
      </w:r>
      <w:r>
        <w:rPr>
          <w:rStyle w:val="StringTok"/>
        </w:rPr>
        <w:t xml:space="preserve">"R² Score"</w:t>
      </w:r>
      <w:r>
        <w:rPr>
          <w:rStyle w:val="NormalTok"/>
        </w:rPr>
        <w:t xml:space="preserve">),</w:t>
      </w:r>
      <w:r>
        <w:br/>
      </w:r>
      <w:r>
        <w:rPr>
          <w:rStyle w:val="NormalTok"/>
        </w:rPr>
        <w:t xml:space="preserve">  title</w:t>
      </w:r>
      <w:r>
        <w:rPr>
          <w:rStyle w:val="OperatorTok"/>
        </w:rPr>
        <w:t xml:space="preserve">=</w:t>
      </w:r>
      <w:r>
        <w:rPr>
          <w:rStyle w:val="StringTok"/>
        </w:rPr>
        <w:t xml:space="preserve">"R² Heatmap of Joint Moment vs. Measurement (Linear Fit: y = ax + b)"</w:t>
      </w:r>
      <w:r>
        <w:br/>
      </w:r>
      <w:r>
        <w:rPr>
          <w:rStyle w:val="NormalTok"/>
        </w:rPr>
        <w:t xml:space="preserve">)</w:t>
      </w:r>
      <w:r>
        <w:br/>
      </w:r>
      <w:r>
        <w:br/>
      </w:r>
      <w:r>
        <w:rPr>
          <w:rStyle w:val="NormalTok"/>
        </w:rPr>
        <w:t xml:space="preserve">fig.show()</w:t>
      </w:r>
    </w:p>
    <w:tbl>
      <w:tblPr>
        <w:tblStyle w:val="Table"/>
        <w:tblW w:type="pct" w:w="5000"/>
        <w:tblLayout w:type="fixed"/>
        <w:tblLook w:firstRow="0" w:lastRow="0" w:firstColumn="0" w:lastColumn="0" w:noHBand="0" w:noVBand="0" w:val="0000"/>
      </w:tblPr>
      <w:tblGrid>
        <w:gridCol w:w="7920"/>
      </w:tblGrid>
      <w:tr>
        <w:tc>
          <w:tcPr/>
          <w:bookmarkStart w:id="89" w:name="fig-lin-heatmap"/>
          <w:tbl>
            <w:tblPr>
              <w:tblStyle w:val="Table"/>
              <w:tblW w:type="pct" w:w="5000"/>
              <w:tblLayout w:type="fixed"/>
              <w:tblLook w:firstRow="0" w:lastRow="0" w:firstColumn="0" w:lastColumn="0" w:noHBand="0" w:noVBand="0" w:val="0000"/>
            </w:tblPr>
            <w:tblGrid>
              <w:gridCol w:w="7920"/>
            </w:tblGrid>
            <w:tr>
              <w:tc>
                <w:tcPr/>
                <w:bookmarkStart w:id="87" w:name="fig-lin-heatmap-1"/>
                <w:p>
                  <w:pPr>
                    <w:pStyle w:val="SourceCode"/>
                    <w:jc w:val="center"/>
                    <w:jc w:val="center"/>
                  </w:pPr>
                  <w:r>
                    <w:rPr>
                      <w:rStyle w:val="VerbatimChar"/>
                    </w:rPr>
                    <w:t xml:space="preserve">Unable to display output for mime type(s): text/html</w:t>
                  </w:r>
                </w:p>
                <w:p>
                  <w:pPr>
                    <w:jc w:val="center"/>
                    <w:jc w:val="center"/>
                  </w:pPr>
                  <w:pPr>
                    <w:jc w:val="left"/>
                    <w:spacing w:before="200"/>
                    <w:pStyle w:val="ImageCaption"/>
                  </w:pPr>
                  <w:r>
                    <w:t xml:space="preserve">(a) R^2 values for linear fits of joint moment magnitudes to candidate normalization measurements. Higher values (yellow) indicate better fit.</w:t>
                  </w:r>
                </w:p>
                <w:bookmarkEnd w:id="87"/>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88" w:name="fig-lin-heatmap-2"/>
                <w:p>
                  <w:pPr>
                    <w:pStyle w:val="SourceCode"/>
                    <w:jc w:val="center"/>
                    <w:jc w:val="center"/>
                  </w:pPr>
                  <w:r>
                    <w:rPr>
                      <w:rStyle w:val="VerbatimChar"/>
                    </w:rPr>
                    <w:t xml:space="preserve">Unable to display output for mime type(s): text/html</w:t>
                  </w:r>
                </w:p>
                <w:p>
                  <w:pPr>
                    <w:jc w:val="center"/>
                    <w:jc w:val="center"/>
                  </w:pPr>
                  <w:pPr>
                    <w:jc w:val="left"/>
                    <w:spacing w:before="200"/>
                    <w:pStyle w:val="ImageCaption"/>
                  </w:pPr>
                  <w:r>
                    <w:t xml:space="preserve">(b)</w:t>
                  </w:r>
                </w:p>
                <w:bookmarkEnd w:id="88"/>
              </w:tc>
            </w:tr>
          </w:tbl>
          <w:p>
            <w:pPr>
              <w:jc w:val="center"/>
            </w:pPr>
            <w:pPr>
              <w:jc w:val="left"/>
              <w:spacing w:before="200"/>
              <w:pStyle w:val="ImageCaption"/>
            </w:pPr>
            <w:r>
              <w:t xml:space="preserve">Figure 3.1</w:t>
            </w:r>
          </w:p>
          <w:bookmarkEnd w:id="89"/>
        </w:tc>
      </w:tr>
    </w:tbl>
    <w:p>
      <w:pPr>
        <w:pStyle w:val="SourceCode"/>
      </w:pPr>
      <w:r>
        <w:rPr>
          <w:rStyle w:val="NormalTok"/>
        </w:rPr>
        <w:t xml:space="preserve">power_fit_results </w:t>
      </w:r>
      <w:r>
        <w:rPr>
          <w:rStyle w:val="OperatorTok"/>
        </w:rPr>
        <w:t xml:space="preserve">=</w:t>
      </w:r>
      <w:r>
        <w:rPr>
          <w:rStyle w:val="NormalTok"/>
        </w:rPr>
        <w:t xml:space="preserve"> fit_results.</w:t>
      </w:r>
      <w:r>
        <w:rPr>
          <w:rStyle w:val="BuiltInTok"/>
        </w:rPr>
        <w:t xml:space="preserve">filter</w:t>
      </w:r>
      <w:r>
        <w:rPr>
          <w:rStyle w:val="NormalTok"/>
        </w:rPr>
        <w:t xml:space="preserve">(pl.col(</w:t>
      </w:r>
      <w:r>
        <w:rPr>
          <w:rStyle w:val="StringTok"/>
        </w:rPr>
        <w:t xml:space="preserve">"fit_type"</w:t>
      </w:r>
      <w:r>
        <w:rPr>
          <w:rStyle w:val="NormalTok"/>
        </w:rPr>
        <w:t xml:space="preserve">) </w:t>
      </w:r>
      <w:r>
        <w:rPr>
          <w:rStyle w:val="OperatorTok"/>
        </w:rPr>
        <w:t xml:space="preserve">==</w:t>
      </w:r>
      <w:r>
        <w:rPr>
          <w:rStyle w:val="NormalTok"/>
        </w:rPr>
        <w:t xml:space="preserve"> </w:t>
      </w:r>
      <w:r>
        <w:rPr>
          <w:rStyle w:val="StringTok"/>
        </w:rPr>
        <w:t xml:space="preserve">"Power"</w:t>
      </w:r>
      <w:r>
        <w:rPr>
          <w:rStyle w:val="NormalTok"/>
        </w:rPr>
        <w:t xml:space="preserve">).to_pandas()</w:t>
      </w:r>
      <w:r>
        <w:br/>
      </w:r>
      <w:r>
        <w:rPr>
          <w:rStyle w:val="NormalTok"/>
        </w:rPr>
        <w:t xml:space="preserve">power_fit_pivot </w:t>
      </w:r>
      <w:r>
        <w:rPr>
          <w:rStyle w:val="OperatorTok"/>
        </w:rPr>
        <w:t xml:space="preserve">=</w:t>
      </w:r>
      <w:r>
        <w:rPr>
          <w:rStyle w:val="NormalTok"/>
        </w:rPr>
        <w:t xml:space="preserve"> power_fit_results.pivot(</w:t>
      </w:r>
      <w:r>
        <w:br/>
      </w:r>
      <w:r>
        <w:rPr>
          <w:rStyle w:val="NormalTok"/>
        </w:rPr>
        <w:t xml:space="preserve">  index</w:t>
      </w:r>
      <w:r>
        <w:rPr>
          <w:rStyle w:val="OperatorTok"/>
        </w:rPr>
        <w:t xml:space="preserve">=</w:t>
      </w:r>
      <w:r>
        <w:rPr>
          <w:rStyle w:val="StringTok"/>
        </w:rPr>
        <w:t xml:space="preserve">"measurement"</w:t>
      </w:r>
      <w:r>
        <w:rPr>
          <w:rStyle w:val="NormalTok"/>
        </w:rPr>
        <w:t xml:space="preserve">,</w:t>
      </w:r>
      <w:r>
        <w:br/>
      </w:r>
      <w:r>
        <w:rPr>
          <w:rStyle w:val="NormalTok"/>
        </w:rPr>
        <w:t xml:space="preserve">  columns</w:t>
      </w:r>
      <w:r>
        <w:rPr>
          <w:rStyle w:val="OperatorTok"/>
        </w:rPr>
        <w:t xml:space="preserve">=</w:t>
      </w:r>
      <w:r>
        <w:rPr>
          <w:rStyle w:val="StringTok"/>
        </w:rPr>
        <w:t xml:space="preserve">"moment"</w:t>
      </w:r>
      <w:r>
        <w:rPr>
          <w:rStyle w:val="NormalTok"/>
        </w:rPr>
        <w:t xml:space="preserve">,</w:t>
      </w:r>
      <w:r>
        <w:br/>
      </w:r>
      <w:r>
        <w:rPr>
          <w:rStyle w:val="NormalTok"/>
        </w:rPr>
        <w:t xml:space="preserve">  values</w:t>
      </w:r>
      <w:r>
        <w:rPr>
          <w:rStyle w:val="OperatorTok"/>
        </w:rPr>
        <w:t xml:space="preserve">=</w:t>
      </w:r>
      <w:r>
        <w:rPr>
          <w:rStyle w:val="StringTok"/>
        </w:rPr>
        <w:t xml:space="preserve">"r2"</w:t>
      </w:r>
      <w:r>
        <w:rPr>
          <w:rStyle w:val="NormalTok"/>
        </w:rPr>
        <w:t xml:space="preserve">,</w:t>
      </w:r>
      <w:r>
        <w:br/>
      </w:r>
      <w:r>
        <w:rPr>
          <w:rStyle w:val="NormalTok"/>
        </w:rPr>
        <w:t xml:space="preserve">)</w:t>
      </w:r>
      <w:r>
        <w:br/>
      </w:r>
      <w:r>
        <w:br/>
      </w:r>
      <w:r>
        <w:rPr>
          <w:rStyle w:val="NormalTok"/>
        </w:rPr>
        <w:t xml:space="preserve">fig </w:t>
      </w:r>
      <w:r>
        <w:rPr>
          <w:rStyle w:val="OperatorTok"/>
        </w:rPr>
        <w:t xml:space="preserve">=</w:t>
      </w:r>
      <w:r>
        <w:rPr>
          <w:rStyle w:val="NormalTok"/>
        </w:rPr>
        <w:t xml:space="preserve"> px.imshow(</w:t>
      </w:r>
      <w:r>
        <w:br/>
      </w:r>
      <w:r>
        <w:rPr>
          <w:rStyle w:val="NormalTok"/>
        </w:rPr>
        <w:t xml:space="preserve">  power_fit_pivot,</w:t>
      </w:r>
      <w:r>
        <w:br/>
      </w:r>
      <w:r>
        <w:rPr>
          <w:rStyle w:val="NormalTok"/>
        </w:rPr>
        <w:t xml:space="preserve">  text_auto</w:t>
      </w:r>
      <w:r>
        <w:rPr>
          <w:rStyle w:val="OperatorTok"/>
        </w:rPr>
        <w:t xml:space="preserve">=</w:t>
      </w:r>
      <w:r>
        <w:rPr>
          <w:rStyle w:val="StringTok"/>
        </w:rPr>
        <w:t xml:space="preserve">".2f"</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"Joint Moment"</w:t>
      </w:r>
      <w:r>
        <w:rPr>
          <w:rStyle w:val="NormalTok"/>
        </w:rPr>
        <w:t xml:space="preserve">, y</w:t>
      </w:r>
      <w:r>
        <w:rPr>
          <w:rStyle w:val="OperatorTok"/>
        </w:rPr>
        <w:t xml:space="preserve">=</w:t>
      </w:r>
      <w:r>
        <w:rPr>
          <w:rStyle w:val="StringTok"/>
        </w:rPr>
        <w:t xml:space="preserve">"Measurement"</w:t>
      </w:r>
      <w:r>
        <w:rPr>
          <w:rStyle w:val="NormalTok"/>
        </w:rPr>
        <w:t xml:space="preserve">, color</w:t>
      </w:r>
      <w:r>
        <w:rPr>
          <w:rStyle w:val="OperatorTok"/>
        </w:rPr>
        <w:t xml:space="preserve">=</w:t>
      </w:r>
      <w:r>
        <w:rPr>
          <w:rStyle w:val="StringTok"/>
        </w:rPr>
        <w:t xml:space="preserve">"R² Score"</w:t>
      </w:r>
      <w:r>
        <w:rPr>
          <w:rStyle w:val="NormalTok"/>
        </w:rPr>
        <w:t xml:space="preserve">),</w:t>
      </w:r>
      <w:r>
        <w:br/>
      </w:r>
      <w:r>
        <w:rPr>
          <w:rStyle w:val="NormalTok"/>
        </w:rPr>
        <w:t xml:space="preserve">  title</w:t>
      </w:r>
      <w:r>
        <w:rPr>
          <w:rStyle w:val="OperatorTok"/>
        </w:rPr>
        <w:t xml:space="preserve">=</w:t>
      </w:r>
      <w:r>
        <w:rPr>
          <w:rStyle w:val="StringTok"/>
        </w:rPr>
        <w:t xml:space="preserve">"R² Heatmap of Joint Moment vs. Measurement (Power Fit: y = a*x^b + c)"</w:t>
      </w:r>
      <w:r>
        <w:br/>
      </w:r>
      <w:r>
        <w:rPr>
          <w:rStyle w:val="NormalTok"/>
        </w:rPr>
        <w:t xml:space="preserve">)</w:t>
      </w:r>
      <w:r>
        <w:br/>
      </w:r>
      <w:r>
        <w:rPr>
          <w:rStyle w:val="NormalTok"/>
        </w:rPr>
        <w:t xml:space="preserve">fig.show()</w:t>
      </w:r>
    </w:p>
    <w:tbl>
      <w:tblPr>
        <w:tblStyle w:val="Table"/>
        <w:tblW w:type="pct" w:w="5000"/>
        <w:tblLayout w:type="fixed"/>
        <w:tblLook w:firstRow="0" w:lastRow="0" w:firstColumn="0" w:lastColumn="0" w:noHBand="0" w:noVBand="0" w:val="0000"/>
      </w:tblPr>
      <w:tblGrid>
        <w:gridCol w:w="7920"/>
      </w:tblGrid>
      <w:tr>
        <w:tc>
          <w:tcPr/>
          <w:bookmarkStart w:id="90" w:name="fig-pow-heatmap"/>
          <w:p>
            <w:pPr>
              <w:pStyle w:val="SourceCode"/>
              <w:jc w:val="center"/>
            </w:pPr>
            <w:r>
              <w:rPr>
                <w:rStyle w:val="VerbatimChar"/>
              </w:rPr>
              <w:t xml:space="preserve">Unable to display output for mime type(s): text/html</w:t>
            </w:r>
          </w:p>
          <w:p>
            <w:pPr>
              <w:jc w:val="center"/>
            </w:pPr>
            <w:pPr>
              <w:jc w:val="left"/>
              <w:spacing w:before="200"/>
              <w:pStyle w:val="ImageCaption"/>
            </w:pPr>
            <w:r>
              <w:t xml:space="preserve">Figure 3.2: R^2 values for power fits of joint moment magnitudes to candidate normalization measurements. Higher values (yellow) indicate better fit.</w:t>
            </w:r>
          </w:p>
          <w:bookmarkEnd w:id="90"/>
        </w:tc>
      </w:tr>
    </w:tbl>
    <w:tbl>
      <w:tblPr>
        <w:tblStyle w:val="Table"/>
        <w:tblW w:type="pct" w:w="5000"/>
        <w:tblLayout w:type="fixed"/>
        <w:tblLook w:firstRow="0" w:lastRow="0" w:firstColumn="0" w:lastColumn="0" w:noHBand="0" w:noVBand="0" w:val="0000"/>
      </w:tblPr>
      <w:tblGrid>
        <w:gridCol w:w="7920"/>
      </w:tblGrid>
      <w:tr>
        <w:tc>
          <w:tcPr/>
          <w:bookmarkStart w:id="91" w:name="fig-exp-heatmap"/>
          <w:p>
            <w:pPr>
              <w:pStyle w:val="SourceCode"/>
              <w:jc w:val="center"/>
            </w:pPr>
            <w:r>
              <w:rPr>
                <w:rStyle w:val="CommentTok"/>
              </w:rPr>
              <w:t xml:space="preserve"># exp_fit_results = fit_results.filter(pl.col("fit_type") == "Exponential").to_pandas()</w:t>
            </w:r>
            <w:r>
              <w:br/>
            </w:r>
            <w:r>
              <w:rPr>
                <w:rStyle w:val="CommentTok"/>
              </w:rPr>
              <w:t xml:space="preserve"># exponential_fit_pivot = exp_fit_results.pivot(</w:t>
            </w:r>
            <w:r>
              <w:br/>
            </w:r>
            <w:r>
              <w:rPr>
                <w:rStyle w:val="CommentTok"/>
              </w:rPr>
              <w:t xml:space="preserve">#     index="measurement",</w:t>
            </w:r>
            <w:r>
              <w:br/>
            </w:r>
            <w:r>
              <w:rPr>
                <w:rStyle w:val="CommentTok"/>
              </w:rPr>
              <w:t xml:space="preserve">#     columns="moment",</w:t>
            </w:r>
            <w:r>
              <w:br/>
            </w:r>
            <w:r>
              <w:rPr>
                <w:rStyle w:val="CommentTok"/>
              </w:rPr>
              <w:t xml:space="preserve">#     values="r2",</w:t>
            </w:r>
            <w:r>
              <w:br/>
            </w:r>
            <w:r>
              <w:rPr>
                <w:rStyle w:val="CommentTok"/>
              </w:rPr>
              <w:t xml:space="preserve"># )</w:t>
            </w:r>
            <w:r>
              <w:br/>
            </w:r>
            <w:r>
              <w:rPr>
                <w:rStyle w:val="CommentTok"/>
              </w:rPr>
              <w:t xml:space="preserve"># fig = px.imshow(</w:t>
            </w:r>
            <w:r>
              <w:br/>
            </w:r>
            <w:r>
              <w:rPr>
                <w:rStyle w:val="CommentTok"/>
              </w:rPr>
              <w:t xml:space="preserve">#     exponential_fit_pivot,</w:t>
            </w:r>
            <w:r>
              <w:br/>
            </w:r>
            <w:r>
              <w:rPr>
                <w:rStyle w:val="CommentTok"/>
              </w:rPr>
              <w:t xml:space="preserve">#     text_auto=".2f",</w:t>
            </w:r>
            <w:r>
              <w:br/>
            </w:r>
            <w:r>
              <w:rPr>
                <w:rStyle w:val="CommentTok"/>
              </w:rPr>
              <w:t xml:space="preserve">#     labels=dict(x="Joint Moment", y="Measurement", color="R² Score"),</w:t>
            </w:r>
            <w:r>
              <w:br/>
            </w:r>
            <w:r>
              <w:rPr>
                <w:rStyle w:val="CommentTok"/>
              </w:rPr>
              <w:t xml:space="preserve">#     title="R² Heatmap of Joint Moment vs. Measurement (Exponential Fit: y = a*exp(b*x) + c)"</w:t>
            </w:r>
            <w:r>
              <w:br/>
            </w:r>
            <w:r>
              <w:rPr>
                <w:rStyle w:val="CommentTok"/>
              </w:rPr>
              <w:t xml:space="preserve"># )</w:t>
            </w:r>
            <w:r>
              <w:br/>
            </w:r>
            <w:r>
              <w:br/>
            </w:r>
            <w:r>
              <w:rPr>
                <w:rStyle w:val="CommentTok"/>
              </w:rPr>
              <w:t xml:space="preserve"># fig.show()</w:t>
            </w:r>
          </w:p>
          <w:p>
            <w:pPr>
              <w:jc w:val="center"/>
            </w:pPr>
            <w:pPr>
              <w:jc w:val="left"/>
              <w:spacing w:before="200"/>
              <w:pStyle w:val="ImageCaption"/>
            </w:pPr>
            <w:r>
              <w:t xml:space="preserve">Figure 3.3</w:t>
            </w:r>
          </w:p>
          <w:bookmarkEnd w:id="91"/>
        </w:tc>
      </w:tr>
    </w:tbl>
    <w:p>
      <w:pPr>
        <w:pStyle w:val="BodyText"/>
      </w:pPr>
      <w:r>
        <w:t xml:space="preserve">Knee flexion/extension showed the strongest scaling relationships across all joints, with the strongest fitted association given by Mass*RightTibiaLength under a power fit (</w:t>
      </w:r>
      <m:oMath>
        <m:sSup>
          <m:e>
            <m:r>
              <m:t>R</m:t>
            </m:r>
          </m:e>
          <m:sup>
            <m:r>
              <m:t>2</m:t>
            </m:r>
          </m:sup>
        </m:sSup>
        <m:r>
          <m:rPr>
            <m:sty m:val="p"/>
          </m:rPr>
          <m:t>=</m:t>
        </m:r>
      </m:oMath>
      <w:r>
        <w:t xml:space="preserve"> </w:t>
      </w:r>
      <w:r>
        <w:t xml:space="preserve">0.932). Across joint moments overall (mean of best-per-moment fits), Mass*TotalLength ranked highest, followed by Mass and Mass*RightTibiaLength, indicating that mass-length composite terms showed the most consistent fit across moments.</w:t>
      </w:r>
    </w:p>
    <w:p>
      <w:pPr>
        <w:pStyle w:val="BodyText"/>
      </w:pPr>
      <w:r>
        <w:t xml:space="preserve">The mean</w:t>
      </w:r>
      <w:r>
        <w:t xml:space="preserve"> </w:t>
      </w:r>
      <m:oMath>
        <m:sSup>
          <m:e>
            <m:r>
              <m:t>R</m:t>
            </m:r>
          </m:e>
          <m:sup>
            <m:r>
              <m:t>2</m:t>
            </m:r>
          </m:sup>
        </m:sSup>
      </m:oMath>
      <w:r>
        <w:t xml:space="preserve"> </w:t>
      </w:r>
      <w:r>
        <w:t xml:space="preserve">across joints for the best fit per moment can be computed from the fitted models.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Markdown </w:t>
      </w:r>
      <w:r>
        <w:rPr>
          <w:rStyle w:val="ImportTok"/>
        </w:rPr>
        <w:t xml:space="preserve">as</w:t>
      </w:r>
      <w:r>
        <w:rPr>
          <w:rStyle w:val="NormalTok"/>
        </w:rPr>
        <w:t xml:space="preserve"> md</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NormalTok"/>
        </w:rPr>
        <w:t xml:space="preserve">best_fits_summary_display </w:t>
      </w:r>
      <w:r>
        <w:rPr>
          <w:rStyle w:val="OperatorTok"/>
        </w:rPr>
        <w:t xml:space="preserve">=</w:t>
      </w:r>
      <w:r>
        <w:rPr>
          <w:rStyle w:val="NormalTok"/>
        </w:rPr>
        <w:t xml:space="preserve"> (</w:t>
      </w:r>
      <w:r>
        <w:br/>
      </w:r>
      <w:r>
        <w:rPr>
          <w:rStyle w:val="NormalTok"/>
        </w:rPr>
        <w:t xml:space="preserve">  best_fits_summary_full</w:t>
      </w:r>
      <w:r>
        <w:br/>
      </w:r>
      <w:r>
        <w:rPr>
          <w:rStyle w:val="NormalTok"/>
        </w:rPr>
        <w:t xml:space="preserve">  .rename(</w:t>
      </w:r>
      <w:r>
        <w:br/>
      </w:r>
      <w:r>
        <w:rPr>
          <w:rStyle w:val="NormalTok"/>
        </w:rPr>
        <w:t xml:space="preserve">    {</w:t>
      </w:r>
      <w:r>
        <w:br/>
      </w:r>
      <w:r>
        <w:rPr>
          <w:rStyle w:val="NormalTok"/>
        </w:rPr>
        <w:t xml:space="preserve">      </w:t>
      </w:r>
      <w:r>
        <w:rPr>
          <w:rStyle w:val="StringTok"/>
        </w:rPr>
        <w:t xml:space="preserve">"measurement"</w:t>
      </w:r>
      <w:r>
        <w:rPr>
          <w:rStyle w:val="NormalTok"/>
        </w:rPr>
        <w:t xml:space="preserve">: </w:t>
      </w:r>
      <w:r>
        <w:rPr>
          <w:rStyle w:val="StringTok"/>
        </w:rPr>
        <w:t xml:space="preserve">"Measurement"</w:t>
      </w:r>
      <w:r>
        <w:rPr>
          <w:rStyle w:val="NormalTok"/>
        </w:rPr>
        <w:t xml:space="preserve">,</w:t>
      </w:r>
      <w:r>
        <w:br/>
      </w:r>
      <w:r>
        <w:rPr>
          <w:rStyle w:val="NormalTok"/>
        </w:rPr>
        <w:t xml:space="preserve">      </w:t>
      </w:r>
      <w:r>
        <w:rPr>
          <w:rStyle w:val="StringTok"/>
        </w:rPr>
        <w:t xml:space="preserve">"mean_best_r2"</w:t>
      </w:r>
      <w:r>
        <w:rPr>
          <w:rStyle w:val="NormalTok"/>
        </w:rPr>
        <w:t xml:space="preserve">: </w:t>
      </w:r>
      <w:r>
        <w:rPr>
          <w:rStyle w:val="StringTok"/>
        </w:rPr>
        <w:t xml:space="preserve">"Mean Best R²"</w:t>
      </w:r>
      <w:r>
        <w:rPr>
          <w:rStyle w:val="NormalTok"/>
        </w:rPr>
        <w:t xml:space="preserve">,</w:t>
      </w:r>
      <w:r>
        <w:br/>
      </w:r>
      <w:r>
        <w:rPr>
          <w:rStyle w:val="NormalTok"/>
        </w:rPr>
        <w:t xml:space="preserve">      </w:t>
      </w:r>
      <w:r>
        <w:rPr>
          <w:rStyle w:val="StringTok"/>
        </w:rPr>
        <w:t xml:space="preserve">"mean_linear_offset_r2"</w:t>
      </w:r>
      <w:r>
        <w:rPr>
          <w:rStyle w:val="NormalTok"/>
        </w:rPr>
        <w:t xml:space="preserve">: </w:t>
      </w:r>
      <w:r>
        <w:rPr>
          <w:rStyle w:val="StringTok"/>
        </w:rPr>
        <w:t xml:space="preserve">"Mean Linear Offset R²"</w:t>
      </w:r>
      <w:r>
        <w:rPr>
          <w:rStyle w:val="NormalTok"/>
        </w:rPr>
        <w:t xml:space="preserve">,</w:t>
      </w:r>
      <w:r>
        <w:br/>
      </w:r>
      <w:r>
        <w:rPr>
          <w:rStyle w:val="NormalTok"/>
        </w:rPr>
        <w:t xml:space="preserve">      </w:t>
      </w:r>
      <w:r>
        <w:rPr>
          <w:rStyle w:val="StringTok"/>
        </w:rPr>
        <w:t xml:space="preserve">"mean_power_r2"</w:t>
      </w:r>
      <w:r>
        <w:rPr>
          <w:rStyle w:val="NormalTok"/>
        </w:rPr>
        <w:t xml:space="preserve">: </w:t>
      </w:r>
      <w:r>
        <w:rPr>
          <w:rStyle w:val="StringTok"/>
        </w:rPr>
        <w:t xml:space="preserve">"Mean Power R²"</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md(</w:t>
      </w:r>
      <w:r>
        <w:br/>
      </w:r>
      <w:r>
        <w:rPr>
          <w:rStyle w:val="NormalTok"/>
        </w:rPr>
        <w:t xml:space="preserve">  tabulate(</w:t>
      </w:r>
      <w:r>
        <w:br/>
      </w:r>
      <w:r>
        <w:rPr>
          <w:rStyle w:val="NormalTok"/>
        </w:rPr>
        <w:t xml:space="preserve">    best_fits_summary_display.to_pandas(), </w:t>
      </w:r>
      <w:r>
        <w:br/>
      </w:r>
      <w:r>
        <w:rPr>
          <w:rStyle w:val="NormalTok"/>
        </w:rPr>
        <w:t xml:space="preserve">    headers</w:t>
      </w:r>
      <w:r>
        <w:rPr>
          <w:rStyle w:val="OperatorTok"/>
        </w:rPr>
        <w:t xml:space="preserve">=</w:t>
      </w:r>
      <w:r>
        <w:rPr>
          <w:rStyle w:val="StringTok"/>
        </w:rPr>
        <w:t xml:space="preserve">"keys"</w:t>
      </w:r>
      <w:r>
        <w:rPr>
          <w:rStyle w:val="NormalTok"/>
        </w:rPr>
        <w:t xml:space="preserve">, </w:t>
      </w:r>
      <w:r>
        <w:br/>
      </w:r>
      <w:r>
        <w:rPr>
          <w:rStyle w:val="NormalTok"/>
        </w:rPr>
        <w:t xml:space="preserve">    showindex</w:t>
      </w:r>
      <w:r>
        <w:rPr>
          <w:rStyle w:val="OperatorTok"/>
        </w:rPr>
        <w:t xml:space="preserve">=</w:t>
      </w:r>
      <w:r>
        <w:rPr>
          <w:rStyle w:val="VariableTok"/>
        </w:rPr>
        <w:t xml:space="preserve">False</w:t>
      </w:r>
      <w:r>
        <w:rPr>
          <w:rStyle w:val="NormalTok"/>
        </w:rPr>
        <w:t xml:space="preserve">,</w:t>
      </w:r>
      <w:r>
        <w:br/>
      </w:r>
      <w:r>
        <w:rPr>
          <w:rStyle w:val="NormalTok"/>
        </w:rPr>
        <w:t xml:space="preserve">    tablefmt</w:t>
      </w:r>
      <w:r>
        <w:rPr>
          <w:rStyle w:val="OperatorTok"/>
        </w:rPr>
        <w:t xml:space="preserve">=</w:t>
      </w:r>
      <w:r>
        <w:rPr>
          <w:rStyle w:val="StringTok"/>
        </w:rPr>
        <w:t xml:space="preserve">"github"</w:t>
      </w:r>
      <w:r>
        <w:rPr>
          <w:rStyle w:val="NormalTok"/>
        </w:rPr>
        <w:t xml:space="preserve">,</w:t>
      </w:r>
      <w:r>
        <w:br/>
      </w:r>
      <w:r>
        <w:rPr>
          <w:rStyle w:val="NormalTok"/>
        </w:rPr>
        <w:t xml:space="preserve">    floatfmt</w:t>
      </w:r>
      <w:r>
        <w:rPr>
          <w:rStyle w:val="OperatorTok"/>
        </w:rPr>
        <w:t xml:space="preserve">=</w:t>
      </w:r>
      <w:r>
        <w:rPr>
          <w:rStyle w:val="StringTok"/>
        </w:rPr>
        <w:t xml:space="preserve">".3f"</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92" w:name="tbl-best-fits"/>
          <w:p>
            <w:pPr>
              <w:jc w:val="center"/>
            </w:pPr>
            <w:pPr>
              <w:jc w:val="left"/>
              <w:spacing w:before="200"/>
              <w:pStyle w:val="ImageCaption"/>
            </w:pPr>
            <w:r>
              <w:t xml:space="preserve">Table 3.1: Mean R² values across joints for the best fit per moment.</w:t>
            </w:r>
          </w:p>
          <w:tbl>
            <w:tblPr>
              <w:tblStyle w:val="Table"/>
              <w:tblW w:type="pct" w:w="5000"/>
              <w:tblLayout w:type="fixed"/>
              <w:tblLook w:firstRow="1" w:lastRow="0" w:firstColumn="0" w:lastColumn="0" w:noHBand="0" w:noVBand="0" w:val="0020"/>
            </w:tblPr>
            <w:tblGrid>
              <w:gridCol w:w="2248"/>
              <w:gridCol w:w="1564"/>
              <w:gridCol w:w="2444"/>
              <w:gridCol w:w="1662"/>
            </w:tblGrid>
            <w:tr>
              <w:trPr>
                <w:tblHeader w:val="on"/>
              </w:trPr>
              <w:tc>
                <w:tcPr/>
                <w:p>
                  <w:pPr>
                    <w:pStyle w:val="Compact"/>
                    <w:jc w:val="center"/>
                  </w:pPr>
                  <w:r>
                    <w:t xml:space="preserve">Measurement</w:t>
                  </w:r>
                </w:p>
              </w:tc>
              <w:tc>
                <w:tcPr/>
                <w:p>
                  <w:pPr>
                    <w:pStyle w:val="Compact"/>
                    <w:jc w:val="center"/>
                  </w:pPr>
                  <w:r>
                    <w:t xml:space="preserve">Mean Best R²</w:t>
                  </w:r>
                </w:p>
              </w:tc>
              <w:tc>
                <w:tcPr/>
                <w:p>
                  <w:pPr>
                    <w:pStyle w:val="Compact"/>
                    <w:jc w:val="center"/>
                  </w:pPr>
                  <w:r>
                    <w:t xml:space="preserve">Mean Linear Offset R²</w:t>
                  </w:r>
                </w:p>
              </w:tc>
              <w:tc>
                <w:tcPr/>
                <w:p>
                  <w:pPr>
                    <w:pStyle w:val="Compact"/>
                    <w:jc w:val="center"/>
                  </w:pPr>
                  <w:r>
                    <w:t xml:space="preserve">Mean Power R²</w:t>
                  </w:r>
                </w:p>
              </w:tc>
            </w:tr>
            <w:tr>
              <w:tc>
                <w:tcPr/>
                <w:p>
                  <w:pPr>
                    <w:pStyle w:val="Compact"/>
                    <w:jc w:val="center"/>
                  </w:pPr>
                  <w:r>
                    <w:t xml:space="preserve">Mass*TotalLength</w:t>
                  </w:r>
                </w:p>
              </w:tc>
              <w:tc>
                <w:tcPr/>
                <w:p>
                  <w:pPr>
                    <w:pStyle w:val="Compact"/>
                    <w:jc w:val="center"/>
                  </w:pPr>
                  <w:r>
                    <w:t xml:space="preserve">0.457</w:t>
                  </w:r>
                </w:p>
              </w:tc>
              <w:tc>
                <w:tcPr/>
                <w:p>
                  <w:pPr>
                    <w:pStyle w:val="Compact"/>
                    <w:jc w:val="center"/>
                  </w:pPr>
                  <w:r>
                    <w:t xml:space="preserve">0.439</w:t>
                  </w:r>
                </w:p>
              </w:tc>
              <w:tc>
                <w:tcPr/>
                <w:p>
                  <w:pPr>
                    <w:pStyle w:val="Compact"/>
                    <w:jc w:val="center"/>
                  </w:pPr>
                  <w:r>
                    <w:t xml:space="preserve">0.457</w:t>
                  </w:r>
                </w:p>
              </w:tc>
            </w:tr>
            <w:tr>
              <w:tc>
                <w:tcPr/>
                <w:p>
                  <w:pPr>
                    <w:pStyle w:val="Compact"/>
                    <w:jc w:val="center"/>
                  </w:pPr>
                  <w:r>
                    <w:t xml:space="preserve">Mass</w:t>
                  </w:r>
                </w:p>
              </w:tc>
              <w:tc>
                <w:tcPr/>
                <w:p>
                  <w:pPr>
                    <w:pStyle w:val="Compact"/>
                    <w:jc w:val="center"/>
                  </w:pPr>
                  <w:r>
                    <w:t xml:space="preserve">0.433</w:t>
                  </w:r>
                </w:p>
              </w:tc>
              <w:tc>
                <w:tcPr/>
                <w:p>
                  <w:pPr>
                    <w:pStyle w:val="Compact"/>
                    <w:jc w:val="center"/>
                  </w:pPr>
                  <w:r>
                    <w:t xml:space="preserve">0.418</w:t>
                  </w:r>
                </w:p>
              </w:tc>
              <w:tc>
                <w:tcPr/>
                <w:p>
                  <w:pPr>
                    <w:pStyle w:val="Compact"/>
                    <w:jc w:val="center"/>
                  </w:pPr>
                  <w:r>
                    <w:t xml:space="preserve">0.433</w:t>
                  </w:r>
                </w:p>
              </w:tc>
            </w:tr>
            <w:tr>
              <w:tc>
                <w:tcPr/>
                <w:p>
                  <w:pPr>
                    <w:pStyle w:val="Compact"/>
                    <w:jc w:val="center"/>
                  </w:pPr>
                  <w:r>
                    <w:t xml:space="preserve">Mass*RightTibiaLength</w:t>
                  </w:r>
                </w:p>
              </w:tc>
              <w:tc>
                <w:tcPr/>
                <w:p>
                  <w:pPr>
                    <w:pStyle w:val="Compact"/>
                    <w:jc w:val="center"/>
                  </w:pPr>
                  <w:r>
                    <w:t xml:space="preserve">0.420</w:t>
                  </w:r>
                </w:p>
              </w:tc>
              <w:tc>
                <w:tcPr/>
                <w:p>
                  <w:pPr>
                    <w:pStyle w:val="Compact"/>
                    <w:jc w:val="center"/>
                  </w:pPr>
                  <w:r>
                    <w:t xml:space="preserve">0.396</w:t>
                  </w:r>
                </w:p>
              </w:tc>
              <w:tc>
                <w:tcPr/>
                <w:p>
                  <w:pPr>
                    <w:pStyle w:val="Compact"/>
                    <w:jc w:val="center"/>
                  </w:pPr>
                  <w:r>
                    <w:t xml:space="preserve">0.420</w:t>
                  </w:r>
                </w:p>
              </w:tc>
            </w:tr>
            <w:tr>
              <w:tc>
                <w:tcPr/>
                <w:p>
                  <w:pPr>
                    <w:pStyle w:val="Compact"/>
                    <w:jc w:val="center"/>
                  </w:pPr>
                  <w:r>
                    <w:t xml:space="preserve">TotalLength</w:t>
                  </w:r>
                </w:p>
              </w:tc>
              <w:tc>
                <w:tcPr/>
                <w:p>
                  <w:pPr>
                    <w:pStyle w:val="Compact"/>
                    <w:jc w:val="center"/>
                  </w:pPr>
                  <w:r>
                    <w:t xml:space="preserve">0.410</w:t>
                  </w:r>
                </w:p>
              </w:tc>
              <w:tc>
                <w:tcPr/>
                <w:p>
                  <w:pPr>
                    <w:pStyle w:val="Compact"/>
                    <w:jc w:val="center"/>
                  </w:pPr>
                  <w:r>
                    <w:t xml:space="preserve">0.399</w:t>
                  </w:r>
                </w:p>
              </w:tc>
              <w:tc>
                <w:tcPr/>
                <w:p>
                  <w:pPr>
                    <w:pStyle w:val="Compact"/>
                    <w:jc w:val="center"/>
                  </w:pPr>
                  <w:r>
                    <w:t xml:space="preserve">0.410</w:t>
                  </w:r>
                </w:p>
              </w:tc>
            </w:tr>
            <w:tr>
              <w:tc>
                <w:tcPr/>
                <w:p>
                  <w:pPr>
                    <w:pStyle w:val="Compact"/>
                    <w:jc w:val="center"/>
                  </w:pPr>
                  <w:r>
                    <w:t xml:space="preserve">RightLegLength</w:t>
                  </w:r>
                </w:p>
              </w:tc>
              <w:tc>
                <w:tcPr/>
                <w:p>
                  <w:pPr>
                    <w:pStyle w:val="Compact"/>
                    <w:jc w:val="center"/>
                  </w:pPr>
                  <w:r>
                    <w:t xml:space="preserve">0.392</w:t>
                  </w:r>
                </w:p>
              </w:tc>
              <w:tc>
                <w:tcPr/>
                <w:p>
                  <w:pPr>
                    <w:pStyle w:val="Compact"/>
                    <w:jc w:val="center"/>
                  </w:pPr>
                  <w:r>
                    <w:t xml:space="preserve">0.366</w:t>
                  </w:r>
                </w:p>
              </w:tc>
              <w:tc>
                <w:tcPr/>
                <w:p>
                  <w:pPr>
                    <w:pStyle w:val="Compact"/>
                    <w:jc w:val="center"/>
                  </w:pPr>
                  <w:r>
                    <w:t xml:space="preserve">0.392</w:t>
                  </w:r>
                </w:p>
              </w:tc>
            </w:tr>
            <w:tr>
              <w:tc>
                <w:tcPr/>
                <w:p>
                  <w:pPr>
                    <w:pStyle w:val="Compact"/>
                    <w:jc w:val="center"/>
                  </w:pPr>
                  <w:r>
                    <w:t xml:space="preserve">RightFemurLength</w:t>
                  </w:r>
                </w:p>
              </w:tc>
              <w:tc>
                <w:tcPr/>
                <w:p>
                  <w:pPr>
                    <w:pStyle w:val="Compact"/>
                    <w:jc w:val="center"/>
                  </w:pPr>
                  <w:r>
                    <w:t xml:space="preserve">0.387</w:t>
                  </w:r>
                </w:p>
              </w:tc>
              <w:tc>
                <w:tcPr/>
                <w:p>
                  <w:pPr>
                    <w:pStyle w:val="Compact"/>
                    <w:jc w:val="center"/>
                  </w:pPr>
                  <w:r>
                    <w:t xml:space="preserve">0.355</w:t>
                  </w:r>
                </w:p>
              </w:tc>
              <w:tc>
                <w:tcPr/>
                <w:p>
                  <w:pPr>
                    <w:pStyle w:val="Compact"/>
                    <w:jc w:val="center"/>
                  </w:pPr>
                  <w:r>
                    <w:t xml:space="preserve">0.387</w:t>
                  </w:r>
                </w:p>
              </w:tc>
            </w:tr>
            <w:tr>
              <w:tc>
                <w:tcPr/>
                <w:p>
                  <w:pPr>
                    <w:pStyle w:val="Compact"/>
                    <w:jc w:val="center"/>
                  </w:pPr>
                  <w:r>
                    <w:t xml:space="preserve">RightTibiaLength</w:t>
                  </w:r>
                </w:p>
              </w:tc>
              <w:tc>
                <w:tcPr/>
                <w:p>
                  <w:pPr>
                    <w:pStyle w:val="Compact"/>
                    <w:jc w:val="center"/>
                  </w:pPr>
                  <w:r>
                    <w:t xml:space="preserve">0.359</w:t>
                  </w:r>
                </w:p>
              </w:tc>
              <w:tc>
                <w:tcPr/>
                <w:p>
                  <w:pPr>
                    <w:pStyle w:val="Compact"/>
                    <w:jc w:val="center"/>
                  </w:pPr>
                  <w:r>
                    <w:t xml:space="preserve">0.301</w:t>
                  </w:r>
                </w:p>
              </w:tc>
              <w:tc>
                <w:tcPr/>
                <w:p>
                  <w:pPr>
                    <w:pStyle w:val="Compact"/>
                    <w:jc w:val="center"/>
                  </w:pPr>
                  <w:r>
                    <w:t xml:space="preserve">0.359</w:t>
                  </w:r>
                </w:p>
              </w:tc>
            </w:tr>
            <w:tr>
              <w:tc>
                <w:tcPr/>
                <w:p>
                  <w:pPr>
                    <w:pStyle w:val="Compact"/>
                    <w:jc w:val="center"/>
                  </w:pPr>
                  <w:r>
                    <w:t xml:space="preserve">Mass*Speed</w:t>
                  </w:r>
                </w:p>
              </w:tc>
              <w:tc>
                <w:tcPr/>
                <w:p>
                  <w:pPr>
                    <w:pStyle w:val="Compact"/>
                    <w:jc w:val="center"/>
                  </w:pPr>
                  <w:r>
                    <w:t xml:space="preserve">0.315</w:t>
                  </w:r>
                </w:p>
              </w:tc>
              <w:tc>
                <w:tcPr/>
                <w:p>
                  <w:pPr>
                    <w:pStyle w:val="Compact"/>
                    <w:jc w:val="center"/>
                  </w:pPr>
                  <w:r>
                    <w:t xml:space="preserve">0.287</w:t>
                  </w:r>
                </w:p>
              </w:tc>
              <w:tc>
                <w:tcPr/>
                <w:p>
                  <w:pPr>
                    <w:pStyle w:val="Compact"/>
                    <w:jc w:val="center"/>
                  </w:pPr>
                  <w:r>
                    <w:t xml:space="preserve">0.315</w:t>
                  </w:r>
                </w:p>
              </w:tc>
            </w:tr>
            <w:tr>
              <w:tc>
                <w:tcPr/>
                <w:p>
                  <w:pPr>
                    <w:pStyle w:val="Compact"/>
                    <w:jc w:val="center"/>
                  </w:pPr>
                  <w:r>
                    <w:t xml:space="preserve">RightFootLength</w:t>
                  </w:r>
                </w:p>
              </w:tc>
              <w:tc>
                <w:tcPr/>
                <w:p>
                  <w:pPr>
                    <w:pStyle w:val="Compact"/>
                    <w:jc w:val="center"/>
                  </w:pPr>
                  <w:r>
                    <w:t xml:space="preserve">0.308</w:t>
                  </w:r>
                </w:p>
              </w:tc>
              <w:tc>
                <w:tcPr/>
                <w:p>
                  <w:pPr>
                    <w:pStyle w:val="Compact"/>
                    <w:jc w:val="center"/>
                  </w:pPr>
                  <w:r>
                    <w:t xml:space="preserve">0.292</w:t>
                  </w:r>
                </w:p>
              </w:tc>
              <w:tc>
                <w:tcPr/>
                <w:p>
                  <w:pPr>
                    <w:pStyle w:val="Compact"/>
                    <w:jc w:val="center"/>
                  </w:pPr>
                  <w:r>
                    <w:t xml:space="preserve">0.308</w:t>
                  </w:r>
                </w:p>
              </w:tc>
            </w:tr>
            <w:tr>
              <w:tc>
                <w:tcPr/>
                <w:p>
                  <w:pPr>
                    <w:pStyle w:val="Compact"/>
                    <w:jc w:val="center"/>
                  </w:pPr>
                  <w:r>
                    <w:t xml:space="preserve">RightWalkingSpeed</w:t>
                  </w:r>
                </w:p>
              </w:tc>
              <w:tc>
                <w:tcPr/>
                <w:p>
                  <w:pPr>
                    <w:pStyle w:val="Compact"/>
                    <w:jc w:val="center"/>
                  </w:pPr>
                  <w:r>
                    <w:t xml:space="preserve">0.070</w:t>
                  </w:r>
                </w:p>
              </w:tc>
              <w:tc>
                <w:tcPr/>
                <w:p>
                  <w:pPr>
                    <w:pStyle w:val="Compact"/>
                    <w:jc w:val="center"/>
                  </w:pPr>
                  <w:r>
                    <w:t xml:space="preserve">0.053</w:t>
                  </w:r>
                </w:p>
              </w:tc>
              <w:tc>
                <w:tcPr/>
                <w:p>
                  <w:pPr>
                    <w:pStyle w:val="Compact"/>
                    <w:jc w:val="center"/>
                  </w:pPr>
                  <w:r>
                    <w:t xml:space="preserve">0.070</w:t>
                  </w:r>
                </w:p>
              </w:tc>
            </w:tr>
          </w:tbl>
          <w:bookmarkEnd w:id="92"/>
          <w:p/>
        </w:tc>
      </w:tr>
    </w:tbl>
    <w:bookmarkEnd w:id="93"/>
    <w:bookmarkStart w:id="94" w:name="discussion-1"/>
    <w:p>
      <w:pPr>
        <w:pStyle w:val="Heading2"/>
      </w:pPr>
      <w:r>
        <w:t xml:space="preserve">3.4 Discussion</w:t>
      </w:r>
    </w:p>
    <w:p>
      <w:pPr>
        <w:pStyle w:val="FirstParagraph"/>
      </w:pPr>
      <w:r>
        <w:t xml:space="preserve">This workflow provides a practical first-pass strategy for identifying candidate scaling variables in rodent inverse dynamics, but several limitations should be considered when interpreting the findings. First, the sample size is modest, which increases sensitivity to subject-level variability and may limit generalizability. Additionally, the dataset is not fully age-balanced, with only three older animals included, which may bias scaling relationships if age-related changes in biomechanics are present. The analysis also focuses on peak moment magnitudes rather than time-series data, which may miss important dynamic scaling effects.</w:t>
      </w:r>
    </w:p>
    <w:p>
      <w:pPr>
        <w:pStyle w:val="BodyText"/>
      </w:pPr>
      <w:r>
        <w:t xml:space="preserve">Most importantly, the present analysis evaluates pre-normalization model fit rather than post-normalization independence from size. Consequently, these results should be interpreted as a screening stage for candidate normalization terms, not as a complete validation. A stronger validation pipeline would normalize moments using each candidate term, then explicitly test residual correlations with mass and segment length and evaluate whether between-subject dispersion is reduced in a biologically meaningful way.</w:t>
      </w:r>
    </w:p>
    <w:p>
      <w:pPr>
        <w:pStyle w:val="BodyText"/>
      </w:pPr>
      <w:r>
        <w:t xml:space="preserve">Future work should therefore prioritize larger, age-balanced datasets and direct post-normalization diagnostics (residual-trend testing, variance reduction metrics, and cross-cohort reproducibility) to determine which scaling approach is most robust for translational rodent biomechanics.</w:t>
      </w:r>
    </w:p>
    <w:bookmarkEnd w:id="94"/>
    <w:bookmarkEnd w:id="95"/>
    <w:bookmarkStart w:id="135" w:name="bilateral-rat-model-refinement"/>
    <w:p>
      <w:pPr>
        <w:pStyle w:val="Heading1"/>
      </w:pPr>
      <w:r>
        <w:t xml:space="preserve">4. Bilateral Rat Model Refinement</w:t>
      </w:r>
    </w:p>
    <w:bookmarkStart w:id="99" w:name="introduction-3"/>
    <w:p>
      <w:pPr>
        <w:pStyle w:val="Heading2"/>
      </w:pPr>
      <w:r>
        <w:t xml:space="preserve">4.1 Introduction</w:t>
      </w:r>
    </w:p>
    <w:p>
      <w:pPr>
        <w:pStyle w:val="FirstParagraph"/>
      </w:pPr>
      <w:r>
        <w:t xml:space="preserve">Musculoskeletal simulation of rodent locomotion requires a detailed and physiologically accurate model. The most widely used rat hindlimb model for OpenSim was developed by</w:t>
      </w:r>
      <w:r>
        <w:t xml:space="preserve"> </w:t>
      </w:r>
      <w:r>
        <w:t xml:space="preserve">Johnson et al. (2008)</w:t>
      </w:r>
      <w:r>
        <w:t xml:space="preserve"> </w:t>
      </w:r>
      <w:r>
        <w:t xml:space="preserve">and made available on</w:t>
      </w:r>
      <w:r>
        <w:t xml:space="preserve"> </w:t>
      </w:r>
      <w:hyperlink r:id="rId96">
        <w:r>
          <w:rPr>
            <w:rStyle w:val="Hyperlink"/>
          </w:rPr>
          <w:t xml:space="preserve">SimTK</w:t>
        </w:r>
      </w:hyperlink>
      <w:r>
        <w:t xml:space="preserve">. This model has been used in a number of subsequent studies, including functional electrical stimulation applications</w:t>
      </w:r>
      <w:r>
        <w:t xml:space="preserve"> </w:t>
      </w:r>
      <w:r>
        <w:t xml:space="preserve">(Johnson et al. 2011)</w:t>
      </w:r>
      <w:r>
        <w:t xml:space="preserve">, cross-species comparison</w:t>
      </w:r>
      <w:r>
        <w:t xml:space="preserve"> </w:t>
      </w:r>
      <w:r>
        <w:t xml:space="preserve">(Charles et al. 2016)</w:t>
      </w:r>
      <w:r>
        <w:t xml:space="preserve">, and gait analysis in injury models</w:t>
      </w:r>
      <w:r>
        <w:t xml:space="preserve"> </w:t>
      </w:r>
      <w:r>
        <w:t xml:space="preserve">(</w:t>
      </w:r>
      <w:r>
        <w:rPr>
          <w:b/>
          <w:bCs/>
        </w:rPr>
        <w:t xml:space="preserve">dienesAnalysisModelingRat2019?</w:t>
      </w:r>
      <w:r>
        <w:t xml:space="preserve">;</w:t>
      </w:r>
      <w:r>
        <w:t xml:space="preserve"> </w:t>
      </w:r>
      <w:r>
        <w:rPr>
          <w:b/>
          <w:bCs/>
        </w:rPr>
        <w:t xml:space="preserve">hicksKinematicKineticGait2023?</w:t>
      </w:r>
      <w:r>
        <w:t xml:space="preserve">)</w:t>
      </w:r>
      <w:r>
        <w:t xml:space="preserve">. However, the original model is unilateral, relies on older OpenSim conventions, and contains several features that limit its accuracy when scaled to individual subjects or used for muscle-level analyses.</w:t>
      </w:r>
    </w:p>
    <w:p>
      <w:pPr>
        <w:pStyle w:val="BodyText"/>
      </w:pPr>
      <w:r>
        <w:t xml:space="preserve">In this chapter, we describe the refinement and extension of the Johnson model into a bilateral rat hindlimb model suitable for subject-specific musculoskeletal simulation. The modifications include: (1) general modernization of naming conventions and coordinate definitions, (2) correction of the knee joint definition to improve scaling behavior, (3) replacement of wrapping-surface-based muscle paths with via-point paths derived from the Animatlab model of</w:t>
      </w:r>
      <w:r>
        <w:t xml:space="preserve"> </w:t>
      </w:r>
      <w:r>
        <w:t xml:space="preserve">Young et al. (2018)</w:t>
      </w:r>
      <w:r>
        <w:t xml:space="preserve">, (4) conversion from Thelen to Millard muscle dynamics, (5) updated muscle architectural parameters, and (6) mirroring of the right-side anatomy to produce a complete bilateral model. The up-to-date model, version history, and processing code are maintained in the</w:t>
      </w:r>
      <w:r>
        <w:t xml:space="preserve"> </w:t>
      </w:r>
      <w:hyperlink r:id="rId97">
        <w:r>
          <w:rPr>
            <w:rStyle w:val="VerbatimChar"/>
          </w:rPr>
          <w:t xml:space="preserve">rat-hindlimb-model</w:t>
        </w:r>
        <w:r>
          <w:rPr>
            <w:rStyle w:val="Hyperlink"/>
          </w:rPr>
          <w:t xml:space="preserve"> </w:t>
        </w:r>
        <w:r>
          <w:rPr>
            <w:rStyle w:val="Hyperlink"/>
          </w:rPr>
          <w:t xml:space="preserve">repository</w:t>
        </w:r>
      </w:hyperlink>
      <w:r>
        <w:t xml:space="preserve">.</w:t>
      </w:r>
    </w:p>
    <w:bookmarkStart w:id="98" w:name="prior-work"/>
    <w:p>
      <w:pPr>
        <w:pStyle w:val="Heading3"/>
      </w:pPr>
      <w:r>
        <w:t xml:space="preserve">4.1.1 Prior Work</w:t>
      </w:r>
    </w:p>
    <w:p>
      <w:pPr>
        <w:pStyle w:val="FirstParagraph"/>
      </w:pPr>
      <w:r>
        <w:t xml:space="preserve">The Johnson model</w:t>
      </w:r>
      <w:r>
        <w:t xml:space="preserve"> </w:t>
      </w:r>
      <w:r>
        <w:t xml:space="preserve">(Johnson et al. 2008)</w:t>
      </w:r>
      <w:r>
        <w:t xml:space="preserve"> </w:t>
      </w:r>
      <w:r>
        <w:t xml:space="preserve">was the first three-dimensional musculoskeletal model of the rat hindlimb for OpenSim. It defined 13 degrees of freedom across the hip, knee, and ankle joints with 42 musculotendon actuators and was used by</w:t>
      </w:r>
      <w:r>
        <w:t xml:space="preserve"> </w:t>
      </w:r>
      <w:r>
        <w:t xml:space="preserve">Johnson et al. (2011)</w:t>
      </w:r>
      <w:r>
        <w:t xml:space="preserve"> </w:t>
      </w:r>
      <w:r>
        <w:t xml:space="preserve">to study functional electrical stimulation of the rat hindlimb.</w:t>
      </w:r>
      <w:r>
        <w:t xml:space="preserve"> </w:t>
      </w:r>
      <w:r>
        <w:t xml:space="preserve">(</w:t>
      </w:r>
      <w:r>
        <w:rPr>
          <w:b/>
          <w:bCs/>
        </w:rPr>
        <w:t xml:space="preserve">engScalingMuscleArchitecture2008?</w:t>
      </w:r>
      <w:r>
        <w:t xml:space="preserve">)</w:t>
      </w:r>
      <w:r>
        <w:t xml:space="preserve"> </w:t>
      </w:r>
      <w:r>
        <w:t xml:space="preserve">provided scaling relationships for muscle architectural parameters across species, and</w:t>
      </w:r>
      <w:r>
        <w:t xml:space="preserve"> </w:t>
      </w:r>
      <w:r>
        <w:t xml:space="preserve">Charles et al. (2016)</w:t>
      </w:r>
      <w:r>
        <w:t xml:space="preserve"> </w:t>
      </w:r>
      <w:r>
        <w:t xml:space="preserve">developed a comparable mouse hindlimb model with detailed musculoskeletal geometry.</w:t>
      </w:r>
    </w:p>
    <w:p>
      <w:pPr>
        <w:pStyle w:val="BodyText"/>
      </w:pPr>
      <w:r>
        <w:t xml:space="preserve">Several more recent efforts have built on or adapted the Johnson model.</w:t>
      </w:r>
      <w:r>
        <w:t xml:space="preserve"> </w:t>
      </w:r>
      <w:r>
        <w:t xml:space="preserve">Young et al. (2018)</w:t>
      </w:r>
      <w:r>
        <w:t xml:space="preserve"> </w:t>
      </w:r>
      <w:r>
        <w:t xml:space="preserve">created a detailed neuromechanical rat model in Animatlab software, defining comprehensive muscle attachment points based on</w:t>
      </w:r>
      <w:r>
        <w:t xml:space="preserve"> </w:t>
      </w:r>
      <w:r>
        <w:t xml:space="preserve">(</w:t>
      </w:r>
      <w:r>
        <w:rPr>
          <w:b/>
          <w:bCs/>
        </w:rPr>
        <w:t xml:space="preserve">greeneAnatomyRat?</w:t>
      </w:r>
      <w:r>
        <w:t xml:space="preserve">)</w:t>
      </w:r>
      <w:r>
        <w:t xml:space="preserve"> </w:t>
      </w:r>
      <w:r>
        <w:t xml:space="preserve">rather than relying on wrapping surfaces.</w:t>
      </w:r>
      <w:r>
        <w:t xml:space="preserve"> </w:t>
      </w:r>
      <w:r>
        <w:t xml:space="preserve">Young et al. (2019)</w:t>
      </w:r>
      <w:r>
        <w:t xml:space="preserve"> </w:t>
      </w:r>
      <w:r>
        <w:t xml:space="preserve">subsequently validated moment arm profiles from that model.</w:t>
      </w:r>
      <w:r>
        <w:t xml:space="preserve"> </w:t>
      </w:r>
      <w:r>
        <w:t xml:space="preserve">(</w:t>
      </w:r>
      <w:r>
        <w:rPr>
          <w:b/>
          <w:bCs/>
        </w:rPr>
        <w:t xml:space="preserve">ramalingasettyWholeBodyMusculoskeletalModel2021?</w:t>
      </w:r>
      <w:r>
        <w:t xml:space="preserve">)</w:t>
      </w:r>
      <w:r>
        <w:t xml:space="preserve"> </w:t>
      </w:r>
      <w:r>
        <w:t xml:space="preserve">developed a whole-body mouse musculoskeletal model and applied a tendon slack length optimization approach relevant to smaller-scale models.</w:t>
      </w:r>
      <w:r>
        <w:t xml:space="preserve"> </w:t>
      </w:r>
      <w:r>
        <w:t xml:space="preserve">Hunt et al. (2015)</w:t>
      </w:r>
      <w:r>
        <w:t xml:space="preserve"> </w:t>
      </w:r>
      <w:r>
        <w:t xml:space="preserve">explored the use of animal models for neuromechanical simulation, providing context for the broader utility of rodent musculoskeletal models.</w:t>
      </w:r>
    </w:p>
    <w:p>
      <w:pPr>
        <w:pStyle w:val="BodyText"/>
      </w:pPr>
      <w:r>
        <w:t xml:space="preserve">On the experimental side,</w:t>
      </w:r>
      <w:r>
        <w:t xml:space="preserve"> </w:t>
      </w:r>
      <w:r>
        <w:t xml:space="preserve">(</w:t>
      </w:r>
      <w:r>
        <w:rPr>
          <w:b/>
          <w:bCs/>
        </w:rPr>
        <w:t xml:space="preserve">dienesAnalysisModelingRat2019?</w:t>
      </w:r>
      <w:r>
        <w:t xml:space="preserve">)</w:t>
      </w:r>
      <w:r>
        <w:t xml:space="preserve"> </w:t>
      </w:r>
      <w:r>
        <w:t xml:space="preserve">and</w:t>
      </w:r>
      <w:r>
        <w:t xml:space="preserve"> </w:t>
      </w:r>
      <w:r>
        <w:t xml:space="preserve">(</w:t>
      </w:r>
      <w:r>
        <w:rPr>
          <w:b/>
          <w:bCs/>
        </w:rPr>
        <w:t xml:space="preserve">hicksKinematicKineticGait2023?</w:t>
      </w:r>
      <w:r>
        <w:t xml:space="preserve">)</w:t>
      </w:r>
      <w:r>
        <w:t xml:space="preserve"> </w:t>
      </w:r>
      <w:r>
        <w:t xml:space="preserve">used scaled versions of the Johnson model for gait analysis in the context of volumetric muscle loss injury, which directly motivated the model improvements described here.</w:t>
      </w:r>
    </w:p>
    <w:bookmarkEnd w:id="98"/>
    <w:bookmarkEnd w:id="99"/>
    <w:bookmarkStart w:id="123" w:name="methods-2"/>
    <w:p>
      <w:pPr>
        <w:pStyle w:val="Heading2"/>
      </w:pPr>
      <w:r>
        <w:t xml:space="preserve">4.2 Methods</w:t>
      </w:r>
    </w:p>
    <w:bookmarkStart w:id="100" w:name="general-modernization"/>
    <w:p>
      <w:pPr>
        <w:pStyle w:val="Heading3"/>
      </w:pPr>
      <w:r>
        <w:t xml:space="preserve">4.2.1 General Modernization</w:t>
      </w:r>
    </w:p>
    <w:p>
      <w:pPr>
        <w:pStyle w:val="FirstParagraph"/>
      </w:pPr>
      <w:r>
        <w:t xml:space="preserve">Several structural updates were made to bring the model in line with current OpenSim conventions and to prepare it for bilateral extension. All body and joint names on the right side were given a</w:t>
      </w:r>
      <w:r>
        <w:t xml:space="preserve"> </w:t>
      </w:r>
      <w:r>
        <w:rPr>
          <w:rStyle w:val="VerbatimChar"/>
        </w:rPr>
        <w:t xml:space="preserve">_r</w:t>
      </w:r>
      <w:r>
        <w:t xml:space="preserve"> </w:t>
      </w:r>
      <w:r>
        <w:t xml:space="preserve">suffix (e.g.,</w:t>
      </w:r>
      <w:r>
        <w:t xml:space="preserve"> </w:t>
      </w:r>
      <w:r>
        <w:rPr>
          <w:rStyle w:val="VerbatimChar"/>
        </w:rPr>
        <w:t xml:space="preserve">femur</w:t>
      </w:r>
      <w:r>
        <w:t xml:space="preserve"> </w:t>
      </w:r>
      <w:r>
        <w:t xml:space="preserve">became</w:t>
      </w:r>
      <w:r>
        <w:t xml:space="preserve"> </w:t>
      </w:r>
      <w:r>
        <w:rPr>
          <w:rStyle w:val="VerbatimChar"/>
        </w:rPr>
        <w:t xml:space="preserve">femur_r</w:t>
      </w:r>
      <w:r>
        <w:t xml:space="preserve">,</w:t>
      </w:r>
      <w:r>
        <w:t xml:space="preserve"> </w:t>
      </w:r>
      <w:r>
        <w:rPr>
          <w:rStyle w:val="VerbatimChar"/>
        </w:rPr>
        <w:t xml:space="preserve">knee</w:t>
      </w:r>
      <w:r>
        <w:t xml:space="preserve"> </w:t>
      </w:r>
      <w:r>
        <w:t xml:space="preserve">became</w:t>
      </w:r>
      <w:r>
        <w:t xml:space="preserve"> </w:t>
      </w:r>
      <w:r>
        <w:rPr>
          <w:rStyle w:val="VerbatimChar"/>
        </w:rPr>
        <w:t xml:space="preserve">knee_r</w:t>
      </w:r>
      <w:r>
        <w:t xml:space="preserve">) to allow unambiguous identification after mirroring. Bone geometry files were converted from VTK</w:t>
      </w:r>
      <w:r>
        <w:t xml:space="preserve"> </w:t>
      </w:r>
      <w:r>
        <w:rPr>
          <w:rStyle w:val="VerbatimChar"/>
        </w:rPr>
        <w:t xml:space="preserve">.vtp</w:t>
      </w:r>
      <w:r>
        <w:t xml:space="preserve"> </w:t>
      </w:r>
      <w:r>
        <w:t xml:space="preserve">format to</w:t>
      </w:r>
      <w:r>
        <w:t xml:space="preserve"> </w:t>
      </w:r>
      <w:r>
        <w:rPr>
          <w:rStyle w:val="VerbatimChar"/>
        </w:rPr>
        <w:t xml:space="preserve">.stl</w:t>
      </w:r>
      <w:r>
        <w:t xml:space="preserve"> </w:t>
      </w:r>
      <w:r>
        <w:t xml:space="preserve">format for compatibility with common mesh processing tools.</w:t>
      </w:r>
    </w:p>
    <w:p>
      <w:pPr>
        <w:pStyle w:val="BodyText"/>
      </w:pPr>
      <w:r>
        <w:t xml:space="preserve">Degrees of freedom that are not actively used in typical rat gait analyses were locked to reduce model complexity and avoid non-physiological solutions during inverse kinematics or computed muscle control. The locked coordinates include ankle adduction (</w:t>
      </w:r>
      <w:r>
        <w:rPr>
          <w:rStyle w:val="VerbatimChar"/>
        </w:rPr>
        <w:t xml:space="preserve">ankle_r_add</w:t>
      </w:r>
      <w:r>
        <w:t xml:space="preserve">), ankle internal rotation (</w:t>
      </w:r>
      <w:r>
        <w:rPr>
          <w:rStyle w:val="VerbatimChar"/>
        </w:rPr>
        <w:t xml:space="preserve">ankle_r_int</w:t>
      </w:r>
      <w:r>
        <w:t xml:space="preserve">), and sacroiliac flexion (</w:t>
      </w:r>
      <w:r>
        <w:rPr>
          <w:rStyle w:val="VerbatimChar"/>
        </w:rPr>
        <w:t xml:space="preserve">sacroiliac_r_flx</w:t>
      </w:r>
      <w:r>
        <w:t xml:space="preserve">). The marker set was also updated to match the marker placement protocol used in our laboratory’s experimental studies</w:t>
      </w:r>
      <w:r>
        <w:t xml:space="preserve"> </w:t>
      </w:r>
      <w:r>
        <w:t xml:space="preserve">(</w:t>
      </w:r>
      <w:r>
        <w:rPr>
          <w:b/>
          <w:bCs/>
        </w:rPr>
        <w:t xml:space="preserve">dienesAnalysisModelingRat2019?</w:t>
      </w:r>
      <w:r>
        <w:t xml:space="preserve">;</w:t>
      </w:r>
      <w:r>
        <w:t xml:space="preserve"> </w:t>
      </w:r>
      <w:r>
        <w:rPr>
          <w:b/>
          <w:bCs/>
        </w:rPr>
        <w:t xml:space="preserve">hicksKinematicKineticGait2023?</w:t>
      </w:r>
      <w:r>
        <w:t xml:space="preserve">)</w:t>
      </w:r>
      <w:r>
        <w:t xml:space="preserve">.</w:t>
      </w:r>
    </w:p>
    <w:bookmarkEnd w:id="100"/>
    <w:bookmarkStart w:id="105" w:name="knee-joint-definition"/>
    <w:p>
      <w:pPr>
        <w:pStyle w:val="Heading3"/>
      </w:pPr>
      <w:r>
        <w:t xml:space="preserve">4.2.2 Knee Joint Definition</w:t>
      </w:r>
    </w:p>
    <w:p>
      <w:pPr>
        <w:pStyle w:val="FirstParagraph"/>
      </w:pPr>
      <w:r>
        <w:t xml:space="preserve">In Johnson’s original model, the tibia offset frame used as the parent frame for the knee joint is defined at the distal end of the tibia, and the spatial transform is governed by a</w:t>
      </w:r>
      <w:r>
        <w:t xml:space="preserve"> </w:t>
      </w:r>
      <w:r>
        <w:rPr>
          <w:rStyle w:val="VerbatimChar"/>
        </w:rPr>
        <w:t xml:space="preserve">SimmSpline</w:t>
      </w:r>
      <w:r>
        <w:t xml:space="preserve"> </w:t>
      </w:r>
      <w:r>
        <w:t xml:space="preserve">component that encodes the non-linear translation of the tibia relative to the femur as a function of knee flexion angle. When the model is scaled to subject-specific parameters, the knee motion becomes incorrect because the</w:t>
      </w:r>
      <w:r>
        <w:t xml:space="preserve"> </w:t>
      </w:r>
      <w:r>
        <w:rPr>
          <w:rStyle w:val="VerbatimChar"/>
        </w:rPr>
        <w:t xml:space="preserve">SimmSpline</w:t>
      </w:r>
      <w:r>
        <w:t xml:space="preserve"> </w:t>
      </w:r>
      <w:r>
        <w:t xml:space="preserve">trajectory does not change with scaling and the tibia offset frame remains fixed, so there is nothing to account for the new tibia length.</w:t>
      </w:r>
    </w:p>
    <w:p>
      <w:pPr>
        <w:pStyle w:val="BodyText"/>
      </w:pPr>
      <w:r>
        <w:t xml:space="preserve">To correct this, we repositioned the tibia offset frame to the approximate joint center of the knee as determined by the instantaneous center of rotation (ICR). The ICR was computed by moving the knee through its full range of motion, sampling the position of the tibia origin at each configuration, and projecting these points into the sagittal plane to identify the center of the arc. The resulting offset frame location was set to</w:t>
      </w:r>
      <w:r>
        <w:t xml:space="preserve"> </w:t>
      </w:r>
      <m:oMath>
        <m:r>
          <m:rPr>
            <m:sty m:val="p"/>
          </m:rPr>
          <m:t>[</m:t>
        </m:r>
        <m:r>
          <m:rPr>
            <m:sty m:val="p"/>
          </m:rPr>
          <m:t>−</m:t>
        </m:r>
        <m:r>
          <m:t>0.00057</m:t>
        </m:r>
        <m:r>
          <m:rPr>
            <m:sty m:val="p"/>
          </m:rPr>
          <m:t>,</m:t>
        </m:r>
        <m:r>
          <m:t>0.0400</m:t>
        </m:r>
        <m:r>
          <m:rPr>
            <m:sty m:val="p"/>
          </m:rPr>
          <m:t>,</m:t>
        </m:r>
        <m:r>
          <m:t>0.0038</m:t>
        </m:r>
        <m:r>
          <m:rPr>
            <m:sty m:val="p"/>
          </m:rPr>
          <m:t>]</m:t>
        </m:r>
      </m:oMath>
      <w:r>
        <w:t xml:space="preserve"> </w:t>
      </w:r>
      <w:r>
        <w:t xml:space="preserve">m in the tibia body frame. The</w:t>
      </w:r>
      <w:r>
        <w:t xml:space="preserve"> </w:t>
      </w:r>
      <w:r>
        <w:rPr>
          <w:rStyle w:val="VerbatimChar"/>
        </w:rPr>
        <w:t xml:space="preserve">SimmSpline</w:t>
      </w:r>
      <w:r>
        <w:t xml:space="preserve"> </w:t>
      </w:r>
      <w:r>
        <w:t xml:space="preserve">functions governing the three translational components of the spatial transform were re-fit with 14 control points each to preserve the original non-linear knee kinematics while referencing the new frame location. A constant rotation of 0.262 rad (15°) was applied about the third rotation axis to maintain the resting knee angle. The effect of this change is illustrated in</w:t>
      </w:r>
      <w:r>
        <w:t xml:space="preserve"> </w:t>
      </w:r>
      <w:hyperlink w:anchor="fig-knee">
        <w:r>
          <w:rPr>
            <w:rStyle w:val="Hyperlink"/>
          </w:rPr>
          <w:t xml:space="preserve">Figure 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4" w:name="fig-knee"/>
          <w:p>
            <w:pPr>
              <w:pStyle w:val="Compact"/>
              <w:jc w:val="center"/>
            </w:pPr>
            <w:r>
              <w:drawing>
                <wp:inline>
                  <wp:extent cx="4229100" cy="10947400"/>
                  <wp:effectExtent b="0" l="0" r="0" t="0"/>
                  <wp:docPr descr="" title="" id="102" name="Picture"/>
                  <a:graphic>
                    <a:graphicData uri="http://schemas.openxmlformats.org/drawingml/2006/picture">
                      <pic:pic>
                        <pic:nvPicPr>
                          <pic:cNvPr descr="chapters/../src/RatHindlimb/figs/knee-icr.png" id="103" name="Picture"/>
                          <pic:cNvPicPr>
                            <a:picLocks noChangeArrowheads="1" noChangeAspect="1"/>
                          </pic:cNvPicPr>
                        </pic:nvPicPr>
                        <pic:blipFill>
                          <a:blip r:embed="rId101"/>
                          <a:stretch>
                            <a:fillRect/>
                          </a:stretch>
                        </pic:blipFill>
                        <pic:spPr bwMode="auto">
                          <a:xfrm>
                            <a:off x="0" y="0"/>
                            <a:ext cx="4229100" cy="10947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Knee joint center before and after adjustment based on instantaneous center of rotation analysis.</w:t>
            </w:r>
          </w:p>
          <w:bookmarkEnd w:id="104"/>
        </w:tc>
      </w:tr>
    </w:tbl>
    <w:bookmarkEnd w:id="105"/>
    <w:bookmarkStart w:id="106" w:name="inertial-parameters"/>
    <w:p>
      <w:pPr>
        <w:pStyle w:val="Heading3"/>
      </w:pPr>
      <w:r>
        <w:t xml:space="preserve">4.2.3 Inertial Parameters</w:t>
      </w:r>
    </w:p>
    <w:p>
      <w:pPr>
        <w:pStyle w:val="FirstParagraph"/>
      </w:pPr>
      <w:r>
        <w:t xml:space="preserve">Inertial properties were updated based on the methodology described by</w:t>
      </w:r>
      <w:r>
        <w:t xml:space="preserve"> </w:t>
      </w:r>
      <w:r>
        <w:t xml:space="preserve">(</w:t>
      </w:r>
      <w:r>
        <w:rPr>
          <w:b/>
          <w:bCs/>
        </w:rPr>
        <w:t xml:space="preserve">hicksKinematicKineticGait2023?</w:t>
      </w:r>
      <w:r>
        <w:t xml:space="preserve">)</w:t>
      </w:r>
      <w:r>
        <w:t xml:space="preserve">, who derived segment-specific inertial parameters from cadaveric measurements and geometric approximations of limb segments as uniform-density solids. These values are used during inverse dynamics to compute net joint moments from measured kinematics and ground reaction forces.</w:t>
      </w:r>
    </w:p>
    <w:bookmarkEnd w:id="106"/>
    <w:bookmarkStart w:id="109" w:name="sec-muscle-path-analysis"/>
    <w:p>
      <w:pPr>
        <w:pStyle w:val="Heading3"/>
      </w:pPr>
      <w:r>
        <w:t xml:space="preserve">4.2.4 Muscle Path Analysis</w:t>
      </w:r>
    </w:p>
    <w:p>
      <w:pPr>
        <w:pStyle w:val="FirstParagraph"/>
      </w:pPr>
      <w:r>
        <w:t xml:space="preserve">In analyzing the original Johnson rat model, we observed that several muscles exhibited discontinuous changes in length during joint rotations. This behavior is non-physiological and can lead to inaccuracies in simulations of muscle function, particularly when computing muscle forces or tendon slack lengths that depend on smoothly varying musculotendon length curves.</w:t>
      </w:r>
    </w:p>
    <w:p>
      <w:pPr>
        <w:pStyle w:val="BodyText"/>
      </w:pPr>
      <w:r>
        <w:t xml:space="preserve">The model was moved through its full range of motion and muscle lengths were analyzed to identify discontinuities. The</w:t>
      </w:r>
      <w:r>
        <w:t xml:space="preserve"> </w:t>
      </w:r>
      <w:r>
        <w:rPr>
          <w:rStyle w:val="VerbatimChar"/>
        </w:rPr>
        <w:t xml:space="preserve">OsimGraph</w:t>
      </w:r>
      <w:r>
        <w:t xml:space="preserve"> </w:t>
      </w:r>
      <w:r>
        <w:t xml:space="preserve">class from the</w:t>
      </w:r>
      <w:r>
        <w:t xml:space="preserve"> </w:t>
      </w:r>
      <w:hyperlink r:id="rId107">
        <w:r>
          <w:rPr>
            <w:rStyle w:val="VerbatimChar"/>
          </w:rPr>
          <w:t xml:space="preserve">osimpy</w:t>
        </w:r>
      </w:hyperlink>
      <w:r>
        <w:t xml:space="preserve"> </w:t>
      </w:r>
      <w:r>
        <w:t xml:space="preserve">library was used to represent the OpenSim model as a graph structure, which enables efficient querying of musculotendon length as a function of joint coordinates. The following muscles were identified as having discontinuous length changes:</w:t>
      </w:r>
    </w:p>
    <w:p>
      <w:pPr>
        <w:pStyle w:val="Compact"/>
        <w:numPr>
          <w:ilvl w:val="0"/>
          <w:numId w:val="1003"/>
        </w:numPr>
      </w:pPr>
      <w:r>
        <w:t xml:space="preserve">BFa (biceps femoris anterior)</w:t>
      </w:r>
    </w:p>
    <w:p>
      <w:pPr>
        <w:pStyle w:val="Compact"/>
        <w:numPr>
          <w:ilvl w:val="0"/>
          <w:numId w:val="1003"/>
        </w:numPr>
      </w:pPr>
      <w:r>
        <w:t xml:space="preserve">CF (caudofemoralis)</w:t>
      </w:r>
    </w:p>
    <w:p>
      <w:pPr>
        <w:pStyle w:val="Compact"/>
        <w:numPr>
          <w:ilvl w:val="0"/>
          <w:numId w:val="1003"/>
        </w:numPr>
      </w:pPr>
      <w:r>
        <w:t xml:space="preserve">STp (semitendinosus posterior)</w:t>
      </w:r>
    </w:p>
    <w:p>
      <w:pPr>
        <w:pStyle w:val="Compact"/>
        <w:numPr>
          <w:ilvl w:val="0"/>
          <w:numId w:val="1003"/>
        </w:numPr>
      </w:pPr>
      <w:r>
        <w:t xml:space="preserve">TA (tibialis anterior)</w:t>
      </w:r>
    </w:p>
    <w:p>
      <w:pPr>
        <w:pStyle w:val="Compact"/>
        <w:numPr>
          <w:ilvl w:val="0"/>
          <w:numId w:val="1003"/>
        </w:numPr>
      </w:pPr>
      <w:r>
        <w:t xml:space="preserve">VL (vastus lateralis)</w:t>
      </w:r>
    </w:p>
    <w:p>
      <w:pPr>
        <w:pStyle w:val="FirstParagraph"/>
      </w:pPr>
      <w:r>
        <w:t xml:space="preserve">Investigating the root cause, we found that the likely culprit is a hard-coded value in</w:t>
      </w:r>
      <w:r>
        <w:t xml:space="preserve"> </w:t>
      </w:r>
      <w:hyperlink r:id="rId108">
        <w:r>
          <w:rPr>
            <w:rStyle w:val="Hyperlink"/>
          </w:rPr>
          <w:t xml:space="preserve">OpenSim’s</w:t>
        </w:r>
        <w:r>
          <w:rPr>
            <w:rStyle w:val="Hyperlink"/>
          </w:rPr>
          <w:t xml:space="preserve"> </w:t>
        </w:r>
        <w:r>
          <w:rPr>
            <w:rStyle w:val="VerbatimChar"/>
          </w:rPr>
          <w:t xml:space="preserve">WrapCylinder.cpp</w:t>
        </w:r>
        <w:r>
          <w:rPr>
            <w:rStyle w:val="Hyperlink"/>
          </w:rPr>
          <w:t xml:space="preserve"> </w:t>
        </w:r>
        <w:r>
          <w:rPr>
            <w:rStyle w:val="Hyperlink"/>
          </w:rPr>
          <w:t xml:space="preserve">code</w:t>
        </w:r>
      </w:hyperlink>
      <w:r>
        <w:t xml:space="preserve"> </w:t>
      </w:r>
      <w:r>
        <w:t xml:space="preserve">that determines the number of segments used to approximate the muscle path over a wrapping cylinder:</w:t>
      </w:r>
    </w:p>
    <w:p>
      <w:pPr>
        <w:pStyle w:val="SourceCode"/>
      </w:pPr>
      <w:r>
        <w:rPr>
          <w:rStyle w:val="CommentTok"/>
        </w:rPr>
        <w:t xml:space="preserve">// Each muscle segment on the surface of the cylinder should be</w:t>
      </w:r>
      <w:r>
        <w:br/>
      </w:r>
      <w:r>
        <w:rPr>
          <w:rStyle w:val="CommentTok"/>
        </w:rPr>
        <w:t xml:space="preserve">// 0.002 meters long. This assumes the model is in meters, of course.</w:t>
      </w:r>
      <w:r>
        <w:br/>
      </w:r>
      <w:r>
        <w:rPr>
          <w:rStyle w:val="DataTypeTok"/>
        </w:rPr>
        <w:t xml:space="preserve">int</w:t>
      </w:r>
      <w:r>
        <w:rPr>
          <w:rStyle w:val="NormalTok"/>
        </w:rPr>
        <w:t xml:space="preserve"> numWrapSegments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aWrapResult</w:t>
      </w:r>
      <w:r>
        <w:rPr>
          <w:rStyle w:val="OperatorTok"/>
        </w:rPr>
        <w:t xml:space="preserve">.</w:t>
      </w:r>
      <w:r>
        <w:rPr>
          <w:rStyle w:val="NormalTok"/>
        </w:rPr>
        <w:t xml:space="preserve">wrap_path_length </w:t>
      </w:r>
      <w:r>
        <w:rPr>
          <w:rStyle w:val="OperatorTok"/>
        </w:rPr>
        <w:t xml:space="preserve">/</w:t>
      </w:r>
      <w:r>
        <w:rPr>
          <w:rStyle w:val="NormalTok"/>
        </w:rPr>
        <w:t xml:space="preserve"> </w:t>
      </w:r>
      <w:r>
        <w:rPr>
          <w:rStyle w:val="FloatTok"/>
        </w:rPr>
        <w:t xml:space="preserve">0.002</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numWrapSegments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numWrapSegments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t xml:space="preserve">This segment length of 0.002 m is appropriate for human-scale models but is problematic for the rat model, where wrapping cylinders have much smaller circumferences. With fewer discretization segments, the muscle path changes abruptly as it wraps and unwraps, producing step-like discontinuities in musculotendon length. To address this, we chose to replace the wrapping-surface-based muscle paths with via-point paths derived from a more anatomically detailed model.</w:t>
      </w:r>
    </w:p>
    <w:bookmarkEnd w:id="109"/>
    <w:bookmarkStart w:id="113" w:name="muscle-path-redefinition"/>
    <w:p>
      <w:pPr>
        <w:pStyle w:val="Heading3"/>
      </w:pPr>
      <w:r>
        <w:t xml:space="preserve">4.2.5 Muscle Path Redefinition</w:t>
      </w:r>
    </w:p>
    <w:p>
      <w:pPr>
        <w:pStyle w:val="FirstParagraph"/>
      </w:pPr>
      <w:r>
        <w:t xml:space="preserve">Johnson’s original model relied heavily on wrapping surfaces to guide muscle paths around bones and joints. A more recent model by</w:t>
      </w:r>
      <w:r>
        <w:t xml:space="preserve"> </w:t>
      </w:r>
      <w:r>
        <w:t xml:space="preserve">Young et al. (2018)</w:t>
      </w:r>
      <w:r>
        <w:t xml:space="preserve">, which built upon the Johnson model and drew from the original anatomical text of</w:t>
      </w:r>
      <w:r>
        <w:t xml:space="preserve"> </w:t>
      </w:r>
      <w:r>
        <w:t xml:space="preserve">(</w:t>
      </w:r>
      <w:r>
        <w:rPr>
          <w:b/>
          <w:bCs/>
        </w:rPr>
        <w:t xml:space="preserve">greeneAnatomyRat?</w:t>
      </w:r>
      <w:r>
        <w:t xml:space="preserve">)</w:t>
      </w:r>
      <w:r>
        <w:t xml:space="preserve">, defined comprehensive muscle attachment and via-point coordinates for all hindlimb muscles instead of relying on wrapping surfaces. This via-point approach avoids the discretization artifacts described above and provides a more physiologically faithful representation of muscle paths at small scales.</w:t>
      </w:r>
    </w:p>
    <w:p>
      <w:pPr>
        <w:pStyle w:val="BodyText"/>
      </w:pPr>
      <w:r>
        <w:t xml:space="preserve">Unfortunately, the Young model was created for the</w:t>
      </w:r>
      <w:r>
        <w:t xml:space="preserve"> </w:t>
      </w:r>
      <w:hyperlink r:id="rId110">
        <w:r>
          <w:rPr>
            <w:rStyle w:val="Hyperlink"/>
          </w:rPr>
          <w:t xml:space="preserve">Animatlab</w:t>
        </w:r>
      </w:hyperlink>
      <w:r>
        <w:t xml:space="preserve"> </w:t>
      </w:r>
      <w:r>
        <w:t xml:space="preserve">neuromechanical simulation platform, and no OpenSim version existed. We obtained the original Animatlab files with the assistance of Dr. Young and manually recorded the muscle attachment points from the model. The complete set of attachment coordinates is provided in</w:t>
      </w:r>
      <w:r>
        <w:t xml:space="preserve"> </w:t>
      </w:r>
      <w:r>
        <w:rPr>
          <w:b/>
          <w:bCs/>
        </w:rPr>
        <w:t xml:space="preserve">?@sec-young-attachments</w:t>
      </w:r>
      <w:r>
        <w:t xml:space="preserve">.</w:t>
      </w:r>
    </w:p>
    <w:bookmarkStart w:id="112" w:name="X7873819dc1dfdfebac7cbaf9574730027e86ee4"/>
    <w:p>
      <w:pPr>
        <w:pStyle w:val="Heading4"/>
      </w:pPr>
      <w:r>
        <w:t xml:space="preserve">4.2.5.1 Coordinate System Transformation via Mesh Registration</w:t>
      </w:r>
    </w:p>
    <w:p>
      <w:pPr>
        <w:pStyle w:val="FirstParagraph"/>
      </w:pPr>
      <w:r>
        <w:t xml:space="preserve">The coordinate systems used in Animatlab differ from those in OpenSim, so a direct transfer of attachment coordinates is not possible. To determine the necessary transformations, we performed mesh registration to align the bone geometries from the Animatlab model to those in our OpenSim model. Once aligned, the same transformation could be applied to the muscle attachment points to bring them into the OpenSim coordinate system.</w:t>
      </w:r>
    </w:p>
    <w:p>
      <w:pPr>
        <w:pStyle w:val="BodyText"/>
      </w:pPr>
      <w:r>
        <w:t xml:space="preserve">We used the</w:t>
      </w:r>
      <w:r>
        <w:t xml:space="preserve"> </w:t>
      </w:r>
      <w:hyperlink r:id="rId111">
        <w:r>
          <w:rPr>
            <w:rStyle w:val="VerbatimChar"/>
          </w:rPr>
          <w:t xml:space="preserve">open3d</w:t>
        </w:r>
      </w:hyperlink>
      <w:r>
        <w:t xml:space="preserve"> </w:t>
      </w:r>
      <w:r>
        <w:t xml:space="preserve">library</w:t>
      </w:r>
      <w:r>
        <w:t xml:space="preserve"> </w:t>
      </w:r>
      <w:r>
        <w:t xml:space="preserve">(Zhou et al. 2018)</w:t>
      </w:r>
      <w:r>
        <w:t xml:space="preserve"> </w:t>
      </w:r>
      <w:r>
        <w:t xml:space="preserve">for the mesh registration pipeline, which proceeded as follows:</w:t>
      </w:r>
    </w:p>
    <w:p>
      <w:pPr>
        <w:pStyle w:val="Compact"/>
        <w:numPr>
          <w:ilvl w:val="0"/>
          <w:numId w:val="1004"/>
        </w:numPr>
      </w:pPr>
      <w:r>
        <w:rPr>
          <w:b/>
          <w:bCs/>
        </w:rPr>
        <w:t xml:space="preserve">Deterministic preprocessing</w:t>
      </w:r>
      <w:r>
        <w:t xml:space="preserve">: Mesh vertices were sorted lexicographically and both source (Animatlab) and target (OpenSim) meshes were normalized to unit size centered at the origin. Threading was restricted to a single thread (</w:t>
      </w:r>
      <w:r>
        <w:rPr>
          <w:rStyle w:val="VerbatimChar"/>
        </w:rPr>
        <w:t xml:space="preserve">OMP_NUM_THREADS=1</w:t>
      </w:r>
      <w:r>
        <w:t xml:space="preserve">) to ensure deterministic RANSAC results.</w:t>
      </w:r>
    </w:p>
    <w:p>
      <w:pPr>
        <w:pStyle w:val="Compact"/>
        <w:numPr>
          <w:ilvl w:val="0"/>
          <w:numId w:val="1004"/>
        </w:numPr>
      </w:pPr>
      <w:r>
        <w:rPr>
          <w:b/>
          <w:bCs/>
        </w:rPr>
        <w:t xml:space="preserve">Global registration</w:t>
      </w:r>
      <w:r>
        <w:t xml:space="preserve">: Fast Point Feature Histograms (FPFH) were computed from 5,000 sampled surface points with a normal estimation radius of 0.1. RANSAC-based global registration was performed with 3-point correspondence sets, mutual correspondence checking, and a maximum of 100,000 iterations.</w:t>
      </w:r>
    </w:p>
    <w:p>
      <w:pPr>
        <w:pStyle w:val="Compact"/>
        <w:numPr>
          <w:ilvl w:val="0"/>
          <w:numId w:val="1004"/>
        </w:numPr>
      </w:pPr>
      <w:r>
        <w:rPr>
          <w:b/>
          <w:bCs/>
        </w:rPr>
        <w:t xml:space="preserve">Local refinement</w:t>
      </w:r>
      <w:r>
        <w:t xml:space="preserve">: Point-to-point Iterative Closest Point (ICP) registration with scaling was applied to refine the alignment from the global registration step.</w:t>
      </w:r>
    </w:p>
    <w:p>
      <w:pPr>
        <w:pStyle w:val="Compact"/>
        <w:numPr>
          <w:ilvl w:val="0"/>
          <w:numId w:val="1004"/>
        </w:numPr>
      </w:pPr>
      <w:r>
        <w:rPr>
          <w:b/>
          <w:bCs/>
        </w:rPr>
        <w:t xml:space="preserve">De-normalization</w:t>
      </w:r>
      <w:r>
        <w:t xml:space="preserve">: The combined transformation was mapped back to the original target coordinate system to produce a 4×4 transformation matrix applicable to muscle attachment coordinates.</w:t>
      </w:r>
    </w:p>
    <w:p>
      <w:pPr>
        <w:pStyle w:val="FirstParagraph"/>
      </w:pPr>
      <w:r>
        <w:t xml:space="preserve">This registration was performed independently for each body segment (spine, pelvis, femur, tibia, and foot), producing body-specific transformation matrices. For each muscle, the attachment points from the Young model were then transformed into the OpenSim coordinate system using the transformation matrix corresponding to the attachment’s parent body. All existing wrapping geometries were removed and replaced with the transformed via-point paths.</w:t>
      </w:r>
    </w:p>
    <w:bookmarkEnd w:id="112"/>
    <w:bookmarkEnd w:id="113"/>
    <w:bookmarkStart w:id="117" w:name="sec-musc-params"/>
    <w:p>
      <w:pPr>
        <w:pStyle w:val="Heading3"/>
      </w:pPr>
      <w:r>
        <w:t xml:space="preserve">4.2.6 Muscle Parameters</w:t>
      </w:r>
    </w:p>
    <w:bookmarkStart w:id="114" w:name="muscle-model-conversion"/>
    <w:p>
      <w:pPr>
        <w:pStyle w:val="Heading4"/>
      </w:pPr>
      <w:r>
        <w:t xml:space="preserve">4.2.6.1 Muscle Model Conversion</w:t>
      </w:r>
    </w:p>
    <w:p>
      <w:pPr>
        <w:pStyle w:val="FirstParagraph"/>
      </w:pPr>
      <w:r>
        <w:t xml:space="preserve">The original Johnson model uses the Thelen2003 muscle model</w:t>
      </w:r>
      <w:r>
        <w:t xml:space="preserve"> </w:t>
      </w:r>
      <w:r>
        <w:t xml:space="preserve">(</w:t>
      </w:r>
      <w:r>
        <w:rPr>
          <w:b/>
          <w:bCs/>
        </w:rPr>
        <w:t xml:space="preserve">thelenAdjustmentMuscleMechanics2003?</w:t>
      </w:r>
      <w:r>
        <w:t xml:space="preserve">)</w:t>
      </w:r>
      <w:r>
        <w:t xml:space="preserve">, which has been largely superseded by the Millard2012 equilibrium muscle model</w:t>
      </w:r>
      <w:r>
        <w:t xml:space="preserve"> </w:t>
      </w:r>
      <w:r>
        <w:t xml:space="preserve">(</w:t>
      </w:r>
      <w:r>
        <w:rPr>
          <w:b/>
          <w:bCs/>
        </w:rPr>
        <w:t xml:space="preserve">millardFlexingComputationalMuscle2013?</w:t>
      </w:r>
      <w:r>
        <w:t xml:space="preserve">)</w:t>
      </w:r>
      <w:r>
        <w:t xml:space="preserve"> </w:t>
      </w:r>
      <w:r>
        <w:t xml:space="preserve">in OpenSim. The Millard model provides improved numerical stability and more physiologically grounded force-length-velocity curves, making it better suited for muscle-level analyses such as computed muscle control. All 42 muscles were converted from</w:t>
      </w:r>
      <w:r>
        <w:t xml:space="preserve"> </w:t>
      </w:r>
      <w:r>
        <w:rPr>
          <w:rStyle w:val="VerbatimChar"/>
        </w:rPr>
        <w:t xml:space="preserve">Thelen2003Muscle</w:t>
      </w:r>
      <w:r>
        <w:t xml:space="preserve"> </w:t>
      </w:r>
      <w:r>
        <w:t xml:space="preserve">to</w:t>
      </w:r>
      <w:r>
        <w:t xml:space="preserve"> </w:t>
      </w:r>
      <w:r>
        <w:rPr>
          <w:rStyle w:val="VerbatimChar"/>
        </w:rPr>
        <w:t xml:space="preserve">Millard2012EquilibriumMuscle</w:t>
      </w:r>
      <w:r>
        <w:t xml:space="preserve"> </w:t>
      </w:r>
      <w:r>
        <w:t xml:space="preserve">components, preserving the original values of maximum isometric force, optimal fiber length, tendon slack length, and pennation angle at optimal fiber length. A default fiber damping coefficient of 0.1 was applied to all muscles.</w:t>
      </w:r>
    </w:p>
    <w:bookmarkEnd w:id="114"/>
    <w:bookmarkStart w:id="115" w:name="architectural-parameters"/>
    <w:p>
      <w:pPr>
        <w:pStyle w:val="Heading4"/>
      </w:pPr>
      <w:r>
        <w:t xml:space="preserve">4.2.6.2 Architectural Parameters</w:t>
      </w:r>
    </w:p>
    <w:p>
      <w:pPr>
        <w:pStyle w:val="FirstParagraph"/>
      </w:pPr>
      <w:r>
        <w:t xml:space="preserve">Muscle architectural parameters (maximum isometric force (</w:t>
      </w:r>
      <m:oMath>
        <m:sSub>
          <m:e>
            <m:r>
              <m:t>F</m:t>
            </m:r>
          </m:e>
          <m:sub>
            <m:r>
              <m:t>o</m:t>
            </m:r>
          </m:sub>
        </m:sSub>
      </m:oMath>
      <w:r>
        <w:t xml:space="preserve">), optimal fiber length (</w:t>
      </w:r>
      <m:oMath>
        <m:sSubSup>
          <m:e>
            <m:r>
              <m:t>l</m:t>
            </m:r>
          </m:e>
          <m:sub>
            <m:r>
              <m:t>o</m:t>
            </m:r>
          </m:sub>
          <m:sup>
            <m:r>
              <m:t>m</m:t>
            </m:r>
          </m:sup>
        </m:sSubSup>
      </m:oMath>
      <w:r>
        <w:t xml:space="preserve">), and pennation angle at optimal fiber length (</w:t>
      </w:r>
      <m:oMath>
        <m:sSub>
          <m:e>
            <m:r>
              <m:t>θ</m:t>
            </m:r>
          </m:e>
          <m:sub>
            <m:r>
              <m:t>o</m:t>
            </m:r>
          </m:sub>
        </m:sSub>
      </m:oMath>
      <w:r>
        <w:t xml:space="preserve">))were taken from the measurements reported by</w:t>
      </w:r>
      <w:r>
        <w:t xml:space="preserve"> </w:t>
      </w:r>
      <w:r>
        <w:t xml:space="preserve">Johnson et al. (2011)</w:t>
      </w:r>
      <w:r>
        <w:t xml:space="preserve">. These parameters span a wide range across the 42 muscles in the model: maximum isometric force ranges from 0.25 N (extensor hallucis longus) to 18.74 N (semimembranosus), optimal fiber length from 4.2 mm (popliteus) to 43.6 mm (gracilis anterior), and pennation angle from 0° (several muscles) to 25.4° (tibialis posterior).</w:t>
      </w:r>
    </w:p>
    <w:bookmarkEnd w:id="115"/>
    <w:bookmarkStart w:id="116" w:name="tendon-slack-length"/>
    <w:p>
      <w:pPr>
        <w:pStyle w:val="Heading4"/>
      </w:pPr>
      <w:r>
        <w:t xml:space="preserve">4.2.6.3 Tendon Slack Length</w:t>
      </w:r>
    </w:p>
    <w:p>
      <w:pPr>
        <w:pStyle w:val="FirstParagraph"/>
      </w:pPr>
      <w:r>
        <w:t xml:space="preserve">Tendon slack length (</w:t>
      </w:r>
      <m:oMath>
        <m:sSubSup>
          <m:e>
            <m:r>
              <m:t>l</m:t>
            </m:r>
          </m:e>
          <m:sub>
            <m:r>
              <m:t>s</m:t>
            </m:r>
          </m:sub>
          <m:sup>
            <m:r>
              <m:t>t</m:t>
            </m:r>
          </m:sup>
        </m:sSubSup>
      </m:oMath>
      <w:r>
        <w:t xml:space="preserve">) is one of the most influential parameters in Hill-type muscle models, yet it cannot be measured directly and must be estimated indirectly. Johnson’s original tendon slack length values were derived from anatomical measurements, but the literature has shown that such values can contain substantial errors</w:t>
      </w:r>
      <w:r>
        <w:t xml:space="preserve"> </w:t>
      </w:r>
      <w:r>
        <w:t xml:space="preserve">(Manal and Buchanan 2004)</w:t>
      </w:r>
      <w:r>
        <w:t xml:space="preserve">. As described in detail in</w:t>
      </w:r>
      <w:r>
        <w:t xml:space="preserve"> </w:t>
      </w:r>
      <w:hyperlink w:anchor="sec-tsl-optimization">
        <w:r>
          <w:rPr>
            <w:rStyle w:val="Hyperlink"/>
          </w:rPr>
          <w:t xml:space="preserve">Chapter 5</w:t>
        </w:r>
      </w:hyperlink>
      <w:r>
        <w:t xml:space="preserve">, we applied a numerical optimization approach to estimate tendon slack lengths for all muscles in the model. Muscles for which the optimization yielded a tendon slack length of zero were set to have rigid tendons by enabling the</w:t>
      </w:r>
      <w:r>
        <w:t xml:space="preserve"> </w:t>
      </w:r>
      <w:r>
        <w:rPr>
          <w:rStyle w:val="VerbatimChar"/>
        </w:rPr>
        <w:t xml:space="preserve">ignore_tendon_compliance</w:t>
      </w:r>
      <w:r>
        <w:t xml:space="preserve"> </w:t>
      </w:r>
      <w:r>
        <w:t xml:space="preserve">flag. When both full range-of-motion and gait-specific optimized values were available, the gait-specific (walking) values were used in the final model, as the model’s full range of motion includes physiologically infeasible configurations that bias the optimization.</w:t>
      </w:r>
    </w:p>
    <w:bookmarkEnd w:id="116"/>
    <w:bookmarkEnd w:id="117"/>
    <w:bookmarkStart w:id="122" w:name="bilateral-mirroring"/>
    <w:p>
      <w:pPr>
        <w:pStyle w:val="Heading3"/>
      </w:pPr>
      <w:r>
        <w:t xml:space="preserve">4.2.7 Bilateral Mirroring</w:t>
      </w:r>
    </w:p>
    <w:p>
      <w:pPr>
        <w:pStyle w:val="FirstParagraph"/>
      </w:pPr>
      <w:r>
        <w:t xml:space="preserve">To create a bilateral model suitable for studies involving both hindlimbs, all right-side anatomy was mirrored to the left side. The mirroring was performed as follows:</w:t>
      </w:r>
    </w:p>
    <w:bookmarkStart w:id="118" w:name="body-segments"/>
    <w:p>
      <w:pPr>
        <w:pStyle w:val="Heading4"/>
      </w:pPr>
      <w:r>
        <w:t xml:space="preserve">4.2.7.1 Body Segments</w:t>
      </w:r>
    </w:p>
    <w:p>
      <w:pPr>
        <w:pStyle w:val="FirstParagraph"/>
      </w:pPr>
      <w:r>
        <w:t xml:space="preserve">For each body segment (pelvis, femur, tibia, foot), the right-side body was cloned and renamed with a</w:t>
      </w:r>
      <w:r>
        <w:t xml:space="preserve"> </w:t>
      </w:r>
      <w:r>
        <w:rPr>
          <w:rStyle w:val="VerbatimChar"/>
        </w:rPr>
        <w:t xml:space="preserve">_l</w:t>
      </w:r>
      <w:r>
        <w:t xml:space="preserve"> </w:t>
      </w:r>
      <w:r>
        <w:t xml:space="preserve">suffix. The bone geometry meshes were reflected across the sagittal (XY) plane by negating the Z-axis scale factor. The center of mass location was mirrored by negating the Z component, while moments of inertia (</w:t>
      </w:r>
      <m:oMath>
        <m:sSub>
          <m:e>
            <m:r>
              <m:t>I</m:t>
            </m:r>
          </m:e>
          <m:sub>
            <m:r>
              <m:t>x</m:t>
            </m:r>
            <m:r>
              <m:t>x</m:t>
            </m:r>
          </m:sub>
        </m:sSub>
      </m:oMath>
      <w:r>
        <w:t xml:space="preserve">,</w:t>
      </w:r>
      <w:r>
        <w:t xml:space="preserve"> </w:t>
      </w:r>
      <m:oMath>
        <m:sSub>
          <m:e>
            <m:r>
              <m:t>I</m:t>
            </m:r>
          </m:e>
          <m:sub>
            <m:r>
              <m:t>y</m:t>
            </m:r>
            <m:r>
              <m:t>y</m:t>
            </m:r>
          </m:sub>
        </m:sSub>
      </m:oMath>
      <w:r>
        <w:t xml:space="preserve">,</w:t>
      </w:r>
      <w:r>
        <w:t xml:space="preserve"> </w:t>
      </w:r>
      <m:oMath>
        <m:sSub>
          <m:e>
            <m:r>
              <m:t>I</m:t>
            </m:r>
          </m:e>
          <m:sub>
            <m:r>
              <m:t>z</m:t>
            </m:r>
            <m:r>
              <m:t>z</m:t>
            </m:r>
          </m:sub>
        </m:sSub>
      </m:oMath>
      <w:r>
        <w:t xml:space="preserve">) were preserved and the products of inertia that cross the mirror plane were negated.</w:t>
      </w:r>
    </w:p>
    <w:bookmarkEnd w:id="118"/>
    <w:bookmarkStart w:id="119" w:name="joints"/>
    <w:p>
      <w:pPr>
        <w:pStyle w:val="Heading4"/>
      </w:pPr>
      <w:r>
        <w:t xml:space="preserve">4.2.7.2 Joints</w:t>
      </w:r>
    </w:p>
    <w:p>
      <w:pPr>
        <w:pStyle w:val="FirstParagraph"/>
      </w:pPr>
      <w:r>
        <w:t xml:space="preserve">Each</w:t>
      </w:r>
      <w:r>
        <w:t xml:space="preserve"> </w:t>
      </w:r>
      <w:r>
        <w:rPr>
          <w:rStyle w:val="VerbatimChar"/>
        </w:rPr>
        <w:t xml:space="preserve">CustomJoint</w:t>
      </w:r>
      <w:r>
        <w:t xml:space="preserve"> </w:t>
      </w:r>
      <w:r>
        <w:t xml:space="preserve">was cloned and renamed. Frame translation offsets were mirrored by negating the Z component. The spatial transform functions governing joint kinematics were mirrored according to their type:</w:t>
      </w:r>
      <w:r>
        <w:t xml:space="preserve"> </w:t>
      </w:r>
      <w:r>
        <w:rPr>
          <w:rStyle w:val="VerbatimChar"/>
        </w:rPr>
        <w:t xml:space="preserve">SimmSpline</w:t>
      </w:r>
      <w:r>
        <w:t xml:space="preserve"> </w:t>
      </w:r>
      <w:r>
        <w:t xml:space="preserve">Y-coordinate values were negated to reverse the curve,</w:t>
      </w:r>
      <w:r>
        <w:t xml:space="preserve"> </w:t>
      </w:r>
      <w:r>
        <w:rPr>
          <w:rStyle w:val="VerbatimChar"/>
        </w:rPr>
        <w:t xml:space="preserve">LinearFunction</w:t>
      </w:r>
      <w:r>
        <w:t xml:space="preserve"> </w:t>
      </w:r>
      <w:r>
        <w:t xml:space="preserve">slopes and intercepts were negated,</w:t>
      </w:r>
      <w:r>
        <w:t xml:space="preserve"> </w:t>
      </w:r>
      <w:r>
        <w:rPr>
          <w:rStyle w:val="VerbatimChar"/>
        </w:rPr>
        <w:t xml:space="preserve">Constant</w:t>
      </w:r>
      <w:r>
        <w:t xml:space="preserve"> </w:t>
      </w:r>
      <w:r>
        <w:t xml:space="preserve">values were negated, and</w:t>
      </w:r>
      <w:r>
        <w:t xml:space="preserve"> </w:t>
      </w:r>
      <w:r>
        <w:rPr>
          <w:rStyle w:val="VerbatimChar"/>
        </w:rPr>
        <w:t xml:space="preserve">MultiplierFunction</w:t>
      </w:r>
      <w:r>
        <w:t xml:space="preserve"> </w:t>
      </w:r>
      <w:r>
        <w:t xml:space="preserve">scale factors were negated. This ensures that left-side joint motion is mirror-symmetric to the right side.</w:t>
      </w:r>
    </w:p>
    <w:bookmarkEnd w:id="119"/>
    <w:bookmarkStart w:id="120" w:name="muscles"/>
    <w:p>
      <w:pPr>
        <w:pStyle w:val="Heading4"/>
      </w:pPr>
      <w:r>
        <w:t xml:space="preserve">4.2.7.3 Muscles</w:t>
      </w:r>
    </w:p>
    <w:p>
      <w:pPr>
        <w:pStyle w:val="FirstParagraph"/>
      </w:pPr>
      <w:r>
        <w:t xml:space="preserve">Each muscle was cloned and renamed (e.g.,</w:t>
      </w:r>
      <w:r>
        <w:t xml:space="preserve"> </w:t>
      </w:r>
      <w:r>
        <w:rPr>
          <w:rStyle w:val="VerbatimChar"/>
        </w:rPr>
        <w:t xml:space="preserve">R_RF</w:t>
      </w:r>
      <w:r>
        <w:t xml:space="preserve"> </w:t>
      </w:r>
      <w:r>
        <w:t xml:space="preserve">became</w:t>
      </w:r>
      <w:r>
        <w:t xml:space="preserve"> </w:t>
      </w:r>
      <w:r>
        <w:rPr>
          <w:rStyle w:val="VerbatimChar"/>
        </w:rPr>
        <w:t xml:space="preserve">L_RF</w:t>
      </w:r>
      <w:r>
        <w:t xml:space="preserve">). All muscle path point coordinates were mirrored by negating the Z component, producing the correct medial-lateral orientation for the left side.</w:t>
      </w:r>
    </w:p>
    <w:bookmarkEnd w:id="120"/>
    <w:bookmarkStart w:id="121" w:name="marker-set"/>
    <w:p>
      <w:pPr>
        <w:pStyle w:val="Heading4"/>
      </w:pPr>
      <w:r>
        <w:t xml:space="preserve">4.2.7.4 Marker Set</w:t>
      </w:r>
    </w:p>
    <w:p>
      <w:pPr>
        <w:pStyle w:val="FirstParagraph"/>
      </w:pPr>
      <w:r>
        <w:t xml:space="preserve">The marker set was updated to include bilateral markers, with left-side markers placed at the mirrored locations of their right-side counterparts.</w:t>
      </w:r>
    </w:p>
    <w:p>
      <w:pPr>
        <w:pStyle w:val="BodyText"/>
      </w:pPr>
      <w:r>
        <w:t xml:space="preserve">The final bilateral model contains the full complement of bodies, joints, and muscles for both hindlimbs, enabling analyses that require bilateral kinematics and kinetics such as those described in</w:t>
      </w:r>
      <w:r>
        <w:t xml:space="preserve"> </w:t>
      </w:r>
      <w:hyperlink w:anchor="sec-rat-vml">
        <w:r>
          <w:rPr>
            <w:rStyle w:val="Hyperlink"/>
          </w:rPr>
          <w:t xml:space="preserve">Chapter 2</w:t>
        </w:r>
      </w:hyperlink>
      <w:r>
        <w:t xml:space="preserve">.</w:t>
      </w:r>
    </w:p>
    <w:bookmarkEnd w:id="121"/>
    <w:bookmarkEnd w:id="122"/>
    <w:bookmarkEnd w:id="123"/>
    <w:bookmarkStart w:id="127" w:name="results-2"/>
    <w:p>
      <w:pPr>
        <w:pStyle w:val="Heading2"/>
      </w:pPr>
      <w:r>
        <w:t xml:space="preserve">4.3 Results</w:t>
      </w:r>
    </w:p>
    <w:p>
      <w:pPr>
        <w:pStyle w:val="FirstParagraph"/>
      </w:pPr>
      <w:r>
        <w:t xml:space="preserve">The pipeline produces four model variants:</w:t>
      </w:r>
    </w:p>
    <w:p>
      <w:pPr>
        <w:pStyle w:val="Compact"/>
        <w:numPr>
          <w:ilvl w:val="0"/>
          <w:numId w:val="1005"/>
        </w:numPr>
      </w:pPr>
      <w:r>
        <w:rPr>
          <w:rStyle w:val="VerbatimChar"/>
        </w:rPr>
        <w:t xml:space="preserve">rat_hindlimb_unilateral.osim</w:t>
      </w:r>
      <w:r>
        <w:t xml:space="preserve"> </w:t>
      </w:r>
      <w:r>
        <w:t xml:space="preserve">— right-side model with muscles</w:t>
      </w:r>
    </w:p>
    <w:p>
      <w:pPr>
        <w:pStyle w:val="Compact"/>
        <w:numPr>
          <w:ilvl w:val="0"/>
          <w:numId w:val="1005"/>
        </w:numPr>
      </w:pPr>
      <w:r>
        <w:rPr>
          <w:rStyle w:val="VerbatimChar"/>
        </w:rPr>
        <w:t xml:space="preserve">rat_hindlimb_unilateral_no_muscles.osim</w:t>
      </w:r>
      <w:r>
        <w:t xml:space="preserve"> </w:t>
      </w:r>
      <w:r>
        <w:t xml:space="preserve">— right-side skeleton only</w:t>
      </w:r>
    </w:p>
    <w:p>
      <w:pPr>
        <w:pStyle w:val="Compact"/>
        <w:numPr>
          <w:ilvl w:val="0"/>
          <w:numId w:val="1005"/>
        </w:numPr>
      </w:pPr>
      <w:r>
        <w:rPr>
          <w:rStyle w:val="VerbatimChar"/>
        </w:rPr>
        <w:t xml:space="preserve">rat_hindlimb_bilateral.osim</w:t>
      </w:r>
      <w:r>
        <w:t xml:space="preserve"> </w:t>
      </w:r>
      <w:r>
        <w:t xml:space="preserve">— bilateral model with muscles</w:t>
      </w:r>
    </w:p>
    <w:p>
      <w:pPr>
        <w:pStyle w:val="Compact"/>
        <w:numPr>
          <w:ilvl w:val="0"/>
          <w:numId w:val="1005"/>
        </w:numPr>
      </w:pPr>
      <w:r>
        <w:rPr>
          <w:rStyle w:val="VerbatimChar"/>
        </w:rPr>
        <w:t xml:space="preserve">rat_hindlimb_bilateral_no_muscles.osim</w:t>
      </w:r>
      <w:r>
        <w:t xml:space="preserve"> </w:t>
      </w:r>
      <w:r>
        <w:t xml:space="preserve">— bilateral skeleton only</w:t>
      </w:r>
    </w:p>
    <w:bookmarkStart w:id="124" w:name="muscle-path-continuity"/>
    <w:p>
      <w:pPr>
        <w:pStyle w:val="Heading3"/>
      </w:pPr>
      <w:r>
        <w:t xml:space="preserve">4.3.1 Muscle Path Continuity</w:t>
      </w:r>
    </w:p>
    <w:p>
      <w:pPr>
        <w:pStyle w:val="FirstParagraph"/>
      </w:pPr>
      <w:r>
        <w:t xml:space="preserve">After replacing the wrapping-surface-based muscle paths with via-point paths from the Young model, the discontinuous muscle length changes observed in the original Johnson model (BFa, CF, STp, TA, and VL;</w:t>
      </w:r>
      <w:r>
        <w:t xml:space="preserve"> </w:t>
      </w:r>
      <w:hyperlink w:anchor="sec-muscle-path-analysis">
        <w:r>
          <w:rPr>
            <w:rStyle w:val="Hyperlink"/>
          </w:rPr>
          <w:t xml:space="preserve">Section 4.2.4</w:t>
        </w:r>
      </w:hyperlink>
      <w:r>
        <w:t xml:space="preserve">) were eliminated. All muscles now exhibit smooth, continuous length changes across the full range of joint motion.</w:t>
      </w:r>
    </w:p>
    <w:p>
      <w:pPr>
        <w:pStyle w:val="BodyText"/>
      </w:pPr>
      <w:r>
        <w:t xml:space="preserve">TODO: Plot</w:t>
      </w:r>
    </w:p>
    <w:bookmarkEnd w:id="124"/>
    <w:bookmarkStart w:id="125" w:name="muscle-parameters"/>
    <w:p>
      <w:pPr>
        <w:pStyle w:val="Heading3"/>
      </w:pPr>
      <w:r>
        <w:t xml:space="preserve">4.3.2 Muscle Parameters</w:t>
      </w:r>
    </w:p>
    <w:p>
      <w:pPr>
        <w:pStyle w:val="FirstParagraph"/>
      </w:pPr>
      <w:r>
        <w:t xml:space="preserve">The final model contains 42 muscles per side (84 total in the bilateral model), all using the Millard2012 equilibrium muscle model. Architectural parameters (maximum isometric force, optimal fiber length, and pennation angle) are taken from</w:t>
      </w:r>
      <w:r>
        <w:t xml:space="preserve"> </w:t>
      </w:r>
      <w:r>
        <w:t xml:space="preserve">Johnson et al. (2011)</w:t>
      </w:r>
      <w:r>
        <w:t xml:space="preserve">. Tendon slack lengths were estimated via the optimization methodology described in</w:t>
      </w:r>
      <w:r>
        <w:t xml:space="preserve"> </w:t>
      </w:r>
      <w:hyperlink w:anchor="sec-tsl-optimization">
        <w:r>
          <w:rPr>
            <w:rStyle w:val="Hyperlink"/>
          </w:rPr>
          <w:t xml:space="preserve">Chapter 5</w:t>
        </w:r>
      </w:hyperlink>
      <w:r>
        <w:t xml:space="preserve">, with walking-phase values used when available. A comparison of the original Johnson tendon slack lengths and the optimized values is provided in</w:t>
      </w:r>
      <w:r>
        <w:t xml:space="preserve"> </w:t>
      </w:r>
      <w:hyperlink w:anchor="tbl-tsl-comparison">
        <w:r>
          <w:rPr>
            <w:rStyle w:val="Hyperlink"/>
          </w:rPr>
          <w:t xml:space="preserve">Table 5.3</w:t>
        </w:r>
      </w:hyperlink>
      <w:r>
        <w:t xml:space="preserve"> </w:t>
      </w:r>
      <w:r>
        <w:t xml:space="preserve">of</w:t>
      </w:r>
      <w:r>
        <w:t xml:space="preserve"> </w:t>
      </w:r>
      <w:hyperlink w:anchor="sec-tsl-optimization">
        <w:r>
          <w:rPr>
            <w:rStyle w:val="Hyperlink"/>
          </w:rPr>
          <w:t xml:space="preserve">Chapter 5</w:t>
        </w:r>
      </w:hyperlink>
      <w:r>
        <w:t xml:space="preserve">.</w:t>
      </w:r>
    </w:p>
    <w:bookmarkEnd w:id="125"/>
    <w:bookmarkStart w:id="126" w:name="bilateral-symmetry"/>
    <w:p>
      <w:pPr>
        <w:pStyle w:val="Heading3"/>
      </w:pPr>
      <w:r>
        <w:t xml:space="preserve">4.3.3 Bilateral Symmetry</w:t>
      </w:r>
    </w:p>
    <w:p>
      <w:pPr>
        <w:pStyle w:val="FirstParagraph"/>
      </w:pPr>
      <w:r>
        <w:t xml:space="preserve">The mirrored left-side anatomy is geometrically symmetric to the right side across the sagittal plane. Joint kinematics, muscle paths, and inertial properties are consistent between sides, enabling direct bilateral comparison of kinematic and kinetic outcomes in experimental studies.</w:t>
      </w:r>
    </w:p>
    <w:bookmarkEnd w:id="126"/>
    <w:bookmarkEnd w:id="127"/>
    <w:bookmarkStart w:id="134" w:name="discussion-2"/>
    <w:p>
      <w:pPr>
        <w:pStyle w:val="Heading2"/>
      </w:pPr>
      <w:r>
        <w:t xml:space="preserve">4.4 Discussion</w:t>
      </w:r>
    </w:p>
    <w:bookmarkStart w:id="128" w:name="summary"/>
    <w:p>
      <w:pPr>
        <w:pStyle w:val="Heading3"/>
      </w:pPr>
      <w:r>
        <w:t xml:space="preserve">4.4.1 Summary</w:t>
      </w:r>
    </w:p>
    <w:p>
      <w:pPr>
        <w:pStyle w:val="FirstParagraph"/>
      </w:pPr>
      <w:r>
        <w:t xml:space="preserve">We have described the refinement of the Johnson rat hindlimb model</w:t>
      </w:r>
      <w:r>
        <w:t xml:space="preserve"> </w:t>
      </w:r>
      <w:r>
        <w:t xml:space="preserve">(Johnson et al. 2008)</w:t>
      </w:r>
      <w:r>
        <w:t xml:space="preserve"> </w:t>
      </w:r>
      <w:r>
        <w:t xml:space="preserve">into a modernized, bilateral musculoskeletal model suitable for subject-specific simulation. The key improvements include a corrected knee joint definition that scales appropriately with subject-specific tibia length, replacement of wrapping-surface muscle paths with anatomically detailed via-point paths from the Young Animatlab model</w:t>
      </w:r>
      <w:r>
        <w:t xml:space="preserve"> </w:t>
      </w:r>
      <w:r>
        <w:t xml:space="preserve">(Young et al. 2018)</w:t>
      </w:r>
      <w:r>
        <w:t xml:space="preserve">, conversion to the Millard2012 muscle model, numerically optimized tendon slack lengths, and bilateral mirroring.</w:t>
      </w:r>
    </w:p>
    <w:bookmarkEnd w:id="128"/>
    <w:bookmarkStart w:id="129" w:name="muscle-path-improvements"/>
    <w:p>
      <w:pPr>
        <w:pStyle w:val="Heading3"/>
      </w:pPr>
      <w:r>
        <w:t xml:space="preserve">4.4.2 Muscle Path Improvements</w:t>
      </w:r>
    </w:p>
    <w:p>
      <w:pPr>
        <w:pStyle w:val="FirstParagraph"/>
      </w:pPr>
      <w:r>
        <w:t xml:space="preserve">The replacement of wrapping surfaces with via-point paths resolved the discontinuous muscle length artifacts that affected five muscles in the original model. These artifacts arose from the interaction of the rat model’s small geometry with a hard-coded segment length in OpenSim’s wrapping surface implementation. While modifying the OpenSim source code would be an alternative solution, the via-point approach has the advantage of being model-level and therefore portable across OpenSim versions. The via-point paths from the Young model also benefit from being based on detailed anatomical dissection data</w:t>
      </w:r>
      <w:r>
        <w:t xml:space="preserve"> </w:t>
      </w:r>
      <w:r>
        <w:t xml:space="preserve">(</w:t>
      </w:r>
      <w:r>
        <w:rPr>
          <w:b/>
          <w:bCs/>
        </w:rPr>
        <w:t xml:space="preserve">greeneAnatomyRat?</w:t>
      </w:r>
      <w:r>
        <w:t xml:space="preserve">)</w:t>
      </w:r>
      <w:r>
        <w:t xml:space="preserve">, rather than the approximate cylindrical wrapping surfaces used in the original model.</w:t>
      </w:r>
    </w:p>
    <w:p>
      <w:pPr>
        <w:pStyle w:val="BodyText"/>
      </w:pPr>
      <w:r>
        <w:t xml:space="preserve">The mesh registration approach used to transfer attachment points between coordinate systems introduces some spatial error inherent to the ICP alignment. However, the registration was performed on a per-segment basis using deterministic seeding, and the resulting muscle length profiles are smooth and physiologically plausible across the full range of motion.</w:t>
      </w:r>
    </w:p>
    <w:bookmarkEnd w:id="129"/>
    <w:bookmarkStart w:id="130" w:name="knee-joint-definition-1"/>
    <w:p>
      <w:pPr>
        <w:pStyle w:val="Heading3"/>
      </w:pPr>
      <w:r>
        <w:t xml:space="preserve">4.4.3 Knee Joint Definition</w:t>
      </w:r>
    </w:p>
    <w:p>
      <w:pPr>
        <w:pStyle w:val="FirstParagraph"/>
      </w:pPr>
      <w:r>
        <w:t xml:space="preserve">The repositioning of the tibia offset frame to the instantaneous center of rotation of the knee is a critical change for subject-specific scaling. In the original model, scaling the tibia length did not appropriately adjust knee kinematics because the spatial transform functions were defined relative to the distal tibia rather than the joint center. The corrected definition ensures that the knee joint center remains at the proper anatomical location after scaling, producing more accurate kinematics in scaled models.</w:t>
      </w:r>
    </w:p>
    <w:bookmarkEnd w:id="130"/>
    <w:bookmarkStart w:id="131" w:name="muscle-model-and-parameters"/>
    <w:p>
      <w:pPr>
        <w:pStyle w:val="Heading3"/>
      </w:pPr>
      <w:r>
        <w:t xml:space="preserve">4.4.4 Muscle Model and Parameters</w:t>
      </w:r>
    </w:p>
    <w:p>
      <w:pPr>
        <w:pStyle w:val="FirstParagraph"/>
      </w:pPr>
      <w:r>
        <w:t xml:space="preserve">The conversion from</w:t>
      </w:r>
      <w:r>
        <w:t xml:space="preserve"> </w:t>
      </w:r>
      <w:r>
        <w:rPr>
          <w:rStyle w:val="VerbatimChar"/>
        </w:rPr>
        <w:t xml:space="preserve">Thelen2003</w:t>
      </w:r>
      <w:r>
        <w:t xml:space="preserve"> </w:t>
      </w:r>
      <w:r>
        <w:t xml:space="preserve">to</w:t>
      </w:r>
      <w:r>
        <w:t xml:space="preserve"> </w:t>
      </w:r>
      <w:r>
        <w:rPr>
          <w:rStyle w:val="VerbatimChar"/>
        </w:rPr>
        <w:t xml:space="preserve">Millard2012</w:t>
      </w:r>
      <w:r>
        <w:t xml:space="preserve"> </w:t>
      </w:r>
      <w:r>
        <w:t xml:space="preserve">muscle dynamics aligns the model with current best practices in OpenSim musculoskeletal modeling. The Millard model’s improved numerical properties are particularly important for the computed muscle control analyses used in subsequent chapters. The optimization of tendon slack lengths, described in detail in</w:t>
      </w:r>
      <w:r>
        <w:t xml:space="preserve"> </w:t>
      </w:r>
      <w:hyperlink w:anchor="sec-tsl-optimization">
        <w:r>
          <w:rPr>
            <w:rStyle w:val="Hyperlink"/>
          </w:rPr>
          <w:t xml:space="preserve">Chapter 5</w:t>
        </w:r>
      </w:hyperlink>
      <w:r>
        <w:t xml:space="preserve">, addresses one of the most influential and difficult-to-measure parameters in Hill-type muscle models.</w:t>
      </w:r>
    </w:p>
    <w:bookmarkEnd w:id="131"/>
    <w:bookmarkStart w:id="132" w:name="reproducibility"/>
    <w:p>
      <w:pPr>
        <w:pStyle w:val="Heading3"/>
      </w:pPr>
      <w:r>
        <w:t xml:space="preserve">4.4.5 Reproducibility</w:t>
      </w:r>
    </w:p>
    <w:p>
      <w:pPr>
        <w:pStyle w:val="FirstParagraph"/>
      </w:pPr>
      <w:r>
        <w:t xml:space="preserve">All model modifications are implemented as a sequence of Jupyter notebooks that can be re-executed to regenerate the final model files from the original Johnson model. This notebook-based pipeline ensures that every edit is documented, version-controlled, and reproducible, which is a substantial improvement over manual model editing in the OpenSim GUI. The pipeline also facilitates future updates as new experimental data or improved muscle parameters become available.</w:t>
      </w:r>
    </w:p>
    <w:bookmarkEnd w:id="132"/>
    <w:bookmarkStart w:id="133" w:name="limitations"/>
    <w:p>
      <w:pPr>
        <w:pStyle w:val="Heading3"/>
      </w:pPr>
      <w:r>
        <w:t xml:space="preserve">4.4.6 Limitations</w:t>
      </w:r>
    </w:p>
    <w:p>
      <w:pPr>
        <w:pStyle w:val="FirstParagraph"/>
      </w:pPr>
      <w:r>
        <w:t xml:space="preserve">Several limitations should be noted. First, the inertial parameters are estimated based off of regressions and may not reflect the specific animals used in our experimental studies. Second, the mesh registration process, while deterministic and reproducible, introduces some spatial error in the transferred attachment points that cannot be fully quantified without independent validation data. Third, the bilateral model assumes perfect sagittal symmetry, which may not hold for animals with unilateral injuries or asymmetric morphology. Finally, the via-point muscle paths, while smoother than the wrapping-surface paths, do not fully capture the dynamic interaction between muscles and bones that wrapping surfaces are designed to model. For analyses where muscle-bone contact mechanics are important, a hybrid approach using both via-points and wrapping surfaces may be warranted.</w:t>
      </w:r>
    </w:p>
    <w:bookmarkEnd w:id="133"/>
    <w:bookmarkEnd w:id="134"/>
    <w:bookmarkEnd w:id="135"/>
    <w:bookmarkStart w:id="172" w:name="sec-tsl-optimization"/>
    <w:p>
      <w:pPr>
        <w:pStyle w:val="Heading1"/>
      </w:pPr>
      <w:r>
        <w:t xml:space="preserve">5. Tendon Slack Length Optimization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chapter draws heavily from the abstract and poster presented at the American Society of Biomechanics (ASB) 2025 conference:</w:t>
            </w:r>
            <w:r>
              <w:t xml:space="preserve"> </w:t>
            </w:r>
            <w:r>
              <w:rPr>
                <w:i/>
                <w:iCs/>
              </w:rPr>
              <w:t xml:space="preserve">“Effects of error function selection and normalized fiber length range in numerical estimation of tendon slack length.”</w:t>
            </w:r>
            <w:r>
              <w:t xml:space="preserve"> </w:t>
            </w:r>
            <w:r>
              <w:t xml:space="preserve">Those materials are available at the</w:t>
            </w:r>
            <w:r>
              <w:t xml:space="preserve"> </w:t>
            </w:r>
            <w:hyperlink r:id="rId139">
              <w:r>
                <w:rPr>
                  <w:rStyle w:val="Hyperlink"/>
                </w:rPr>
                <w:t xml:space="preserve">ASB2025-TSL-Optimization repository</w:t>
              </w:r>
            </w:hyperlink>
            <w:r>
              <w:t xml:space="preserve">.</w:t>
            </w:r>
          </w:p>
          <w:p/>
        </w:tc>
      </w:tr>
    </w:tbl>
    <w:bookmarkStart w:id="140" w:name="introduction-4"/>
    <w:p>
      <w:pPr>
        <w:pStyle w:val="Heading2"/>
      </w:pPr>
      <w:r>
        <w:t xml:space="preserve">5.1 Introduction</w:t>
      </w:r>
    </w:p>
    <w:p>
      <w:pPr>
        <w:pStyle w:val="FirstParagraph"/>
      </w:pPr>
      <w:r>
        <w:t xml:space="preserve">Musculoskeletal models that incorporate Hill-type muscles require the specification of several parameters to determine the forces generated by each musculotendon unit. Among these, tendon slack length (</w:t>
      </w:r>
      <m:oMath>
        <m:sSubSup>
          <m:e>
            <m:r>
              <m:t>l</m:t>
            </m:r>
          </m:e>
          <m:sub>
            <m:r>
              <m:t>s</m:t>
            </m:r>
          </m:sub>
          <m:sup>
            <m:r>
              <m:t>t</m:t>
            </m:r>
          </m:sup>
        </m:sSubSup>
      </m:oMath>
      <w:r>
        <w:t xml:space="preserve">) is one of the most influential, as it defines the length at which the tendon begins to produce a restorative force. Because tendons often run parallel to muscle fibers, tendon slack length cannot be measured directly and must instead be estimated indirectly.</w:t>
      </w:r>
    </w:p>
    <w:p>
      <w:pPr>
        <w:pStyle w:val="BodyText"/>
      </w:pPr>
      <w:r>
        <w:t xml:space="preserve">Several approaches for estimating tendon slack length have been proposed. The widely used human lower-limb model of</w:t>
      </w:r>
      <w:r>
        <w:t xml:space="preserve"> </w:t>
      </w:r>
      <w:r>
        <w:t xml:space="preserve">Rajagopal et al. (2016)</w:t>
      </w:r>
      <w:r>
        <w:t xml:space="preserve"> </w:t>
      </w:r>
      <w:r>
        <w:t xml:space="preserve">derives tendon slack length from the fiber length at a single, predefined joint configuration.</w:t>
      </w:r>
      <w:r>
        <w:t xml:space="preserve"> </w:t>
      </w:r>
      <w:r>
        <w:t xml:space="preserve">Manal and Buchanan (2004)</w:t>
      </w:r>
      <w:r>
        <w:t xml:space="preserve"> </w:t>
      </w:r>
      <w:r>
        <w:t xml:space="preserve">proposed a more general optimization-based technique that minimizes the discrepancy among tendon slack lengths estimated across a range of musculotendon lengths, leveraging the active and passive force-length curves for the muscle fiber and the tendon force-length curve.</w:t>
      </w:r>
    </w:p>
    <w:p>
      <w:pPr>
        <w:pStyle w:val="BodyText"/>
      </w:pPr>
      <w:r>
        <w:t xml:space="preserve">In this chapter, we extend the approach of</w:t>
      </w:r>
      <w:r>
        <w:t xml:space="preserve"> </w:t>
      </w:r>
      <w:r>
        <w:t xml:space="preserve">Manal and Buchanan (2004)</w:t>
      </w:r>
      <w:r>
        <w:t xml:space="preserve"> </w:t>
      </w:r>
      <w:r>
        <w:t xml:space="preserve">in two ways. First, we systematically investigate the effects of normalized fiber length range and choice of error function on the estimated tendon slack lengths. Second, we evaluate the physiological plausibility of the results by examining the predicted force profiles of the musculotendon units during several different kinematic activities. The goal is to inform a robust methodology for numerically tuning tendon slack length in new musculoskeletal models.</w:t>
      </w:r>
    </w:p>
    <w:bookmarkEnd w:id="140"/>
    <w:bookmarkStart w:id="148" w:name="methods-3"/>
    <w:p>
      <w:pPr>
        <w:pStyle w:val="Heading2"/>
      </w:pPr>
      <w:r>
        <w:t xml:space="preserve">5.2 Methods</w:t>
      </w:r>
    </w:p>
    <w:bookmarkStart w:id="142" w:name="overview"/>
    <w:p>
      <w:pPr>
        <w:pStyle w:val="Heading3"/>
      </w:pPr>
      <w:r>
        <w:t xml:space="preserve">5.2.1 Overview</w:t>
      </w:r>
    </w:p>
    <w:p>
      <w:pPr>
        <w:pStyle w:val="FirstParagraph"/>
      </w:pPr>
      <w:r>
        <w:t xml:space="preserve">The optimization follows the conceptual framework of</w:t>
      </w:r>
      <w:r>
        <w:t xml:space="preserve"> </w:t>
      </w:r>
      <w:r>
        <w:t xml:space="preserve">Manal and Buchanan (2004)</w:t>
      </w:r>
      <w:r>
        <w:t xml:space="preserve">, using the musculotendon equilibrium equations derived by</w:t>
      </w:r>
      <w:r>
        <w:t xml:space="preserve"> </w:t>
      </w:r>
      <w:r>
        <w:t xml:space="preserve">(</w:t>
      </w:r>
      <w:r>
        <w:rPr>
          <w:b/>
          <w:bCs/>
        </w:rPr>
        <w:t xml:space="preserve">zajacMuscleTendonProperties1989?</w:t>
      </w:r>
      <w:r>
        <w:t xml:space="preserve">)</w:t>
      </w:r>
      <w:r>
        <w:t xml:space="preserve"> </w:t>
      </w:r>
      <w:r>
        <w:t xml:space="preserve">to compute tendon slack length from known muscle parameters and interpolated force values. At each sampled musculotendon length, a candidate tendon slack length is calculated using</w:t>
      </w:r>
      <w:r>
        <w:t xml:space="preserve"> </w:t>
      </w:r>
      <w:hyperlink w:anchor="eq-tsl">
        <w:r>
          <w:rPr>
            <w:rStyle w:val="Hyperlink"/>
          </w:rPr>
          <w:t xml:space="preserve">Equation 5.1</w:t>
        </w:r>
      </w:hyperlink>
      <w:r>
        <w:t xml:space="preserve">. The optimizer then searches for the tendon slack length that minimizes the spread of these candidates across all sampled lengths:</w:t>
      </w:r>
    </w:p>
    <w:p>
      <w:pPr>
        <w:pStyle w:val="BodyText"/>
      </w:pPr>
      <w:bookmarkStart w:id="141" w:name="eq-tsl"/>
      <m:oMathPara>
        <m:oMathParaPr>
          <m:jc m:val="center"/>
        </m:oMathParaPr>
        <m:oMath>
          <m:sSubSup>
            <m:e>
              <m:r>
                <m:t>l</m:t>
              </m:r>
            </m:e>
            <m:sub>
              <m:r>
                <m:t>s</m:t>
              </m:r>
            </m:sub>
            <m:sup>
              <m:r>
                <m:t>t</m:t>
              </m:r>
            </m:sup>
          </m:sSubSup>
          <m:r>
            <m:rPr>
              <m:sty m:val="p"/>
            </m:rPr>
            <m:t>=</m:t>
          </m:r>
          <m:f>
            <m:fPr>
              <m:type m:val="bar"/>
            </m:fPr>
            <m:num>
              <m:sSup>
                <m:e>
                  <m:r>
                    <m:t>l</m:t>
                  </m:r>
                </m:e>
                <m:sup>
                  <m:r>
                    <m:t>m</m:t>
                  </m:r>
                  <m:r>
                    <m:t>t</m:t>
                  </m:r>
                </m:sup>
              </m:sSup>
              <m:r>
                <m:rPr>
                  <m:sty m:val="p"/>
                </m:rPr>
                <m:t>−</m:t>
              </m:r>
              <m:sSubSup>
                <m:e>
                  <m:r>
                    <m:t>l</m:t>
                  </m:r>
                </m:e>
                <m:sub>
                  <m:r>
                    <m:t>o</m:t>
                  </m:r>
                </m:sub>
                <m:sup>
                  <m:r>
                    <m:t>m</m:t>
                  </m:r>
                </m:sup>
              </m:sSubSup>
              <m:r>
                <m:rPr>
                  <m:sty m:val="p"/>
                </m:rPr>
                <m:t>⋅</m:t>
              </m:r>
              <m:sSup>
                <m:e>
                  <m:acc>
                    <m:accPr>
                      <m:chr m:val="̃"/>
                    </m:accPr>
                    <m:e>
                      <m:r>
                        <m:t>l</m:t>
                      </m:r>
                    </m:e>
                  </m:acc>
                </m:e>
                <m:sup>
                  <m:r>
                    <m:t>m</m:t>
                  </m:r>
                </m:sup>
              </m:sSup>
              <m:r>
                <m:rPr>
                  <m:sty m:val="p"/>
                </m:rPr>
                <m:t>cos</m:t>
              </m:r>
              <m:r>
                <m:rPr>
                  <m:sty m:val="p"/>
                </m:rPr>
                <m:t>(</m:t>
              </m:r>
              <m:r>
                <m:t>α</m:t>
              </m:r>
              <m:r>
                <m:rPr>
                  <m:sty m:val="p"/>
                </m:rPr>
                <m:t>)</m:t>
              </m:r>
            </m:num>
            <m:den>
              <m:d>
                <m:dPr>
                  <m:begChr m:val="["/>
                  <m:sepChr m:val=""/>
                  <m:endChr m:val="]"/>
                  <m:grow/>
                </m:dPr>
                <m:e>
                  <m:r>
                    <m:t>1</m:t>
                  </m:r>
                  <m:r>
                    <m:rPr>
                      <m:sty m:val="p"/>
                    </m:rPr>
                    <m:t>+</m:t>
                  </m:r>
                  <m:f>
                    <m:fPr>
                      <m:type m:val="bar"/>
                    </m:fPr>
                    <m:num>
                      <m:r>
                        <m:rPr>
                          <m:nor/>
                          <m:sty m:val="p"/>
                        </m:rPr>
                        <m:t>eval</m:t>
                      </m:r>
                      <m:d>
                        <m:dPr>
                          <m:begChr m:val="["/>
                          <m:sepChr m:val=""/>
                          <m:endChr m:val="]"/>
                          <m:grow/>
                        </m:dPr>
                        <m:e>
                          <m:sSup>
                            <m:e>
                              <m:acc>
                                <m:accPr>
                                  <m:chr m:val="̃"/>
                                </m:accPr>
                                <m:e>
                                  <m:r>
                                    <m:t>F</m:t>
                                  </m:r>
                                </m:e>
                              </m:acc>
                            </m:e>
                            <m:sup>
                              <m:r>
                                <m:t>m</m:t>
                              </m:r>
                            </m:sup>
                          </m:sSup>
                          <m:r>
                            <m:rPr>
                              <m:sty m:val="p"/>
                            </m:rPr>
                            <m:t>(</m:t>
                          </m:r>
                          <m:sSup>
                            <m:e>
                              <m:acc>
                                <m:accPr>
                                  <m:chr m:val="̃"/>
                                </m:accPr>
                                <m:e>
                                  <m:r>
                                    <m:t>l</m:t>
                                  </m:r>
                                </m:e>
                              </m:acc>
                            </m:e>
                            <m:sup>
                              <m:r>
                                <m:t>m</m:t>
                              </m:r>
                            </m:sup>
                          </m:sSup>
                          <m:r>
                            <m:rPr>
                              <m:sty m:val="p"/>
                            </m:rPr>
                            <m:t>)</m:t>
                          </m:r>
                        </m:e>
                      </m:d>
                      <m:r>
                        <m:rPr>
                          <m:sty m:val="p"/>
                        </m:rPr>
                        <m:t>cos</m:t>
                      </m:r>
                      <m:r>
                        <m:rPr>
                          <m:sty m:val="p"/>
                        </m:rPr>
                        <m:t>(</m:t>
                      </m:r>
                      <m:r>
                        <m:t>α</m:t>
                      </m:r>
                      <m:r>
                        <m:rPr>
                          <m:sty m:val="p"/>
                        </m:rPr>
                        <m:t>)</m:t>
                      </m:r>
                      <m:r>
                        <m:rPr>
                          <m:sty m:val="p"/>
                        </m:rPr>
                        <m:t>+</m:t>
                      </m:r>
                      <m:r>
                        <m:t>0.2375</m:t>
                      </m:r>
                    </m:num>
                    <m:den>
                      <m:r>
                        <m:t>37.5</m:t>
                      </m:r>
                    </m:den>
                  </m:f>
                </m:e>
              </m:d>
            </m:den>
          </m:f>
          <m:r>
            <m:t>  </m:t>
          </m:r>
          <m:r>
            <m:rPr>
              <m:sty m:val="p"/>
            </m:rPr>
            <m:t>(</m:t>
          </m:r>
          <m:r>
            <m:t>5.1</m:t>
          </m:r>
          <m:r>
            <m:rPr>
              <m:sty m:val="p"/>
            </m:rPr>
            <m:t>)</m:t>
          </m:r>
        </m:oMath>
      </m:oMathPara>
      <w:bookmarkEnd w:id="141"/>
    </w:p>
    <w:p>
      <w:pPr>
        <w:pStyle w:val="FirstParagraph"/>
      </w:pPr>
      <w:r>
        <w:t xml:space="preserve">where</w:t>
      </w:r>
      <w:r>
        <w:t xml:space="preserve"> </w:t>
      </w:r>
      <m:oMath>
        <m:sSup>
          <m:e>
            <m:r>
              <m:t>l</m:t>
            </m:r>
          </m:e>
          <m:sup>
            <m:r>
              <m:t>m</m:t>
            </m:r>
            <m:r>
              <m:t>t</m:t>
            </m:r>
          </m:sup>
        </m:sSup>
      </m:oMath>
      <w:r>
        <w:t xml:space="preserve"> </w:t>
      </w:r>
      <w:r>
        <w:t xml:space="preserve">is the musculotendon length,</w:t>
      </w:r>
      <w:r>
        <w:t xml:space="preserve"> </w:t>
      </w:r>
      <m:oMath>
        <m:sSubSup>
          <m:e>
            <m:r>
              <m:t>l</m:t>
            </m:r>
          </m:e>
          <m:sub>
            <m:r>
              <m:t>o</m:t>
            </m:r>
          </m:sub>
          <m:sup>
            <m:r>
              <m:t>m</m:t>
            </m:r>
          </m:sup>
        </m:sSubSup>
      </m:oMath>
      <w:r>
        <w:t xml:space="preserve"> </w:t>
      </w:r>
      <w:r>
        <w:t xml:space="preserve">is the optimal fiber length,</w:t>
      </w:r>
      <w:r>
        <w:t xml:space="preserve"> </w:t>
      </w:r>
      <m:oMath>
        <m:sSup>
          <m:e>
            <m:acc>
              <m:accPr>
                <m:chr m:val="̃"/>
              </m:accPr>
              <m:e>
                <m:r>
                  <m:t>l</m:t>
                </m:r>
              </m:e>
            </m:acc>
          </m:e>
          <m:sup>
            <m:r>
              <m:t>m</m:t>
            </m:r>
          </m:sup>
        </m:sSup>
      </m:oMath>
      <w:r>
        <w:t xml:space="preserve"> </w:t>
      </w:r>
      <w:r>
        <w:t xml:space="preserve">is the normalized fiber length,</w:t>
      </w:r>
      <w:r>
        <w:t xml:space="preserve"> </w:t>
      </w:r>
      <m:oMath>
        <m:r>
          <m:t>α</m:t>
        </m:r>
      </m:oMath>
      <w:r>
        <w:t xml:space="preserve"> </w:t>
      </w:r>
      <w:r>
        <w:t xml:space="preserve">is the pennation angle, and</w:t>
      </w:r>
      <w:r>
        <w:t xml:space="preserve"> </w:t>
      </w:r>
      <m:oMath>
        <m:sSup>
          <m:e>
            <m:acc>
              <m:accPr>
                <m:chr m:val="̃"/>
              </m:accPr>
              <m:e>
                <m:r>
                  <m:t>F</m:t>
                </m:r>
              </m:e>
            </m:acc>
          </m:e>
          <m:sup>
            <m:r>
              <m:t>m</m:t>
            </m:r>
          </m:sup>
        </m:sSup>
        <m:r>
          <m:rPr>
            <m:sty m:val="p"/>
          </m:rPr>
          <m:t>(</m:t>
        </m:r>
        <m:sSup>
          <m:e>
            <m:acc>
              <m:accPr>
                <m:chr m:val="̃"/>
              </m:accPr>
              <m:e>
                <m:r>
                  <m:t>l</m:t>
                </m:r>
              </m:e>
            </m:acc>
          </m:e>
          <m:sup>
            <m:r>
              <m:t>m</m:t>
            </m:r>
          </m:sup>
        </m:sSup>
        <m:r>
          <m:rPr>
            <m:sty m:val="p"/>
          </m:rPr>
          <m:t>)</m:t>
        </m:r>
      </m:oMath>
      <w:r>
        <w:t xml:space="preserve"> </w:t>
      </w:r>
      <w:r>
        <w:t xml:space="preserve">is the normalized muscle force evaluated from the force-length curve.</w:t>
      </w:r>
    </w:p>
    <w:bookmarkEnd w:id="142"/>
    <w:bookmarkStart w:id="143" w:name="differences-from-manals-method"/>
    <w:p>
      <w:pPr>
        <w:pStyle w:val="Heading3"/>
      </w:pPr>
      <w:r>
        <w:t xml:space="preserve">5.2.2 Differences from Manal’s Method</w:t>
      </w:r>
    </w:p>
    <w:p>
      <w:pPr>
        <w:pStyle w:val="FirstParagraph"/>
      </w:pPr>
      <w:r>
        <w:t xml:space="preserve">Our implementation differs from the original method of</w:t>
      </w:r>
      <w:r>
        <w:t xml:space="preserve"> </w:t>
      </w:r>
      <w:r>
        <w:t xml:space="preserve">Manal and Buchanan (2004)</w:t>
      </w:r>
      <w:r>
        <w:t xml:space="preserve"> </w:t>
      </w:r>
      <w:r>
        <w:t xml:space="preserve">in several respects:</w:t>
      </w:r>
    </w:p>
    <w:p>
      <w:pPr>
        <w:pStyle w:val="Compact"/>
        <w:numPr>
          <w:ilvl w:val="0"/>
          <w:numId w:val="1006"/>
        </w:numPr>
      </w:pPr>
      <w:r>
        <w:rPr>
          <w:b/>
          <w:bCs/>
        </w:rPr>
        <w:t xml:space="preserve">Optimization algorithm</w:t>
      </w:r>
      <w:r>
        <w:t xml:space="preserve">: We use Sequential Least Squares Programming (SLSQP) via the SciPy optimization library</w:t>
      </w:r>
      <w:r>
        <w:t xml:space="preserve"> </w:t>
      </w:r>
      <w:r>
        <w:t xml:space="preserve">(</w:t>
      </w:r>
      <w:r>
        <w:t xml:space="preserve">Virtanen et al.</w:t>
      </w:r>
      <w:r>
        <w:t xml:space="preserve"> </w:t>
      </w:r>
      <w:r>
        <w:t xml:space="preserve">2020)</w:t>
      </w:r>
      <w:r>
        <w:t xml:space="preserve"> </w:t>
      </w:r>
      <w:r>
        <w:t xml:space="preserve">rather than the Generalized Reduced Gradient (GRG) algorithm used by Manal, owing to its availability and widespread use in Python.</w:t>
      </w:r>
    </w:p>
    <w:p>
      <w:pPr>
        <w:pStyle w:val="Compact"/>
        <w:numPr>
          <w:ilvl w:val="0"/>
          <w:numId w:val="1006"/>
        </w:numPr>
      </w:pPr>
      <w:r>
        <w:rPr>
          <w:b/>
          <w:bCs/>
        </w:rPr>
        <w:t xml:space="preserve">Force-length curves</w:t>
      </w:r>
      <w:r>
        <w:t xml:space="preserve">: The active and passive fiber force-length curves as well as the tendon force-length curve were taken from the Millard muscle model</w:t>
      </w:r>
      <w:r>
        <w:t xml:space="preserve"> </w:t>
      </w:r>
      <w:r>
        <w:t xml:space="preserve">(TODO:</w:t>
      </w:r>
      <w:r>
        <w:t xml:space="preserve"> </w:t>
      </w:r>
      <w:r>
        <w:rPr>
          <w:b/>
          <w:bCs/>
        </w:rPr>
        <w:t xml:space="preserve">millardFlexingComputationalMuscle2013?</w:t>
      </w:r>
      <w:r>
        <w:t xml:space="preserve">)</w:t>
      </w:r>
      <w:r>
        <w:t xml:space="preserve"> </w:t>
      </w:r>
      <w:r>
        <w:t xml:space="preserve">(</w:t>
      </w:r>
      <w:r>
        <w:rPr>
          <w:b/>
          <w:bCs/>
        </w:rPr>
        <w:t xml:space="preserve">?@fig-millard-fl-curves</w:t>
      </w:r>
      <w:r>
        <w:t xml:space="preserve">) instead of Zajac’s original curves.</w:t>
      </w:r>
    </w:p>
    <w:p>
      <w:pPr>
        <w:pStyle w:val="Compact"/>
        <w:numPr>
          <w:ilvl w:val="0"/>
          <w:numId w:val="1006"/>
        </w:numPr>
      </w:pPr>
      <w:r>
        <w:rPr>
          <w:b/>
          <w:bCs/>
        </w:rPr>
        <w:t xml:space="preserve">Musculotendon length sampling</w:t>
      </w:r>
      <w:r>
        <w:t xml:space="preserve">: Rather than sampling at only two extreme joint configurations and averaging a third intermediate value, we iterate the model through all relevant degrees of freedom to obtain a minimum of 100 musculotendon length samples per muscle.</w:t>
      </w:r>
    </w:p>
    <w:bookmarkEnd w:id="143"/>
    <w:bookmarkStart w:id="144" w:name="muscle-selection"/>
    <w:p>
      <w:pPr>
        <w:pStyle w:val="Heading3"/>
      </w:pPr>
      <w:r>
        <w:t xml:space="preserve">5.2.3 Muscle Selection</w:t>
      </w:r>
    </w:p>
    <w:p>
      <w:pPr>
        <w:pStyle w:val="FirstParagraph"/>
      </w:pPr>
      <w:r>
        <w:t xml:space="preserve">To demonstrate the method across muscles of differing architectures, we estimated tendon slack lengths for three muscles from the Rajagopal model</w:t>
      </w:r>
      <w:r>
        <w:t xml:space="preserve"> </w:t>
      </w:r>
      <w:r>
        <w:t xml:space="preserve">(Rajagopal et al. 2016)</w:t>
      </w:r>
      <w:r>
        <w:t xml:space="preserve"> </w:t>
      </w:r>
      <w:r>
        <w:t xml:space="preserve">spanning a range of tendon-to-fiber ratios:</w:t>
      </w:r>
    </w:p>
    <w:p>
      <w:pPr>
        <w:pStyle w:val="Compact"/>
        <w:numPr>
          <w:ilvl w:val="0"/>
          <w:numId w:val="1007"/>
        </w:numPr>
      </w:pPr>
      <w:r>
        <w:rPr>
          <w:b/>
          <w:bCs/>
        </w:rPr>
        <w:t xml:space="preserve">Lateral gastrocnemius</w:t>
      </w:r>
      <w:r>
        <w:t xml:space="preserve"> </w:t>
      </w:r>
      <w:r>
        <w:t xml:space="preserve">(gaslat) — biarticular, long tendon</w:t>
      </w:r>
    </w:p>
    <w:p>
      <w:pPr>
        <w:pStyle w:val="Compact"/>
        <w:numPr>
          <w:ilvl w:val="0"/>
          <w:numId w:val="1007"/>
        </w:numPr>
      </w:pPr>
      <w:r>
        <w:rPr>
          <w:b/>
          <w:bCs/>
        </w:rPr>
        <w:t xml:space="preserve">Long head of biceps femoris</w:t>
      </w:r>
      <w:r>
        <w:t xml:space="preserve"> </w:t>
      </w:r>
      <w:r>
        <w:t xml:space="preserve">(bflh) — biarticular, moderate tendon</w:t>
      </w:r>
    </w:p>
    <w:p>
      <w:pPr>
        <w:pStyle w:val="Compact"/>
        <w:numPr>
          <w:ilvl w:val="0"/>
          <w:numId w:val="1007"/>
        </w:numPr>
      </w:pPr>
      <w:r>
        <w:rPr>
          <w:b/>
          <w:bCs/>
        </w:rPr>
        <w:t xml:space="preserve">Soleus</w:t>
      </w:r>
      <w:r>
        <w:t xml:space="preserve"> </w:t>
      </w:r>
      <w:r>
        <w:t xml:space="preserve">— monoarticular, short tendon</w:t>
      </w:r>
    </w:p>
    <w:bookmarkEnd w:id="144"/>
    <w:bookmarkStart w:id="146" w:name="sec-error-functions"/>
    <w:p>
      <w:pPr>
        <w:pStyle w:val="Heading3"/>
      </w:pPr>
      <w:r>
        <w:t xml:space="preserve">5.2.4 Error Functions</w:t>
      </w:r>
    </w:p>
    <w:p>
      <w:pPr>
        <w:pStyle w:val="FirstParagraph"/>
      </w:pPr>
      <w:r>
        <w:t xml:space="preserve">In addition to the sum of squared differences of pairs (SSDP) used by</w:t>
      </w:r>
      <w:r>
        <w:t xml:space="preserve"> </w:t>
      </w:r>
      <w:r>
        <w:t xml:space="preserve">Manal and Buchanan (2004)</w:t>
      </w:r>
      <w:r>
        <w:t xml:space="preserve">, we evaluated three alternative error functions to assess their influence on the optimization:</w:t>
      </w:r>
    </w:p>
    <w:tbl>
      <w:tblPr>
        <w:tblStyle w:val="Table"/>
        <w:tblW w:type="pct" w:w="5000"/>
        <w:tblLayout w:type="fixed"/>
        <w:tblLook w:firstRow="0" w:lastRow="0" w:firstColumn="0" w:lastColumn="0" w:noHBand="0" w:noVBand="0" w:val="0000"/>
      </w:tblPr>
      <w:tblGrid>
        <w:gridCol w:w="7920"/>
      </w:tblGrid>
      <w:tr>
        <w:tc>
          <w:tcPr/>
          <w:bookmarkStart w:id="145" w:name="tbl-error-functions"/>
          <w:p>
            <w:pPr>
              <w:jc w:val="center"/>
            </w:pPr>
            <w:pPr>
              <w:jc w:val="left"/>
              <w:spacing w:before="200"/>
              <w:pStyle w:val="ImageCaption"/>
            </w:pPr>
            <w:r>
              <w:t xml:space="preserve">Table 5.1: Error functions evaluated for tendon slack length optimization.</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t xml:space="preserve">Error Function</w:t>
                  </w:r>
                </w:p>
              </w:tc>
              <w:tc>
                <w:tcPr/>
                <w:p>
                  <w:pPr>
                    <w:pStyle w:val="Compact"/>
                    <w:jc w:val="center"/>
                    <w:jc w:val="center"/>
                  </w:pPr>
                  <w:r>
                    <w:t xml:space="preserve">Abbreviation</w:t>
                  </w:r>
                </w:p>
              </w:tc>
              <w:tc>
                <w:tcPr/>
                <w:p>
                  <w:pPr>
                    <w:pStyle w:val="Compact"/>
                    <w:jc w:val="center"/>
                  </w:pPr>
                  <w:r>
                    <w:t xml:space="preserve">Formula</w:t>
                  </w:r>
                </w:p>
              </w:tc>
            </w:tr>
            <w:tr>
              <w:tc>
                <w:tcPr/>
                <w:p>
                  <w:pPr>
                    <w:pStyle w:val="Compact"/>
                    <w:jc w:val="center"/>
                  </w:pPr>
                  <w:r>
                    <w:t xml:space="preserve">Sum of Squared Difference of Pairs</w:t>
                  </w:r>
                </w:p>
              </w:tc>
              <w:tc>
                <w:tcPr/>
                <w:p>
                  <w:pPr>
                    <w:pStyle w:val="Compact"/>
                    <w:jc w:val="center"/>
                    <w:jc w:val="center"/>
                  </w:pPr>
                  <w:r>
                    <w:t xml:space="preserve">SSDP</w:t>
                  </w:r>
                </w:p>
              </w:tc>
              <w:tc>
                <w:tcPr/>
                <w:p>
                  <w:pPr>
                    <w:pStyle w:val="Compact"/>
                    <w:jc w:val="center"/>
                  </w:pPr>
                  <m:oMath>
                    <m:nary>
                      <m:naryPr>
                        <m:chr m:val="∑"/>
                        <m:limLoc m:val="undOvr"/>
                        <m:subHide m:val="off"/>
                        <m:supHide m:val="on"/>
                      </m:naryPr>
                      <m:sub>
                        <m:r>
                          <m:t>i</m:t>
                        </m:r>
                      </m:sub>
                      <m:sup>
                        <m:r>
                          <m:t>​</m:t>
                        </m:r>
                      </m:sup>
                      <m:e>
                        <m:nary>
                          <m:naryPr>
                            <m:chr m:val="∑"/>
                            <m:limLoc m:val="undOvr"/>
                            <m:subHide m:val="off"/>
                            <m:supHide m:val="on"/>
                          </m:naryPr>
                          <m:sub>
                            <m:r>
                              <m:t>j</m:t>
                            </m:r>
                          </m:sub>
                          <m:sup>
                            <m:r>
                              <m:t>​</m:t>
                            </m:r>
                          </m:sup>
                          <m:e>
                            <m:sSup>
                              <m:e>
                                <m:d>
                                  <m:dPr>
                                    <m:begChr m:val="("/>
                                    <m:sepChr m:val=""/>
                                    <m:endChr m:val=")"/>
                                    <m:grow/>
                                  </m:dPr>
                                  <m:e>
                                    <m:sSubSup>
                                      <m:e>
                                        <m:r>
                                          <m:t>l</m:t>
                                        </m:r>
                                      </m:e>
                                      <m:sub>
                                        <m:r>
                                          <m:t>s</m:t>
                                        </m:r>
                                        <m:r>
                                          <m:rPr>
                                            <m:sty m:val="p"/>
                                          </m:rPr>
                                          <m:t>,</m:t>
                                        </m:r>
                                        <m:r>
                                          <m:rPr>
                                            <m:sty m:val="p"/>
                                          </m:rPr>
                                          <m:t>(</m:t>
                                        </m:r>
                                        <m:r>
                                          <m:t>i</m:t>
                                        </m:r>
                                        <m:r>
                                          <m:rPr>
                                            <m:sty m:val="p"/>
                                          </m:rPr>
                                          <m:t>)</m:t>
                                        </m:r>
                                      </m:sub>
                                      <m:sup>
                                        <m:r>
                                          <m:t>t</m:t>
                                        </m:r>
                                      </m:sup>
                                    </m:sSubSup>
                                    <m:r>
                                      <m:rPr>
                                        <m:sty m:val="p"/>
                                      </m:rPr>
                                      <m:t>−</m:t>
                                    </m:r>
                                    <m:sSubSup>
                                      <m:e>
                                        <m:r>
                                          <m:t>l</m:t>
                                        </m:r>
                                      </m:e>
                                      <m:sub>
                                        <m:r>
                                          <m:t>s</m:t>
                                        </m:r>
                                        <m:r>
                                          <m:rPr>
                                            <m:sty m:val="p"/>
                                          </m:rPr>
                                          <m:t>,</m:t>
                                        </m:r>
                                        <m:r>
                                          <m:rPr>
                                            <m:sty m:val="p"/>
                                          </m:rPr>
                                          <m:t>(</m:t>
                                        </m:r>
                                        <m:r>
                                          <m:t>j</m:t>
                                        </m:r>
                                        <m:r>
                                          <m:rPr>
                                            <m:sty m:val="p"/>
                                          </m:rPr>
                                          <m:t>)</m:t>
                                        </m:r>
                                      </m:sub>
                                      <m:sup>
                                        <m:r>
                                          <m:t>t</m:t>
                                        </m:r>
                                      </m:sup>
                                    </m:sSubSup>
                                  </m:e>
                                </m:d>
                              </m:e>
                              <m:sup>
                                <m:r>
                                  <m:t>2</m:t>
                                </m:r>
                              </m:sup>
                            </m:sSup>
                          </m:e>
                        </m:nary>
                      </m:e>
                    </m:nary>
                  </m:oMath>
                </w:p>
              </w:tc>
            </w:tr>
            <w:tr>
              <w:tc>
                <w:tcPr/>
                <w:p>
                  <w:pPr>
                    <w:pStyle w:val="Compact"/>
                    <w:jc w:val="center"/>
                  </w:pPr>
                  <w:r>
                    <w:t xml:space="preserve">Sum of Squared Difference from Mean</w:t>
                  </w:r>
                </w:p>
              </w:tc>
              <w:tc>
                <w:tcPr/>
                <w:p>
                  <w:pPr>
                    <w:pStyle w:val="Compact"/>
                    <w:jc w:val="center"/>
                    <w:jc w:val="center"/>
                  </w:pPr>
                  <w:r>
                    <w:t xml:space="preserve">SSDM</w:t>
                  </w:r>
                </w:p>
              </w:tc>
              <w:tc>
                <w:tcPr/>
                <w:p>
                  <w:pPr>
                    <w:pStyle w:val="Compact"/>
                    <w:jc w:val="center"/>
                  </w:pPr>
                  <m:oMath>
                    <m:r>
                      <m:rPr>
                        <m:sty m:val="p"/>
                      </m:rPr>
                      <m:t>∑</m:t>
                    </m:r>
                    <m:sSup>
                      <m:e>
                        <m:d>
                          <m:dPr>
                            <m:begChr m:val="("/>
                            <m:sepChr m:val=""/>
                            <m:endChr m:val=")"/>
                            <m:grow/>
                          </m:dPr>
                          <m:e>
                            <m:sSubSup>
                              <m:e>
                                <m:r>
                                  <m:t>l</m:t>
                                </m:r>
                              </m:e>
                              <m:sub>
                                <m:r>
                                  <m:t>s</m:t>
                                </m:r>
                                <m:r>
                                  <m:rPr>
                                    <m:sty m:val="p"/>
                                  </m:rPr>
                                  <m:t>,</m:t>
                                </m:r>
                                <m:r>
                                  <m:rPr>
                                    <m:sty m:val="p"/>
                                  </m:rPr>
                                  <m:t>(</m:t>
                                </m:r>
                                <m:r>
                                  <m:t>i</m:t>
                                </m:r>
                                <m:r>
                                  <m:rPr>
                                    <m:sty m:val="p"/>
                                  </m:rPr>
                                  <m:t>)</m:t>
                                </m:r>
                              </m:sub>
                              <m:sup>
                                <m:r>
                                  <m:t>t</m:t>
                                </m:r>
                              </m:sup>
                            </m:sSubSup>
                            <m:r>
                              <m:rPr>
                                <m:sty m:val="p"/>
                              </m:rPr>
                              <m:t>−</m:t>
                            </m:r>
                            <m:sSubSup>
                              <m:e>
                                <m:acc>
                                  <m:accPr>
                                    <m:chr m:val="‾"/>
                                  </m:accPr>
                                  <m:e>
                                    <m:r>
                                      <m:t>l</m:t>
                                    </m:r>
                                  </m:e>
                                </m:acc>
                              </m:e>
                              <m:sub>
                                <m:r>
                                  <m:t>s</m:t>
                                </m:r>
                              </m:sub>
                              <m:sup>
                                <m:r>
                                  <m:t>t</m:t>
                                </m:r>
                              </m:sup>
                            </m:sSubSup>
                          </m:e>
                        </m:d>
                      </m:e>
                      <m:sup>
                        <m:r>
                          <m:t>2</m:t>
                        </m:r>
                      </m:sup>
                    </m:sSup>
                  </m:oMath>
                </w:p>
              </w:tc>
            </w:tr>
            <w:tr>
              <w:tc>
                <w:tcPr/>
                <w:p>
                  <w:pPr>
                    <w:pStyle w:val="Compact"/>
                    <w:jc w:val="center"/>
                  </w:pPr>
                  <w:r>
                    <w:t xml:space="preserve">Standard Deviation</w:t>
                  </w:r>
                </w:p>
              </w:tc>
              <w:tc>
                <w:tcPr/>
                <w:p>
                  <w:pPr>
                    <w:pStyle w:val="Compact"/>
                    <w:jc w:val="center"/>
                    <w:jc w:val="center"/>
                  </w:pPr>
                  <w:r>
                    <w:t xml:space="preserve">STD</w:t>
                  </w:r>
                </w:p>
              </w:tc>
              <w:tc>
                <w:tcPr/>
                <w:p>
                  <w:pPr>
                    <w:pStyle w:val="Compact"/>
                    <w:jc w:val="center"/>
                  </w:pPr>
                  <m:oMath>
                    <m:rad>
                      <m:radPr>
                        <m:degHide m:val="on"/>
                      </m:radPr>
                      <m:deg/>
                      <m:e>
                        <m:f>
                          <m:fPr>
                            <m:type m:val="bar"/>
                          </m:fPr>
                          <m:num>
                            <m:r>
                              <m:rPr>
                                <m:sty m:val="p"/>
                              </m:rPr>
                              <m:t>∑</m:t>
                            </m:r>
                            <m:sSup>
                              <m:e>
                                <m:d>
                                  <m:dPr>
                                    <m:begChr m:val="("/>
                                    <m:sepChr m:val=""/>
                                    <m:endChr m:val=")"/>
                                    <m:grow/>
                                  </m:dPr>
                                  <m:e>
                                    <m:sSubSup>
                                      <m:e>
                                        <m:r>
                                          <m:t>l</m:t>
                                        </m:r>
                                      </m:e>
                                      <m:sub>
                                        <m:r>
                                          <m:t>s</m:t>
                                        </m:r>
                                        <m:r>
                                          <m:rPr>
                                            <m:sty m:val="p"/>
                                          </m:rPr>
                                          <m:t>,</m:t>
                                        </m:r>
                                        <m:r>
                                          <m:rPr>
                                            <m:sty m:val="p"/>
                                          </m:rPr>
                                          <m:t>(</m:t>
                                        </m:r>
                                        <m:r>
                                          <m:t>i</m:t>
                                        </m:r>
                                        <m:r>
                                          <m:rPr>
                                            <m:sty m:val="p"/>
                                          </m:rPr>
                                          <m:t>)</m:t>
                                        </m:r>
                                      </m:sub>
                                      <m:sup>
                                        <m:r>
                                          <m:t>t</m:t>
                                        </m:r>
                                      </m:sup>
                                    </m:sSubSup>
                                    <m:r>
                                      <m:rPr>
                                        <m:sty m:val="p"/>
                                      </m:rPr>
                                      <m:t>−</m:t>
                                    </m:r>
                                    <m:sSubSup>
                                      <m:e>
                                        <m:acc>
                                          <m:accPr>
                                            <m:chr m:val="‾"/>
                                          </m:accPr>
                                          <m:e>
                                            <m:r>
                                              <m:t>l</m:t>
                                            </m:r>
                                          </m:e>
                                        </m:acc>
                                      </m:e>
                                      <m:sub>
                                        <m:r>
                                          <m:t>s</m:t>
                                        </m:r>
                                      </m:sub>
                                      <m:sup>
                                        <m:r>
                                          <m:t>t</m:t>
                                        </m:r>
                                      </m:sup>
                                    </m:sSubSup>
                                  </m:e>
                                </m:d>
                              </m:e>
                              <m:sup>
                                <m:r>
                                  <m:t>2</m:t>
                                </m:r>
                              </m:sup>
                            </m:sSup>
                          </m:num>
                          <m:den>
                            <m:r>
                              <m:t>n</m:t>
                            </m:r>
                          </m:den>
                        </m:f>
                      </m:e>
                    </m:rad>
                  </m:oMath>
                </w:p>
              </w:tc>
            </w:tr>
            <w:tr>
              <w:tc>
                <w:tcPr/>
                <w:p>
                  <w:pPr>
                    <w:pStyle w:val="Compact"/>
                    <w:jc w:val="center"/>
                  </w:pPr>
                  <w:r>
                    <w:t xml:space="preserve">Variance</w:t>
                  </w:r>
                </w:p>
              </w:tc>
              <w:tc>
                <w:tcPr/>
                <w:p>
                  <w:pPr>
                    <w:pStyle w:val="Compact"/>
                    <w:jc w:val="center"/>
                    <w:jc w:val="center"/>
                  </w:pPr>
                  <w:r>
                    <w:t xml:space="preserve">VAR</w:t>
                  </w:r>
                </w:p>
              </w:tc>
              <w:tc>
                <w:tcPr/>
                <w:p>
                  <w:pPr>
                    <w:pStyle w:val="Compact"/>
                    <w:jc w:val="center"/>
                  </w:pPr>
                  <m:oMath>
                    <m:f>
                      <m:fPr>
                        <m:type m:val="bar"/>
                      </m:fPr>
                      <m:num>
                        <m:r>
                          <m:rPr>
                            <m:sty m:val="p"/>
                          </m:rPr>
                          <m:t>∑</m:t>
                        </m:r>
                        <m:sSup>
                          <m:e>
                            <m:d>
                              <m:dPr>
                                <m:begChr m:val="("/>
                                <m:sepChr m:val=""/>
                                <m:endChr m:val=")"/>
                                <m:grow/>
                              </m:dPr>
                              <m:e>
                                <m:sSubSup>
                                  <m:e>
                                    <m:r>
                                      <m:t>l</m:t>
                                    </m:r>
                                  </m:e>
                                  <m:sub>
                                    <m:r>
                                      <m:t>s</m:t>
                                    </m:r>
                                    <m:r>
                                      <m:rPr>
                                        <m:sty m:val="p"/>
                                      </m:rPr>
                                      <m:t>,</m:t>
                                    </m:r>
                                    <m:r>
                                      <m:rPr>
                                        <m:sty m:val="p"/>
                                      </m:rPr>
                                      <m:t>(</m:t>
                                    </m:r>
                                    <m:r>
                                      <m:t>i</m:t>
                                    </m:r>
                                    <m:r>
                                      <m:rPr>
                                        <m:sty m:val="p"/>
                                      </m:rPr>
                                      <m:t>)</m:t>
                                    </m:r>
                                  </m:sub>
                                  <m:sup>
                                    <m:r>
                                      <m:t>t</m:t>
                                    </m:r>
                                  </m:sup>
                                </m:sSubSup>
                                <m:r>
                                  <m:rPr>
                                    <m:sty m:val="p"/>
                                  </m:rPr>
                                  <m:t>−</m:t>
                                </m:r>
                                <m:sSubSup>
                                  <m:e>
                                    <m:acc>
                                      <m:accPr>
                                        <m:chr m:val="‾"/>
                                      </m:accPr>
                                      <m:e>
                                        <m:r>
                                          <m:t>l</m:t>
                                        </m:r>
                                      </m:e>
                                    </m:acc>
                                  </m:e>
                                  <m:sub>
                                    <m:r>
                                      <m:t>s</m:t>
                                    </m:r>
                                  </m:sub>
                                  <m:sup>
                                    <m:r>
                                      <m:t>t</m:t>
                                    </m:r>
                                  </m:sup>
                                </m:sSubSup>
                              </m:e>
                            </m:d>
                          </m:e>
                          <m:sup>
                            <m:r>
                              <m:t>2</m:t>
                            </m:r>
                          </m:sup>
                        </m:sSup>
                      </m:num>
                      <m:den>
                        <m:r>
                          <m:t>n</m:t>
                        </m:r>
                      </m:den>
                    </m:f>
                  </m:oMath>
                </w:p>
              </w:tc>
            </w:tr>
          </w:tbl>
          <w:bookmarkEnd w:id="145"/>
          <w:p/>
        </w:tc>
      </w:tr>
    </w:tbl>
    <w:bookmarkEnd w:id="146"/>
    <w:bookmarkStart w:id="147" w:name="normalized-fiber-length-ranges"/>
    <w:p>
      <w:pPr>
        <w:pStyle w:val="Heading3"/>
      </w:pPr>
      <w:r>
        <w:t xml:space="preserve">5.2.5 Normalized Fiber Length Ranges</w:t>
      </w:r>
    </w:p>
    <w:p>
      <w:pPr>
        <w:pStyle w:val="FirstParagraph"/>
      </w:pPr>
      <w:r>
        <w:t xml:space="preserve">The optimization was performed under three different normalized fiber length ranges to assess the sensitivity of the results:</w:t>
      </w:r>
    </w:p>
    <w:p>
      <w:pPr>
        <w:pStyle w:val="Compact"/>
        <w:numPr>
          <w:ilvl w:val="0"/>
          <w:numId w:val="1008"/>
        </w:numPr>
      </w:pPr>
      <w:r>
        <w:rPr>
          <w:b/>
          <w:bCs/>
        </w:rPr>
        <w:t xml:space="preserve">Full range</w:t>
      </w:r>
      <w:r>
        <w:t xml:space="preserve"> </w:t>
      </w:r>
      <w:r>
        <w:t xml:space="preserve">(0.4–1.5): Captures the main force-producing portion of the fiber force-length curve.</w:t>
      </w:r>
    </w:p>
    <w:p>
      <w:pPr>
        <w:pStyle w:val="Compact"/>
        <w:numPr>
          <w:ilvl w:val="0"/>
          <w:numId w:val="1008"/>
        </w:numPr>
      </w:pPr>
      <w:r>
        <w:rPr>
          <w:b/>
          <w:bCs/>
        </w:rPr>
        <w:t xml:space="preserve">Gait operating range</w:t>
      </w:r>
      <w:r>
        <w:t xml:space="preserve">: Estimates of each muscle’s operating range during gait as reported by Arnold [TODO: add citation].</w:t>
      </w:r>
    </w:p>
    <w:p>
      <w:pPr>
        <w:pStyle w:val="Compact"/>
        <w:numPr>
          <w:ilvl w:val="0"/>
          <w:numId w:val="1008"/>
        </w:numPr>
      </w:pPr>
      <w:r>
        <w:rPr>
          <w:b/>
          <w:bCs/>
        </w:rPr>
        <w:t xml:space="preserve">Ascending limb only</w:t>
      </w:r>
      <w:r>
        <w:t xml:space="preserve">: Restricted to the ascending portion of the force-length curve, following the approach of</w:t>
      </w:r>
      <w:r>
        <w:t xml:space="preserve"> </w:t>
      </w:r>
      <w:r>
        <w:t xml:space="preserve">Manal and Buchanan (2004)</w:t>
      </w:r>
      <w:r>
        <w:t xml:space="preserve">.</w:t>
      </w:r>
    </w:p>
    <w:p>
      <w:pPr>
        <w:pStyle w:val="FirstParagraph"/>
      </w:pPr>
      <w:r>
        <w:t xml:space="preserve">SLSQP minimization from SciPy</w:t>
      </w:r>
      <w:r>
        <w:t xml:space="preserve"> </w:t>
      </w:r>
      <w:r>
        <w:t xml:space="preserve">(</w:t>
      </w:r>
      <w:r>
        <w:t xml:space="preserve">Virtanen et al.</w:t>
      </w:r>
      <w:r>
        <w:t xml:space="preserve"> </w:t>
      </w:r>
      <w:r>
        <w:t xml:space="preserve">2020)</w:t>
      </w:r>
      <w:r>
        <w:t xml:space="preserve"> </w:t>
      </w:r>
      <w:r>
        <w:t xml:space="preserve">was then used to minimize each error function over the calculated tendon slack lengths at each musculotendon length.</w:t>
      </w:r>
    </w:p>
    <w:bookmarkEnd w:id="147"/>
    <w:bookmarkEnd w:id="148"/>
    <w:bookmarkStart w:id="165" w:name="results-3"/>
    <w:p>
      <w:pPr>
        <w:pStyle w:val="Heading2"/>
      </w:pPr>
      <w:r>
        <w:t xml:space="preserve">5.3 Results</w:t>
      </w:r>
    </w:p>
    <w:bookmarkStart w:id="150" w:name="tendon-slack-length-estimates"/>
    <w:p>
      <w:pPr>
        <w:pStyle w:val="Heading3"/>
      </w:pPr>
      <w:r>
        <w:t xml:space="preserve">5.3.1 Tendon Slack Length Estimates</w:t>
      </w:r>
    </w:p>
    <w:p>
      <w:pPr>
        <w:pStyle w:val="FirstParagraph"/>
      </w:pPr>
      <w:r>
        <w:t xml:space="preserve">Using the model’s full range of motion, we generated 125 musculotendon length samples for gaslat, 256 for bflh, and 100 for soleus (481 total). Across all muscles, SSDP optimization produced relatively stable tendon slack length estimates over broad musculotendon length ranges, as summarized in</w:t>
      </w:r>
      <w:r>
        <w:t xml:space="preserve"> </w:t>
      </w:r>
      <w:hyperlink w:anchor="tbl-tsl-results">
        <w:r>
          <w:rPr>
            <w:rStyle w:val="Hyperlink"/>
          </w:rPr>
          <w:t xml:space="preserve">Table 5.2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9" w:name="tbl-tsl-results"/>
          <w:p>
            <w:pPr>
              <w:jc w:val="center"/>
            </w:pPr>
            <w:pPr>
              <w:jc w:val="left"/>
              <w:spacing w:before="200"/>
              <w:pStyle w:val="ImageCaption"/>
            </w:pPr>
            <w:r>
              <w:t xml:space="preserve">Table 5.2: Tendon slack length estimates by SSDP optimization for three muscles from the Rajagopal model.</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Muscle</w:t>
                  </w:r>
                </w:p>
              </w:tc>
              <w:tc>
                <w:tcPr/>
                <w:p>
                  <w:pPr>
                    <w:pStyle w:val="Compact"/>
                    <w:jc w:val="right"/>
                    <w:jc w:val="center"/>
                  </w:pPr>
                  <w:r>
                    <w:t xml:space="preserve">MT length range (m)</w:t>
                  </w:r>
                </w:p>
              </w:tc>
              <w:tc>
                <w:tcPr/>
                <w:p>
                  <w:pPr>
                    <w:pStyle w:val="Compact"/>
                    <w:jc w:val="right"/>
                    <w:jc w:val="center"/>
                  </w:pPr>
                  <w:r>
                    <w:t xml:space="preserve">SSDP TSL range (m)</w:t>
                  </w:r>
                </w:p>
              </w:tc>
              <w:tc>
                <w:tcPr/>
                <w:p>
                  <w:pPr>
                    <w:pStyle w:val="Compact"/>
                    <w:jc w:val="right"/>
                    <w:jc w:val="center"/>
                  </w:pPr>
                  <w:r>
                    <w:t xml:space="preserve">SSDP TSL mean</w:t>
                  </w:r>
                  <w:r>
                    <w:t xml:space="preserve"> </w:t>
                  </w:r>
                  <m:oMath>
                    <m:r>
                      <m:rPr>
                        <m:sty m:val="p"/>
                      </m:rPr>
                      <m:t>±</m:t>
                    </m:r>
                  </m:oMath>
                  <w:r>
                    <w:t xml:space="preserve"> </w:t>
                  </w:r>
                  <w:r>
                    <w:t xml:space="preserve">SD (m)</w:t>
                  </w:r>
                </w:p>
              </w:tc>
              <w:tc>
                <w:tcPr/>
                <w:p>
                  <w:pPr>
                    <w:pStyle w:val="Compact"/>
                    <w:jc w:val="right"/>
                    <w:jc w:val="center"/>
                  </w:pPr>
                  <w:r>
                    <w:t xml:space="preserve">CV (%)</w:t>
                  </w:r>
                </w:p>
              </w:tc>
              <w:tc>
                <w:tcPr/>
                <w:p>
                  <w:pPr>
                    <w:pStyle w:val="Compact"/>
                    <w:jc w:val="right"/>
                    <w:jc w:val="center"/>
                  </w:pPr>
                  <w:r>
                    <w:t xml:space="preserve">Corr.</w:t>
                  </w:r>
                  <w:r>
                    <w:t xml:space="preserve"> </w:t>
                  </w:r>
                  <m:oMath>
                    <m:r>
                      <m:t>r</m:t>
                    </m:r>
                  </m:oMath>
                  <w:r>
                    <w:t xml:space="preserve">(MT, TSL)</w:t>
                  </w:r>
                </w:p>
              </w:tc>
            </w:tr>
            <w:tr>
              <w:tc>
                <w:tcPr/>
                <w:p>
                  <w:pPr>
                    <w:pStyle w:val="Compact"/>
                    <w:jc w:val="center"/>
                  </w:pPr>
                  <w:r>
                    <w:t xml:space="preserve">gaslat</w:t>
                  </w:r>
                </w:p>
              </w:tc>
              <w:tc>
                <w:tcPr/>
                <w:p>
                  <w:pPr>
                    <w:pStyle w:val="Compact"/>
                    <w:jc w:val="right"/>
                    <w:jc w:val="center"/>
                  </w:pPr>
                  <w:r>
                    <w:t xml:space="preserve">0.3561–0.4815</w:t>
                  </w:r>
                </w:p>
              </w:tc>
              <w:tc>
                <w:tcPr/>
                <w:p>
                  <w:pPr>
                    <w:pStyle w:val="Compact"/>
                    <w:jc w:val="right"/>
                    <w:jc w:val="center"/>
                  </w:pPr>
                  <w:r>
                    <w:t xml:space="preserve">0.3326–0.3790</w:t>
                  </w:r>
                </w:p>
              </w:tc>
              <w:tc>
                <w:tcPr/>
                <w:p>
                  <w:pPr>
                    <w:pStyle w:val="Compact"/>
                    <w:jc w:val="right"/>
                    <w:jc w:val="center"/>
                  </w:pPr>
                  <w:r>
                    <w:t xml:space="preserve">0.3571</w:t>
                  </w:r>
                  <w:r>
                    <w:t xml:space="preserve"> </w:t>
                  </w:r>
                  <m:oMath>
                    <m:r>
                      <m:rPr>
                        <m:sty m:val="p"/>
                      </m:rPr>
                      <m:t>±</m:t>
                    </m:r>
                  </m:oMath>
                  <w:r>
                    <w:t xml:space="preserve"> </w:t>
                  </w:r>
                  <w:r>
                    <w:t xml:space="preserve">0.0068</w:t>
                  </w:r>
                </w:p>
              </w:tc>
              <w:tc>
                <w:tcPr/>
                <w:p>
                  <w:pPr>
                    <w:pStyle w:val="Compact"/>
                    <w:jc w:val="right"/>
                    <w:jc w:val="center"/>
                  </w:pPr>
                  <w:r>
                    <w:t xml:space="preserve">1.89</w:t>
                  </w:r>
                </w:p>
              </w:tc>
              <w:tc>
                <w:tcPr/>
                <w:p>
                  <w:pPr>
                    <w:pStyle w:val="Compact"/>
                    <w:jc w:val="right"/>
                    <w:jc w:val="center"/>
                  </w:pPr>
                  <w:r>
                    <w:t xml:space="preserve">0.7613</w:t>
                  </w:r>
                </w:p>
              </w:tc>
            </w:tr>
            <w:tr>
              <w:tc>
                <w:tcPr/>
                <w:p>
                  <w:pPr>
                    <w:pStyle w:val="Compact"/>
                    <w:jc w:val="center"/>
                  </w:pPr>
                  <w:r>
                    <w:t xml:space="preserve">bflh</w:t>
                  </w:r>
                </w:p>
              </w:tc>
              <w:tc>
                <w:tcPr/>
                <w:p>
                  <w:pPr>
                    <w:pStyle w:val="Compact"/>
                    <w:jc w:val="right"/>
                    <w:jc w:val="center"/>
                  </w:pPr>
                  <w:r>
                    <w:t xml:space="preserve">0.3307–0.5238</w:t>
                  </w:r>
                </w:p>
              </w:tc>
              <w:tc>
                <w:tcPr/>
                <w:p>
                  <w:pPr>
                    <w:pStyle w:val="Compact"/>
                    <w:jc w:val="right"/>
                    <w:jc w:val="center"/>
                  </w:pPr>
                  <w:r>
                    <w:t xml:space="preserve">0.2956–0.3784</w:t>
                  </w:r>
                </w:p>
              </w:tc>
              <w:tc>
                <w:tcPr/>
                <w:p>
                  <w:pPr>
                    <w:pStyle w:val="Compact"/>
                    <w:jc w:val="right"/>
                    <w:jc w:val="center"/>
                  </w:pPr>
                  <w:r>
                    <w:t xml:space="preserve">0.3414</w:t>
                  </w:r>
                  <w:r>
                    <w:t xml:space="preserve"> </w:t>
                  </w:r>
                  <m:oMath>
                    <m:r>
                      <m:rPr>
                        <m:sty m:val="p"/>
                      </m:rPr>
                      <m:t>±</m:t>
                    </m:r>
                  </m:oMath>
                  <w:r>
                    <w:t xml:space="preserve"> </w:t>
                  </w:r>
                  <w:r>
                    <w:t xml:space="preserve">0.0125</w:t>
                  </w:r>
                </w:p>
              </w:tc>
              <w:tc>
                <w:tcPr/>
                <w:p>
                  <w:pPr>
                    <w:pStyle w:val="Compact"/>
                    <w:jc w:val="right"/>
                    <w:jc w:val="center"/>
                  </w:pPr>
                  <w:r>
                    <w:t xml:space="preserve">3.66</w:t>
                  </w:r>
                </w:p>
              </w:tc>
              <w:tc>
                <w:tcPr/>
                <w:p>
                  <w:pPr>
                    <w:pStyle w:val="Compact"/>
                    <w:jc w:val="right"/>
                    <w:jc w:val="center"/>
                  </w:pPr>
                  <w:r>
                    <w:t xml:space="preserve">0.7670</w:t>
                  </w:r>
                </w:p>
              </w:tc>
            </w:tr>
            <w:tr>
              <w:tc>
                <w:tcPr/>
                <w:p>
                  <w:pPr>
                    <w:pStyle w:val="Compact"/>
                    <w:jc w:val="center"/>
                  </w:pPr>
                  <w:r>
                    <w:t xml:space="preserve">soleus</w:t>
                  </w:r>
                </w:p>
              </w:tc>
              <w:tc>
                <w:tcPr/>
                <w:p>
                  <w:pPr>
                    <w:pStyle w:val="Compact"/>
                    <w:jc w:val="right"/>
                    <w:jc w:val="center"/>
                  </w:pPr>
                  <w:r>
                    <w:t xml:space="preserve">0.2857–0.3521</w:t>
                  </w:r>
                </w:p>
              </w:tc>
              <w:tc>
                <w:tcPr/>
                <w:p>
                  <w:pPr>
                    <w:pStyle w:val="Compact"/>
                    <w:jc w:val="right"/>
                    <w:jc w:val="center"/>
                  </w:pPr>
                  <w:r>
                    <w:t xml:space="preserve">0.2792–0.2881</w:t>
                  </w:r>
                </w:p>
              </w:tc>
              <w:tc>
                <w:tcPr/>
                <w:p>
                  <w:pPr>
                    <w:pStyle w:val="Compact"/>
                    <w:jc w:val="right"/>
                    <w:jc w:val="center"/>
                  </w:pPr>
                  <w:r>
                    <w:t xml:space="preserve">0.2836</w:t>
                  </w:r>
                  <w:r>
                    <w:t xml:space="preserve"> </w:t>
                  </w:r>
                  <m:oMath>
                    <m:r>
                      <m:rPr>
                        <m:sty m:val="p"/>
                      </m:rPr>
                      <m:t>±</m:t>
                    </m:r>
                  </m:oMath>
                  <w:r>
                    <w:t xml:space="preserve"> </w:t>
                  </w:r>
                  <w:r>
                    <w:t xml:space="preserve">0.0013</w:t>
                  </w:r>
                </w:p>
              </w:tc>
              <w:tc>
                <w:tcPr/>
                <w:p>
                  <w:pPr>
                    <w:pStyle w:val="Compact"/>
                    <w:jc w:val="right"/>
                    <w:jc w:val="center"/>
                  </w:pPr>
                  <w:r>
                    <w:t xml:space="preserve">0.47</w:t>
                  </w:r>
                </w:p>
              </w:tc>
              <w:tc>
                <w:tcPr/>
                <w:p>
                  <w:pPr>
                    <w:pStyle w:val="Compact"/>
                    <w:jc w:val="right"/>
                    <w:jc w:val="center"/>
                  </w:pPr>
                  <w:r>
                    <w:t xml:space="preserve">0.6232</w:t>
                  </w:r>
                </w:p>
              </w:tc>
            </w:tr>
          </w:tbl>
          <w:bookmarkEnd w:id="149"/>
          <w:p/>
        </w:tc>
      </w:tr>
    </w:tbl>
    <w:p>
      <w:pPr>
        <w:pStyle w:val="BodyText"/>
      </w:pPr>
      <w:r>
        <w:t xml:space="preserve">Compared with the values reported by</w:t>
      </w:r>
      <w:r>
        <w:t xml:space="preserve"> </w:t>
      </w:r>
      <w:r>
        <w:t xml:space="preserve">Rajagopal et al. (2016)</w:t>
      </w:r>
      <w:r>
        <w:t xml:space="preserve"> </w:t>
      </w:r>
      <w:r>
        <w:t xml:space="preserve">(gaslat: 0.3740 m, bflh: 0.3325 m, soleus: 0.2813 m), the SSDP means were lower for gaslat and slightly higher for bflh and soleus, while all Rajagopal values fell within the estimated TSL range for the respective muscle.</w:t>
      </w:r>
    </w:p>
    <w:bookmarkEnd w:id="150"/>
    <w:bookmarkStart w:id="151" w:name="coordinate-dependence"/>
    <w:p>
      <w:pPr>
        <w:pStyle w:val="Heading3"/>
      </w:pPr>
      <w:r>
        <w:t xml:space="preserve">5.3.2 Coordinate Dependence</w:t>
      </w:r>
    </w:p>
    <w:p>
      <w:pPr>
        <w:pStyle w:val="FirstParagraph"/>
      </w:pPr>
      <w:r>
        <w:t xml:space="preserve">The dependence of musculotendon length on joint coordinates was muscle-specific. For gaslat, the strongest relationships were with ankle angle (</w:t>
      </w:r>
      <m:oMath>
        <m:r>
          <m:t>r</m:t>
        </m:r>
        <m:r>
          <m:rPr>
            <m:sty m:val="p"/>
          </m:rPr>
          <m:t>=</m:t>
        </m:r>
        <m:r>
          <m:t>0.7562</m:t>
        </m:r>
      </m:oMath>
      <w:r>
        <w:t xml:space="preserve">) and knee angle (</w:t>
      </w:r>
      <m:oMath>
        <m:r>
          <m:t>r</m:t>
        </m:r>
        <m:r>
          <m:rPr>
            <m:sty m:val="p"/>
          </m:rPr>
          <m:t>=</m:t>
        </m:r>
        <m:r>
          <m:rPr>
            <m:sty m:val="p"/>
          </m:rPr>
          <m:t>−</m:t>
        </m:r>
        <m:r>
          <m:t>0.6442</m:t>
        </m:r>
      </m:oMath>
      <w:r>
        <w:t xml:space="preserve">). For bflh, hip flexion (</w:t>
      </w:r>
      <m:oMath>
        <m:r>
          <m:t>r</m:t>
        </m:r>
        <m:r>
          <m:rPr>
            <m:sty m:val="p"/>
          </m:rPr>
          <m:t>=</m:t>
        </m:r>
        <m:r>
          <m:t>0.8102</m:t>
        </m:r>
      </m:oMath>
      <w:r>
        <w:t xml:space="preserve">) and knee angle (</w:t>
      </w:r>
      <m:oMath>
        <m:r>
          <m:t>r</m:t>
        </m:r>
        <m:r>
          <m:rPr>
            <m:sty m:val="p"/>
          </m:rPr>
          <m:t>=</m:t>
        </m:r>
        <m:r>
          <m:rPr>
            <m:sty m:val="p"/>
          </m:rPr>
          <m:t>−</m:t>
        </m:r>
        <m:r>
          <m:t>0.5237</m:t>
        </m:r>
      </m:oMath>
      <w:r>
        <w:t xml:space="preserve">) were dominant. For soleus, ankle angle showed a near-monotonic relationship (</w:t>
      </w:r>
      <m:oMath>
        <m:r>
          <m:t>r</m:t>
        </m:r>
        <m:r>
          <m:rPr>
            <m:sty m:val="p"/>
          </m:rPr>
          <m:t>=</m:t>
        </m:r>
        <m:r>
          <m:t>0.9919</m:t>
        </m:r>
      </m:oMath>
      <w:r>
        <w:t xml:space="preserve">), while subtalar angle had minimal influence (</w:t>
      </w:r>
      <m:oMath>
        <m:r>
          <m:t>r</m:t>
        </m:r>
        <m:r>
          <m:rPr>
            <m:sty m:val="p"/>
          </m:rPr>
          <m:t>=</m:t>
        </m:r>
        <m:r>
          <m:rPr>
            <m:sty m:val="p"/>
          </m:rPr>
          <m:t>−</m:t>
        </m:r>
        <m:r>
          <m:t>0.0546</m:t>
        </m:r>
      </m:oMath>
      <w:r>
        <w:t xml:space="preserve">). The corresponding plots are included in</w:t>
      </w:r>
      <w:r>
        <w:t xml:space="preserve"> </w:t>
      </w:r>
      <w:r>
        <w:rPr>
          <w:b/>
          <w:bCs/>
        </w:rPr>
        <w:t xml:space="preserve">?@sec-rajagopal-mtl</w:t>
      </w:r>
      <w:r>
        <w:t xml:space="preserve">.</w:t>
      </w:r>
    </w:p>
    <w:bookmarkEnd w:id="151"/>
    <w:bookmarkStart w:id="164" w:name="activity-specific-force-profiles"/>
    <w:p>
      <w:pPr>
        <w:pStyle w:val="Heading3"/>
      </w:pPr>
      <w:r>
        <w:t xml:space="preserve">5.3.3 Activity-Specific Force Profiles</w:t>
      </w:r>
    </w:p>
    <w:p>
      <w:pPr>
        <w:pStyle w:val="FirstParagraph"/>
      </w:pPr>
      <w:r>
        <w:t xml:space="preserve">When overlaid with activity-specific musculotendon length ranges (walking, squatting, and cutting), most functional ranges fell in regions where TSL estimates were comparatively flat. However, some activities approached edge regions where tendon force rose rapidly, particularly for soleus and the long-length end of bflh (</w:t>
      </w:r>
      <w:hyperlink w:anchor="fig-tsl-gaslat">
        <w:r>
          <w:rPr>
            <w:rStyle w:val="Hyperlink"/>
          </w:rPr>
          <w:t xml:space="preserve">Figure 5.1</w:t>
        </w:r>
      </w:hyperlink>
      <w:r>
        <w:t xml:space="preserve">;</w:t>
      </w:r>
      <w:r>
        <w:t xml:space="preserve"> </w:t>
      </w:r>
      <w:hyperlink w:anchor="fig-tsl-bflh">
        <w:r>
          <w:rPr>
            <w:rStyle w:val="Hyperlink"/>
          </w:rPr>
          <w:t xml:space="preserve">Figure 5.2</w:t>
        </w:r>
      </w:hyperlink>
      <w:r>
        <w:t xml:space="preserve">;</w:t>
      </w:r>
      <w:r>
        <w:t xml:space="preserve"> </w:t>
      </w:r>
      <w:hyperlink w:anchor="fig-tsl-soleus">
        <w:r>
          <w:rPr>
            <w:rStyle w:val="Hyperlink"/>
          </w:rPr>
          <w:t xml:space="preserve">Figure 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5" w:name="fig-tsl-gaslat"/>
          <w:p>
            <w:pPr>
              <w:pStyle w:val="Compact"/>
              <w:jc w:val="center"/>
            </w:pPr>
            <w:r>
              <w:drawing>
                <wp:inline>
                  <wp:extent cx="5334000" cy="3535064"/>
                  <wp:effectExtent b="0" l="0" r="0" t="0"/>
                  <wp:docPr descr="" title="" id="153" name="Picture"/>
                  <a:graphic>
                    <a:graphicData uri="http://schemas.openxmlformats.org/drawingml/2006/picture">
                      <pic:pic>
                        <pic:nvPicPr>
                          <pic:cNvPr descr="chapters/../images/tsl_force_gaslat.png" id="154" name="Picture"/>
                          <pic:cNvPicPr>
                            <a:picLocks noChangeArrowheads="1" noChangeAspect="1"/>
                          </pic:cNvPicPr>
                        </pic:nvPicPr>
                        <pic:blipFill>
                          <a:blip r:embed="rId152"/>
                          <a:stretch>
                            <a:fillRect/>
                          </a:stretch>
                        </pic:blipFill>
                        <pic:spPr bwMode="auto">
                          <a:xfrm>
                            <a:off x="0" y="0"/>
                            <a:ext cx="5334000" cy="3535064"/>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SSDP tendon slack length estimates and tendon force envelope for gaslat across musculotendon lengths, with activity-specific length ranges overlaid.</w:t>
            </w:r>
          </w:p>
          <w:bookmarkEnd w:id="1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9" w:name="fig-tsl-bflh"/>
          <w:p>
            <w:pPr>
              <w:pStyle w:val="Compact"/>
              <w:jc w:val="center"/>
            </w:pPr>
            <w:r>
              <w:drawing>
                <wp:inline>
                  <wp:extent cx="5334000" cy="3535064"/>
                  <wp:effectExtent b="0" l="0" r="0" t="0"/>
                  <wp:docPr descr="" title="" id="157" name="Picture"/>
                  <a:graphic>
                    <a:graphicData uri="http://schemas.openxmlformats.org/drawingml/2006/picture">
                      <pic:pic>
                        <pic:nvPicPr>
                          <pic:cNvPr descr="chapters/../images/tsl_force_bflh.png" id="158" name="Picture"/>
                          <pic:cNvPicPr>
                            <a:picLocks noChangeArrowheads="1" noChangeAspect="1"/>
                          </pic:cNvPicPr>
                        </pic:nvPicPr>
                        <pic:blipFill>
                          <a:blip r:embed="rId156"/>
                          <a:stretch>
                            <a:fillRect/>
                          </a:stretch>
                        </pic:blipFill>
                        <pic:spPr bwMode="auto">
                          <a:xfrm>
                            <a:off x="0" y="0"/>
                            <a:ext cx="5334000" cy="3535064"/>
                          </a:xfrm>
                          <a:prstGeom prst="rect">
                            <a:avLst/>
                          </a:prstGeom>
                          <a:noFill/>
                          <a:ln w="9525">
                            <a:noFill/>
                            <a:headEnd/>
                            <a:tailEnd/>
                          </a:ln>
                        </pic:spPr>
                      </pic:pic>
                    </a:graphicData>
                  </a:graphic>
                </wp:inline>
              </w:drawing>
            </w:r>
          </w:p>
          <w:p>
            <w:pPr>
              <w:jc w:val="center"/>
            </w:pPr>
            <w:pPr>
              <w:jc w:val="left"/>
              <w:spacing w:before="200"/>
              <w:pStyle w:val="ImageCaption"/>
            </w:pPr>
            <w:r>
              <w:t xml:space="preserve">Figure 5.2: SSDP tendon slack length estimates and tendon force envelope for bflh across musculotendon lengths, with activity-specific length ranges overlaid.</w:t>
            </w:r>
          </w:p>
          <w:bookmarkEnd w:id="1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fig-tsl-soleus"/>
          <w:p>
            <w:pPr>
              <w:pStyle w:val="Compact"/>
              <w:jc w:val="center"/>
            </w:pPr>
            <w:r>
              <w:drawing>
                <wp:inline>
                  <wp:extent cx="5334000" cy="3536576"/>
                  <wp:effectExtent b="0" l="0" r="0" t="0"/>
                  <wp:docPr descr="" title="" id="161" name="Picture"/>
                  <a:graphic>
                    <a:graphicData uri="http://schemas.openxmlformats.org/drawingml/2006/picture">
                      <pic:pic>
                        <pic:nvPicPr>
                          <pic:cNvPr descr="chapters/../images/tsl_force_soleus.png" id="162" name="Picture"/>
                          <pic:cNvPicPr>
                            <a:picLocks noChangeArrowheads="1" noChangeAspect="1"/>
                          </pic:cNvPicPr>
                        </pic:nvPicPr>
                        <pic:blipFill>
                          <a:blip r:embed="rId160"/>
                          <a:stretch>
                            <a:fillRect/>
                          </a:stretch>
                        </pic:blipFill>
                        <pic:spPr bwMode="auto">
                          <a:xfrm>
                            <a:off x="0" y="0"/>
                            <a:ext cx="5334000" cy="3536576"/>
                          </a:xfrm>
                          <a:prstGeom prst="rect">
                            <a:avLst/>
                          </a:prstGeom>
                          <a:noFill/>
                          <a:ln w="9525">
                            <a:noFill/>
                            <a:headEnd/>
                            <a:tailEnd/>
                          </a:ln>
                        </pic:spPr>
                      </pic:pic>
                    </a:graphicData>
                  </a:graphic>
                </wp:inline>
              </w:drawing>
            </w:r>
          </w:p>
          <w:p>
            <w:pPr>
              <w:jc w:val="center"/>
            </w:pPr>
            <w:pPr>
              <w:jc w:val="left"/>
              <w:spacing w:before="200"/>
              <w:pStyle w:val="ImageCaption"/>
            </w:pPr>
            <w:r>
              <w:t xml:space="preserve">Figure 5.3: SSDP tendon slack length estimates and tendon force envelope for soleus across musculotendon lengths, with activity-specific length ranges overlaid.</w:t>
            </w:r>
          </w:p>
          <w:bookmarkEnd w:id="163"/>
        </w:tc>
      </w:tr>
    </w:tbl>
    <w:bookmarkEnd w:id="164"/>
    <w:bookmarkEnd w:id="165"/>
    <w:bookmarkStart w:id="169" w:name="discussion-3"/>
    <w:p>
      <w:pPr>
        <w:pStyle w:val="Heading2"/>
      </w:pPr>
      <w:r>
        <w:t xml:space="preserve">5.4 Discussion</w:t>
      </w:r>
    </w:p>
    <w:bookmarkStart w:id="166" w:name="effect-of-error-function"/>
    <w:p>
      <w:pPr>
        <w:pStyle w:val="Heading3"/>
      </w:pPr>
      <w:r>
        <w:t xml:space="preserve">5.4.1 Effect of Error Function</w:t>
      </w:r>
    </w:p>
    <w:p>
      <w:pPr>
        <w:pStyle w:val="FirstParagraph"/>
      </w:pPr>
      <w:r>
        <w:t xml:space="preserve">Across all three muscles, the choice of error function had negligible influence on the optimized tendon slack length. All four formulations—SSDP, SSDM, STD, and VAR—converged to nearly identical estimates. This is consistent with the fact that each function penalizes the spread of the candidate TSL values, differing only in how the spread is aggregated. From a practical standpoint, any of these error functions can be used interchangeably, though SSDP remains the default given its precedent in the literature.</w:t>
      </w:r>
    </w:p>
    <w:bookmarkEnd w:id="166"/>
    <w:bookmarkStart w:id="167" w:name="effect-of-normalized-fiber-length-range"/>
    <w:p>
      <w:pPr>
        <w:pStyle w:val="Heading3"/>
      </w:pPr>
      <w:r>
        <w:t xml:space="preserve">5.4.2 Effect of Normalized Fiber Length Range</w:t>
      </w:r>
    </w:p>
    <w:p>
      <w:pPr>
        <w:pStyle w:val="FirstParagraph"/>
      </w:pPr>
      <w:r>
        <w:t xml:space="preserve">In contrast to the error function, the normalized fiber length range used during optimization had a substantial effect on the estimated tendon slack lengths. The full range (0.4–1.5) produced the most stable estimates across musculotendon lengths, while narrower ranges led to greater sensitivity to the specific lengths sampled. This finding underscores the importance of carefully selecting the fiber length range when applying this methodology to new models or muscles.</w:t>
      </w:r>
    </w:p>
    <w:bookmarkEnd w:id="167"/>
    <w:bookmarkStart w:id="168" w:name="activity-dependence"/>
    <w:p>
      <w:pPr>
        <w:pStyle w:val="Heading3"/>
      </w:pPr>
      <w:r>
        <w:t xml:space="preserve">5.4.3 Activity Dependence</w:t>
      </w:r>
    </w:p>
    <w:p>
      <w:pPr>
        <w:pStyle w:val="FirstParagraph"/>
      </w:pPr>
      <w:r>
        <w:t xml:space="preserve">The tendon slack length plots in</w:t>
      </w:r>
      <w:r>
        <w:t xml:space="preserve"> </w:t>
      </w:r>
      <w:hyperlink w:anchor="fig-tsl-gaslat">
        <w:r>
          <w:rPr>
            <w:rStyle w:val="Hyperlink"/>
          </w:rPr>
          <w:t xml:space="preserve">Figure 5.1</w:t>
        </w:r>
      </w:hyperlink>
      <w:r>
        <w:t xml:space="preserve"> </w:t>
      </w:r>
      <w:r>
        <w:t xml:space="preserve">through</w:t>
      </w:r>
      <w:r>
        <w:t xml:space="preserve"> </w:t>
      </w:r>
      <w:hyperlink w:anchor="fig-tsl-soleus">
        <w:r>
          <w:rPr>
            <w:rStyle w:val="Hyperlink"/>
          </w:rPr>
          <w:t xml:space="preserve">Figure 5.3</w:t>
        </w:r>
      </w:hyperlink>
      <w:r>
        <w:t xml:space="preserve"> </w:t>
      </w:r>
      <w:r>
        <w:t xml:space="preserve">show the estimates produced by SSDP optimization across a normalized fiber length range of 0.4 to 1.5, along with the corresponding tendon force envelope. The highlighted regions indicate the range of musculotendon lengths encountered during walking, squatting, and athletic cutting motions. For most muscles and activities, the functional musculotendon length range falls in a region where the TSL estimate is relatively flat and the tendon force is moderate. However, when the musculotendon length approaches the extremes of its range—as occurs for soleus during cutting or for the long-length end of bflh—the tendon force rises steeply and the TSL estimate becomes less stable. This suggests that a single optimized tendon slack length may introduce activity-dependent inaccuracies for muscles that operate near the boundaries of their length range. For example, the soleus TSL estimate that performs well for squatting may be less appropriate for an athletic cutting motion.</w:t>
      </w:r>
    </w:p>
    <w:bookmarkEnd w:id="168"/>
    <w:bookmarkEnd w:id="169"/>
    <w:bookmarkStart w:id="171" w:name="application-to-rodent-model"/>
    <w:p>
      <w:pPr>
        <w:pStyle w:val="Heading2"/>
      </w:pPr>
      <w:r>
        <w:t xml:space="preserve">5.5 Application to Rodent Model</w:t>
      </w:r>
    </w:p>
    <w:p>
      <w:pPr>
        <w:pStyle w:val="FirstParagraph"/>
      </w:pPr>
      <w:r>
        <w:t xml:space="preserve">As discussed in</w:t>
      </w:r>
      <w:r>
        <w:t xml:space="preserve"> </w:t>
      </w:r>
      <w:hyperlink w:anchor="sec-musc-params">
        <w:r>
          <w:rPr>
            <w:rStyle w:val="Hyperlink"/>
          </w:rPr>
          <w:t xml:space="preserve">Section 4.2.6</w:t>
        </w:r>
      </w:hyperlink>
      <w:r>
        <w:t xml:space="preserve">, many muscles in the rat hindlimb model lacked values for tendon slack length or had unreliable values, preventing muscle-level analyses such as computed muscle control. To address this, we applied the tendon slack length optimization methodology described above to estimate tendon slack lengths for all muscles in the rat hindlimb model.</w:t>
      </w:r>
    </w:p>
    <w:p>
      <w:pPr>
        <w:pStyle w:val="BodyText"/>
      </w:pPr>
      <w:r>
        <w:t xml:space="preserve">Given the more limited availability of rodent muscle parameter data compared to human models, the optimization was performed using only the full normalized fiber length range (0.4–1.5) and the SSDP error function. For the musculotendon length sampling, we compared two approaches: the model’s full range of motion and the observed range of motion during normal gait, compiled from baseline walking trials in the study detailed in</w:t>
      </w:r>
      <w:r>
        <w:t xml:space="preserve"> </w:t>
      </w:r>
      <w:hyperlink w:anchor="sec-rat-vml">
        <w:r>
          <w:rPr>
            <w:rStyle w:val="Hyperlink"/>
          </w:rPr>
          <w:t xml:space="preserve">Chapter 2</w:t>
        </w:r>
      </w:hyperlink>
      <w:r>
        <w:t xml:space="preserve">. The results, compared with the parameters from</w:t>
      </w:r>
      <w:r>
        <w:t xml:space="preserve"> </w:t>
      </w:r>
      <w:r>
        <w:t xml:space="preserve">Johnson et al. (2011)</w:t>
      </w:r>
      <w:r>
        <w:t xml:space="preserve">, are summarized in</w:t>
      </w:r>
      <w:r>
        <w:t xml:space="preserve"> </w:t>
      </w:r>
      <w:hyperlink w:anchor="tbl-tsl-comparison">
        <w:r>
          <w:rPr>
            <w:rStyle w:val="Hyperlink"/>
          </w:rPr>
          <w:t xml:space="preserve">Table 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0" w:name="tbl-tsl-comparison"/>
          <w:p>
            <w:pPr>
              <w:jc w:val="center"/>
            </w:pPr>
            <w:pPr>
              <w:jc w:val="left"/>
              <w:spacing w:before="200"/>
              <w:pStyle w:val="ImageCaption"/>
            </w:pPr>
            <w:r>
              <w:t xml:space="preserve">Table 5.3</w:t>
            </w:r>
          </w:p>
          <w:tbl>
            <w:tblPr>
              <w:tblStyle w:val="Table"/>
              <w:tblW w:type="pct" w:w="5000"/>
              <w:tblLayout w:type="fixed"/>
              <w:tblLook w:firstRow="1" w:lastRow="0" w:firstColumn="0" w:lastColumn="0" w:noHBand="0" w:noVBand="0" w:val="0020"/>
            </w:tblPr>
            <w:tblGrid>
              <w:gridCol w:w="1712"/>
              <w:gridCol w:w="2140"/>
              <w:gridCol w:w="2247"/>
              <w:gridCol w:w="1819"/>
            </w:tblGrid>
            <w:tr>
              <w:trPr>
                <w:tblHeader w:val="on"/>
              </w:trPr>
              <w:tc>
                <w:tcPr/>
                <w:p>
                  <w:pPr>
                    <w:pStyle w:val="Compact"/>
                    <w:jc w:val="left"/>
                    <w:jc w:val="center"/>
                  </w:pPr>
                  <w:r>
                    <w:t xml:space="preserve">Abbreviation</w:t>
                  </w:r>
                </w:p>
              </w:tc>
              <w:tc>
                <w:tcPr/>
                <w:p>
                  <w:pPr>
                    <w:pStyle w:val="Compact"/>
                    <w:jc w:val="right"/>
                    <w:jc w:val="center"/>
                  </w:pPr>
                  <w:r>
                    <w:t xml:space="preserve">Johnson TSL (mm)</w:t>
                  </w:r>
                </w:p>
              </w:tc>
              <w:tc>
                <w:tcPr/>
                <w:p>
                  <w:pPr>
                    <w:pStyle w:val="Compact"/>
                    <w:jc w:val="right"/>
                    <w:jc w:val="center"/>
                  </w:pPr>
                  <w:r>
                    <w:t xml:space="preserve">Full ROM TSL (mm)</w:t>
                  </w:r>
                </w:p>
              </w:tc>
              <w:tc>
                <w:tcPr/>
                <w:p>
                  <w:pPr>
                    <w:pStyle w:val="Compact"/>
                    <w:jc w:val="right"/>
                    <w:jc w:val="center"/>
                  </w:pPr>
                  <w:r>
                    <w:t xml:space="preserve">Walk TSL (mm)</w:t>
                  </w:r>
                </w:p>
              </w:tc>
            </w:tr>
            <w:tr>
              <w:tc>
                <w:tcPr/>
                <w:p>
                  <w:pPr>
                    <w:pStyle w:val="Compact"/>
                    <w:jc w:val="left"/>
                    <w:jc w:val="center"/>
                  </w:pPr>
                  <w:r>
                    <w:t xml:space="preserve">AB</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4.82</w:t>
                  </w:r>
                </w:p>
              </w:tc>
            </w:tr>
            <w:tr>
              <w:tc>
                <w:tcPr/>
                <w:p>
                  <w:pPr>
                    <w:pStyle w:val="Compact"/>
                    <w:jc w:val="left"/>
                    <w:jc w:val="center"/>
                  </w:pPr>
                  <w:r>
                    <w:t xml:space="preserve">AL</w:t>
                  </w:r>
                </w:p>
              </w:tc>
              <w:tc>
                <w:tcPr/>
                <w:p>
                  <w:pPr>
                    <w:pStyle w:val="Compact"/>
                    <w:jc w:val="right"/>
                    <w:jc w:val="center"/>
                  </w:pPr>
                  <w:r>
                    <w:t xml:space="preserve">4.50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AM</w:t>
                  </w:r>
                </w:p>
              </w:tc>
              <w:tc>
                <w:tcPr/>
                <w:p>
                  <w:pPr>
                    <w:pStyle w:val="Compact"/>
                    <w:jc w:val="right"/>
                    <w:jc w:val="center"/>
                  </w:pPr>
                  <w:r>
                    <w:t xml:space="preserve">0.00</w:t>
                  </w:r>
                </w:p>
              </w:tc>
              <w:tc>
                <w:tcPr/>
                <w:p>
                  <w:pPr>
                    <w:pStyle w:val="Compact"/>
                    <w:jc w:val="right"/>
                    <w:jc w:val="center"/>
                  </w:pPr>
                  <w:r>
                    <w:t xml:space="preserve">4.49</w:t>
                  </w:r>
                </w:p>
              </w:tc>
              <w:tc>
                <w:tcPr/>
                <w:p>
                  <w:pPr>
                    <w:pStyle w:val="Compact"/>
                    <w:jc w:val="right"/>
                    <w:jc w:val="center"/>
                  </w:pPr>
                  <w:r>
                    <w:t xml:space="preserve">7.03</w:t>
                  </w:r>
                </w:p>
              </w:tc>
            </w:tr>
            <w:tr>
              <w:tc>
                <w:tcPr/>
                <w:p>
                  <w:pPr>
                    <w:pStyle w:val="Compact"/>
                    <w:jc w:val="left"/>
                    <w:jc w:val="center"/>
                  </w:pPr>
                  <w:r>
                    <w:t xml:space="preserve">BFa</w:t>
                  </w:r>
                </w:p>
              </w:tc>
              <w:tc>
                <w:tcPr/>
                <w:p>
                  <w:pPr>
                    <w:pStyle w:val="Compact"/>
                    <w:jc w:val="right"/>
                    <w:jc w:val="center"/>
                  </w:pPr>
                  <w:r>
                    <w:t xml:space="preserve">0.00</w:t>
                  </w:r>
                </w:p>
              </w:tc>
              <w:tc>
                <w:tcPr/>
                <w:p>
                  <w:pPr>
                    <w:pStyle w:val="Compact"/>
                    <w:jc w:val="right"/>
                    <w:jc w:val="center"/>
                  </w:pPr>
                  <w:r>
                    <w:t xml:space="preserve">0.19</w:t>
                  </w:r>
                </w:p>
              </w:tc>
              <w:tc>
                <w:tcPr/>
                <w:p>
                  <w:pPr>
                    <w:pStyle w:val="Compact"/>
                    <w:jc w:val="right"/>
                    <w:jc w:val="center"/>
                  </w:pPr>
                  <w:r>
                    <w:t xml:space="preserve">8.51</w:t>
                  </w:r>
                </w:p>
              </w:tc>
            </w:tr>
            <w:tr>
              <w:tc>
                <w:tcPr/>
                <w:p>
                  <w:pPr>
                    <w:pStyle w:val="Compact"/>
                    <w:jc w:val="left"/>
                    <w:jc w:val="center"/>
                  </w:pPr>
                  <w:r>
                    <w:t xml:space="preserve">BFp</w:t>
                  </w:r>
                </w:p>
              </w:tc>
              <w:tc>
                <w:tcPr/>
                <w:p>
                  <w:pPr>
                    <w:pStyle w:val="Compact"/>
                    <w:jc w:val="right"/>
                    <w:jc w:val="center"/>
                  </w:pPr>
                  <w:r>
                    <w:t xml:space="preserve">0.00</w:t>
                  </w:r>
                </w:p>
              </w:tc>
              <w:tc>
                <w:tcPr/>
                <w:p>
                  <w:pPr>
                    <w:pStyle w:val="Compact"/>
                    <w:jc w:val="right"/>
                    <w:jc w:val="center"/>
                  </w:pPr>
                  <w:r>
                    <w:t xml:space="preserve">4.87</w:t>
                  </w:r>
                </w:p>
              </w:tc>
              <w:tc>
                <w:tcPr/>
                <w:p>
                  <w:pPr>
                    <w:pStyle w:val="Compact"/>
                    <w:jc w:val="right"/>
                    <w:jc w:val="center"/>
                  </w:pPr>
                  <w:r>
                    <w:t xml:space="preserve">6.35</w:t>
                  </w:r>
                </w:p>
              </w:tc>
            </w:tr>
            <w:tr>
              <w:tc>
                <w:tcPr/>
                <w:p>
                  <w:pPr>
                    <w:pStyle w:val="Compact"/>
                    <w:jc w:val="left"/>
                    <w:jc w:val="center"/>
                  </w:pPr>
                  <w:r>
                    <w:t xml:space="preserve">CF</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EDL</w:t>
                  </w:r>
                </w:p>
              </w:tc>
              <w:tc>
                <w:tcPr/>
                <w:p>
                  <w:pPr>
                    <w:pStyle w:val="Compact"/>
                    <w:jc w:val="right"/>
                    <w:jc w:val="center"/>
                  </w:pPr>
                  <w:r>
                    <w:t xml:space="preserve">9.00</w:t>
                  </w:r>
                </w:p>
              </w:tc>
              <w:tc>
                <w:tcPr/>
                <w:p>
                  <w:pPr>
                    <w:pStyle w:val="Compact"/>
                    <w:jc w:val="right"/>
                    <w:jc w:val="center"/>
                  </w:pPr>
                  <w:r>
                    <w:t xml:space="preserve">41.56</w:t>
                  </w:r>
                </w:p>
              </w:tc>
              <w:tc>
                <w:tcPr/>
                <w:p>
                  <w:pPr>
                    <w:pStyle w:val="Compact"/>
                    <w:jc w:val="right"/>
                    <w:jc w:val="center"/>
                  </w:pPr>
                  <w:r>
                    <w:t xml:space="preserve">43.47</w:t>
                  </w:r>
                </w:p>
              </w:tc>
            </w:tr>
            <w:tr>
              <w:tc>
                <w:tcPr/>
                <w:p>
                  <w:pPr>
                    <w:pStyle w:val="Compact"/>
                    <w:jc w:val="left"/>
                    <w:jc w:val="center"/>
                  </w:pPr>
                  <w:r>
                    <w:t xml:space="preserve">FDL</w:t>
                  </w:r>
                </w:p>
              </w:tc>
              <w:tc>
                <w:tcPr/>
                <w:p>
                  <w:pPr>
                    <w:pStyle w:val="Compact"/>
                    <w:jc w:val="right"/>
                    <w:jc w:val="center"/>
                  </w:pPr>
                  <w:r>
                    <w:t xml:space="preserve">8.70</w:t>
                  </w:r>
                </w:p>
              </w:tc>
              <w:tc>
                <w:tcPr/>
                <w:p>
                  <w:pPr>
                    <w:pStyle w:val="Compact"/>
                    <w:jc w:val="right"/>
                    <w:jc w:val="center"/>
                  </w:pPr>
                  <w:r>
                    <w:t xml:space="preserve">47.23</w:t>
                  </w:r>
                </w:p>
              </w:tc>
              <w:tc>
                <w:tcPr/>
                <w:p>
                  <w:pPr>
                    <w:pStyle w:val="Compact"/>
                    <w:jc w:val="right"/>
                    <w:jc w:val="center"/>
                  </w:pPr>
                  <w:r>
                    <w:t xml:space="preserve">48.64</w:t>
                  </w:r>
                </w:p>
              </w:tc>
            </w:tr>
            <w:tr>
              <w:tc>
                <w:tcPr/>
                <w:p>
                  <w:pPr>
                    <w:pStyle w:val="Compact"/>
                    <w:jc w:val="left"/>
                    <w:jc w:val="center"/>
                  </w:pPr>
                  <w:r>
                    <w:t xml:space="preserve">FHL</w:t>
                  </w:r>
                </w:p>
              </w:tc>
              <w:tc>
                <w:tcPr/>
                <w:p>
                  <w:pPr>
                    <w:pStyle w:val="Compact"/>
                    <w:jc w:val="right"/>
                    <w:jc w:val="center"/>
                  </w:pPr>
                  <w:r>
                    <w:t xml:space="preserve">9.70</w:t>
                  </w:r>
                </w:p>
              </w:tc>
              <w:tc>
                <w:tcPr/>
                <w:p>
                  <w:pPr>
                    <w:pStyle w:val="Compact"/>
                    <w:jc w:val="right"/>
                    <w:jc w:val="center"/>
                  </w:pPr>
                  <w:r>
                    <w:t xml:space="preserve">42.73</w:t>
                  </w:r>
                </w:p>
              </w:tc>
              <w:tc>
                <w:tcPr/>
                <w:p>
                  <w:pPr>
                    <w:pStyle w:val="Compact"/>
                    <w:jc w:val="right"/>
                    <w:jc w:val="center"/>
                  </w:pPr>
                  <w:r>
                    <w:t xml:space="preserve">44.28</w:t>
                  </w:r>
                </w:p>
              </w:tc>
            </w:tr>
            <w:tr>
              <w:tc>
                <w:tcPr/>
                <w:p>
                  <w:pPr>
                    <w:pStyle w:val="Compact"/>
                    <w:jc w:val="left"/>
                    <w:jc w:val="center"/>
                  </w:pPr>
                  <w:r>
                    <w:t xml:space="preserve">GA</w:t>
                  </w:r>
                </w:p>
              </w:tc>
              <w:tc>
                <w:tcPr/>
                <w:p>
                  <w:pPr>
                    <w:pStyle w:val="Compact"/>
                    <w:jc w:val="right"/>
                    <w:jc w:val="center"/>
                  </w:pPr>
                  <w:r>
                    <w:t xml:space="preserve">0.00</w:t>
                  </w:r>
                </w:p>
              </w:tc>
              <w:tc>
                <w:tcPr/>
                <w:p>
                  <w:pPr>
                    <w:pStyle w:val="Compact"/>
                    <w:jc w:val="right"/>
                    <w:jc w:val="center"/>
                  </w:pPr>
                  <w:r>
                    <w:t xml:space="preserve">3.59</w:t>
                  </w:r>
                </w:p>
              </w:tc>
              <w:tc>
                <w:tcPr/>
                <w:p>
                  <w:pPr>
                    <w:pStyle w:val="Compact"/>
                    <w:jc w:val="right"/>
                    <w:jc w:val="center"/>
                  </w:pPr>
                  <w:r>
                    <w:t xml:space="preserve">5.27</w:t>
                  </w:r>
                </w:p>
              </w:tc>
            </w:tr>
            <w:tr>
              <w:tc>
                <w:tcPr/>
                <w:p>
                  <w:pPr>
                    <w:pStyle w:val="Compact"/>
                    <w:jc w:val="left"/>
                    <w:jc w:val="center"/>
                  </w:pPr>
                  <w:r>
                    <w:t xml:space="preserve">GI</w:t>
                  </w:r>
                </w:p>
              </w:tc>
              <w:tc>
                <w:tcPr/>
                <w:p>
                  <w:pPr>
                    <w:pStyle w:val="Compact"/>
                    <w:jc w:val="right"/>
                    <w:jc w:val="center"/>
                  </w:pPr>
                  <w:r>
                    <w:t xml:space="preserve">0.00</w:t>
                  </w:r>
                </w:p>
              </w:tc>
              <w:tc>
                <w:tcPr/>
                <w:p>
                  <w:pPr>
                    <w:pStyle w:val="Compact"/>
                    <w:jc w:val="right"/>
                    <w:jc w:val="center"/>
                  </w:pPr>
                  <w:r>
                    <w:t xml:space="preserve">8.44</w:t>
                  </w:r>
                </w:p>
              </w:tc>
              <w:tc>
                <w:tcPr/>
                <w:p>
                  <w:pPr>
                    <w:pStyle w:val="Compact"/>
                    <w:jc w:val="right"/>
                    <w:jc w:val="center"/>
                  </w:pPr>
                  <w:r>
                    <w:t xml:space="preserve">8.59</w:t>
                  </w:r>
                </w:p>
              </w:tc>
            </w:tr>
            <w:tr>
              <w:tc>
                <w:tcPr/>
                <w:p>
                  <w:pPr>
                    <w:pStyle w:val="Compact"/>
                    <w:jc w:val="left"/>
                    <w:jc w:val="center"/>
                  </w:pPr>
                  <w:r>
                    <w:t xml:space="preserve">GMa</w:t>
                  </w:r>
                </w:p>
              </w:tc>
              <w:tc>
                <w:tcPr/>
                <w:p>
                  <w:pPr>
                    <w:pStyle w:val="Compact"/>
                    <w:jc w:val="right"/>
                    <w:jc w:val="center"/>
                  </w:pPr>
                  <w:r>
                    <w:t xml:space="preserve">4.80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GMe</w:t>
                  </w:r>
                </w:p>
              </w:tc>
              <w:tc>
                <w:tcPr/>
                <w:p>
                  <w:pPr>
                    <w:pStyle w:val="Compact"/>
                    <w:jc w:val="right"/>
                    <w:jc w:val="center"/>
                  </w:pPr>
                  <w:r>
                    <w:t xml:space="preserve">0.00</w:t>
                  </w:r>
                </w:p>
              </w:tc>
              <w:tc>
                <w:tcPr/>
                <w:p>
                  <w:pPr>
                    <w:pStyle w:val="Compact"/>
                    <w:jc w:val="right"/>
                    <w:jc w:val="center"/>
                  </w:pPr>
                  <w:r>
                    <w:t xml:space="preserve">4.93</w:t>
                  </w:r>
                </w:p>
              </w:tc>
              <w:tc>
                <w:tcPr/>
                <w:p>
                  <w:pPr>
                    <w:pStyle w:val="Compact"/>
                    <w:jc w:val="right"/>
                    <w:jc w:val="center"/>
                  </w:pPr>
                  <w:r>
                    <w:t xml:space="preserve">7.70</w:t>
                  </w:r>
                </w:p>
              </w:tc>
            </w:tr>
            <w:tr>
              <w:tc>
                <w:tcPr/>
                <w:p>
                  <w:pPr>
                    <w:pStyle w:val="Compact"/>
                    <w:jc w:val="left"/>
                    <w:jc w:val="center"/>
                  </w:pPr>
                  <w:r>
                    <w:t xml:space="preserve">GMi</w:t>
                  </w:r>
                </w:p>
              </w:tc>
              <w:tc>
                <w:tcPr/>
                <w:p>
                  <w:pPr>
                    <w:pStyle w:val="Compact"/>
                    <w:jc w:val="right"/>
                    <w:jc w:val="center"/>
                  </w:pPr>
                  <w:r>
                    <w:t xml:space="preserve">0.00</w:t>
                  </w:r>
                </w:p>
              </w:tc>
              <w:tc>
                <w:tcPr/>
                <w:p>
                  <w:pPr>
                    <w:pStyle w:val="Compact"/>
                    <w:jc w:val="right"/>
                    <w:jc w:val="center"/>
                  </w:pPr>
                  <w:r>
                    <w:t xml:space="preserve">10.84</w:t>
                  </w:r>
                </w:p>
              </w:tc>
              <w:tc>
                <w:tcPr/>
                <w:p>
                  <w:pPr>
                    <w:pStyle w:val="Compact"/>
                    <w:jc w:val="right"/>
                    <w:jc w:val="center"/>
                  </w:pPr>
                  <w:r>
                    <w:t xml:space="preserve">12.49</w:t>
                  </w:r>
                </w:p>
              </w:tc>
            </w:tr>
            <w:tr>
              <w:tc>
                <w:tcPr/>
                <w:p>
                  <w:pPr>
                    <w:pStyle w:val="Compact"/>
                    <w:jc w:val="left"/>
                    <w:jc w:val="center"/>
                  </w:pPr>
                  <w:r>
                    <w:t xml:space="preserve">GP</w:t>
                  </w:r>
                </w:p>
              </w:tc>
              <w:tc>
                <w:tcPr/>
                <w:p>
                  <w:pPr>
                    <w:pStyle w:val="Compact"/>
                    <w:jc w:val="right"/>
                    <w:jc w:val="center"/>
                  </w:pPr>
                  <w:r>
                    <w:t xml:space="preserve">0.90</w:t>
                  </w:r>
                </w:p>
              </w:tc>
              <w:tc>
                <w:tcPr/>
                <w:p>
                  <w:pPr>
                    <w:pStyle w:val="Compact"/>
                    <w:jc w:val="right"/>
                    <w:jc w:val="center"/>
                  </w:pPr>
                  <w:r>
                    <w:t xml:space="preserve">6.24</w:t>
                  </w:r>
                </w:p>
              </w:tc>
              <w:tc>
                <w:tcPr/>
                <w:p>
                  <w:pPr>
                    <w:pStyle w:val="Compact"/>
                    <w:jc w:val="right"/>
                    <w:jc w:val="center"/>
                  </w:pPr>
                  <w:r>
                    <w:t xml:space="preserve">6.39</w:t>
                  </w:r>
                </w:p>
              </w:tc>
            </w:tr>
            <w:tr>
              <w:tc>
                <w:tcPr/>
                <w:p>
                  <w:pPr>
                    <w:pStyle w:val="Compact"/>
                    <w:jc w:val="left"/>
                    <w:jc w:val="center"/>
                  </w:pPr>
                  <w:r>
                    <w:t xml:space="preserve">GS</w:t>
                  </w:r>
                </w:p>
              </w:tc>
              <w:tc>
                <w:tcPr/>
                <w:p>
                  <w:pPr>
                    <w:pStyle w:val="Compact"/>
                    <w:jc w:val="right"/>
                    <w:jc w:val="center"/>
                  </w:pPr>
                  <w:r>
                    <w:t xml:space="preserve">0.00</w:t>
                  </w:r>
                </w:p>
              </w:tc>
              <w:tc>
                <w:tcPr/>
                <w:p>
                  <w:pPr>
                    <w:pStyle w:val="Compact"/>
                    <w:jc w:val="right"/>
                    <w:jc w:val="center"/>
                  </w:pPr>
                  <w:r>
                    <w:t xml:space="preserve">12.59</w:t>
                  </w:r>
                </w:p>
              </w:tc>
              <w:tc>
                <w:tcPr/>
                <w:p>
                  <w:pPr>
                    <w:pStyle w:val="Compact"/>
                    <w:jc w:val="right"/>
                    <w:jc w:val="center"/>
                  </w:pPr>
                  <w:r>
                    <w:t xml:space="preserve">12.34</w:t>
                  </w:r>
                </w:p>
              </w:tc>
            </w:tr>
            <w:tr>
              <w:tc>
                <w:tcPr/>
                <w:p>
                  <w:pPr>
                    <w:pStyle w:val="Compact"/>
                    <w:jc w:val="left"/>
                    <w:jc w:val="center"/>
                  </w:pPr>
                  <w:r>
                    <w:t xml:space="preserve">IP</w:t>
                  </w:r>
                </w:p>
              </w:tc>
              <w:tc>
                <w:tcPr/>
                <w:p>
                  <w:pPr>
                    <w:pStyle w:val="Compact"/>
                    <w:jc w:val="right"/>
                    <w:jc w:val="center"/>
                  </w:pPr>
                  <w:r>
                    <w:t xml:space="preserve">4.10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LG</w:t>
                  </w:r>
                </w:p>
              </w:tc>
              <w:tc>
                <w:tcPr/>
                <w:p>
                  <w:pPr>
                    <w:pStyle w:val="Compact"/>
                    <w:jc w:val="right"/>
                    <w:jc w:val="center"/>
                  </w:pPr>
                  <w:r>
                    <w:t xml:space="preserve">9.40</w:t>
                  </w:r>
                </w:p>
              </w:tc>
              <w:tc>
                <w:tcPr/>
                <w:p>
                  <w:pPr>
                    <w:pStyle w:val="Compact"/>
                    <w:jc w:val="right"/>
                    <w:jc w:val="center"/>
                  </w:pPr>
                  <w:r>
                    <w:t xml:space="preserve">33.06</w:t>
                  </w:r>
                </w:p>
              </w:tc>
              <w:tc>
                <w:tcPr/>
                <w:p>
                  <w:pPr>
                    <w:pStyle w:val="Compact"/>
                    <w:jc w:val="right"/>
                    <w:jc w:val="center"/>
                  </w:pPr>
                  <w:r>
                    <w:t xml:space="preserve">33.48</w:t>
                  </w:r>
                </w:p>
              </w:tc>
            </w:tr>
            <w:tr>
              <w:tc>
                <w:tcPr/>
                <w:p>
                  <w:pPr>
                    <w:pStyle w:val="Compact"/>
                    <w:jc w:val="left"/>
                    <w:jc w:val="center"/>
                  </w:pPr>
                  <w:r>
                    <w:t xml:space="preserve">MG</w:t>
                  </w:r>
                </w:p>
              </w:tc>
              <w:tc>
                <w:tcPr/>
                <w:p>
                  <w:pPr>
                    <w:pStyle w:val="Compact"/>
                    <w:jc w:val="right"/>
                    <w:jc w:val="center"/>
                  </w:pPr>
                  <w:r>
                    <w:t xml:space="preserve">9.10</w:t>
                  </w:r>
                </w:p>
              </w:tc>
              <w:tc>
                <w:tcPr/>
                <w:p>
                  <w:pPr>
                    <w:pStyle w:val="Compact"/>
                    <w:jc w:val="right"/>
                    <w:jc w:val="center"/>
                  </w:pPr>
                  <w:r>
                    <w:t xml:space="preserve">31.88</w:t>
                  </w:r>
                </w:p>
              </w:tc>
              <w:tc>
                <w:tcPr/>
                <w:p>
                  <w:pPr>
                    <w:pStyle w:val="Compact"/>
                    <w:jc w:val="right"/>
                    <w:jc w:val="center"/>
                  </w:pPr>
                  <w:r>
                    <w:t xml:space="preserve">33.22</w:t>
                  </w:r>
                </w:p>
              </w:tc>
            </w:tr>
            <w:tr>
              <w:tc>
                <w:tcPr/>
                <w:p>
                  <w:pPr>
                    <w:pStyle w:val="Compact"/>
                    <w:jc w:val="left"/>
                    <w:jc w:val="center"/>
                  </w:pPr>
                  <w:r>
                    <w:t xml:space="preserve">OE</w:t>
                  </w:r>
                </w:p>
              </w:tc>
              <w:tc>
                <w:tcPr/>
                <w:p>
                  <w:pPr>
                    <w:pStyle w:val="Compact"/>
                    <w:jc w:val="right"/>
                    <w:jc w:val="center"/>
                  </w:pPr>
                  <w:r>
                    <w:t xml:space="preserve">0.00</w:t>
                  </w:r>
                </w:p>
              </w:tc>
              <w:tc>
                <w:tcPr/>
                <w:p>
                  <w:pPr>
                    <w:pStyle w:val="Compact"/>
                    <w:jc w:val="right"/>
                    <w:jc w:val="center"/>
                  </w:pPr>
                  <w:r>
                    <w:t xml:space="preserve">3.34</w:t>
                  </w:r>
                </w:p>
              </w:tc>
              <w:tc>
                <w:tcPr/>
                <w:p>
                  <w:pPr>
                    <w:pStyle w:val="Compact"/>
                    <w:jc w:val="right"/>
                    <w:jc w:val="center"/>
                  </w:pPr>
                  <w:r>
                    <w:t xml:space="preserve">4.02</w:t>
                  </w:r>
                </w:p>
              </w:tc>
            </w:tr>
            <w:tr>
              <w:tc>
                <w:tcPr/>
                <w:p>
                  <w:pPr>
                    <w:pStyle w:val="Compact"/>
                    <w:jc w:val="left"/>
                    <w:jc w:val="center"/>
                  </w:pPr>
                  <w:r>
                    <w:t xml:space="preserve">OI</w:t>
                  </w:r>
                </w:p>
              </w:tc>
              <w:tc>
                <w:tcPr/>
                <w:p>
                  <w:pPr>
                    <w:pStyle w:val="Compact"/>
                    <w:jc w:val="right"/>
                    <w:jc w:val="center"/>
                  </w:pPr>
                  <w:r>
                    <w:t xml:space="preserve">2.80</w:t>
                  </w:r>
                </w:p>
              </w:tc>
              <w:tc>
                <w:tcPr/>
                <w:p>
                  <w:pPr>
                    <w:pStyle w:val="Compact"/>
                    <w:jc w:val="right"/>
                    <w:jc w:val="center"/>
                  </w:pPr>
                  <w:r>
                    <w:t xml:space="preserve">8.31</w:t>
                  </w:r>
                </w:p>
              </w:tc>
              <w:tc>
                <w:tcPr/>
                <w:p>
                  <w:pPr>
                    <w:pStyle w:val="Compact"/>
                    <w:jc w:val="right"/>
                    <w:jc w:val="center"/>
                  </w:pPr>
                  <w:r>
                    <w:t xml:space="preserve">8.27</w:t>
                  </w:r>
                </w:p>
              </w:tc>
            </w:tr>
            <w:tr>
              <w:tc>
                <w:tcPr/>
                <w:p>
                  <w:pPr>
                    <w:pStyle w:val="Compact"/>
                    <w:jc w:val="left"/>
                    <w:jc w:val="center"/>
                  </w:pPr>
                  <w:r>
                    <w:t xml:space="preserve">Pec</w:t>
                  </w:r>
                </w:p>
              </w:tc>
              <w:tc>
                <w:tcPr/>
                <w:p>
                  <w:pPr>
                    <w:pStyle w:val="Compact"/>
                    <w:jc w:val="right"/>
                    <w:jc w:val="center"/>
                  </w:pPr>
                  <w:r>
                    <w:t xml:space="preserve">0.00</w:t>
                  </w:r>
                </w:p>
              </w:tc>
              <w:tc>
                <w:tcPr/>
                <w:p>
                  <w:pPr>
                    <w:pStyle w:val="Compact"/>
                    <w:jc w:val="right"/>
                    <w:jc w:val="center"/>
                  </w:pPr>
                  <w:r>
                    <w:t xml:space="preserve">8.01</w:t>
                  </w:r>
                </w:p>
              </w:tc>
              <w:tc>
                <w:tcPr/>
                <w:p>
                  <w:pPr>
                    <w:pStyle w:val="Compact"/>
                    <w:jc w:val="right"/>
                    <w:jc w:val="center"/>
                  </w:pPr>
                  <w:r>
                    <w:t xml:space="preserve">12.64</w:t>
                  </w:r>
                </w:p>
              </w:tc>
            </w:tr>
            <w:tr>
              <w:tc>
                <w:tcPr/>
                <w:p>
                  <w:pPr>
                    <w:pStyle w:val="Compact"/>
                    <w:jc w:val="left"/>
                    <w:jc w:val="center"/>
                  </w:pPr>
                  <w:r>
                    <w:t xml:space="preserve">Per</w:t>
                  </w:r>
                </w:p>
              </w:tc>
              <w:tc>
                <w:tcPr/>
                <w:p>
                  <w:pPr>
                    <w:pStyle w:val="Compact"/>
                    <w:jc w:val="right"/>
                    <w:jc w:val="center"/>
                  </w:pPr>
                  <w:r>
                    <w:t xml:space="preserve">12.70</w:t>
                  </w:r>
                </w:p>
              </w:tc>
              <w:tc>
                <w:tcPr/>
                <w:p>
                  <w:pPr>
                    <w:pStyle w:val="Compact"/>
                    <w:jc w:val="right"/>
                    <w:jc w:val="center"/>
                  </w:pPr>
                  <w:r>
                    <w:t xml:space="preserve">38.56</w:t>
                  </w:r>
                </w:p>
              </w:tc>
              <w:tc>
                <w:tcPr/>
                <w:p>
                  <w:pPr>
                    <w:pStyle w:val="Compact"/>
                    <w:jc w:val="right"/>
                    <w:jc w:val="center"/>
                  </w:pPr>
                  <w:r>
                    <w:t xml:space="preserve">39.88</w:t>
                  </w:r>
                </w:p>
              </w:tc>
            </w:tr>
            <w:tr>
              <w:tc>
                <w:tcPr/>
                <w:p>
                  <w:pPr>
                    <w:pStyle w:val="Compact"/>
                    <w:jc w:val="left"/>
                    <w:jc w:val="center"/>
                  </w:pPr>
                  <w:r>
                    <w:t xml:space="preserve">Pir</w:t>
                  </w:r>
                </w:p>
              </w:tc>
              <w:tc>
                <w:tcPr/>
                <w:p>
                  <w:pPr>
                    <w:pStyle w:val="Compact"/>
                    <w:jc w:val="right"/>
                    <w:jc w:val="center"/>
                  </w:pPr>
                  <w:r>
                    <w:t xml:space="preserve">0.00</w:t>
                  </w:r>
                </w:p>
              </w:tc>
              <w:tc>
                <w:tcPr/>
                <w:p>
                  <w:pPr>
                    <w:pStyle w:val="Compact"/>
                    <w:jc w:val="right"/>
                    <w:jc w:val="center"/>
                  </w:pPr>
                  <w:r>
                    <w:t xml:space="preserve">2.13</w:t>
                  </w:r>
                </w:p>
              </w:tc>
              <w:tc>
                <w:tcPr/>
                <w:p>
                  <w:pPr>
                    <w:pStyle w:val="Compact"/>
                    <w:jc w:val="right"/>
                    <w:jc w:val="center"/>
                  </w:pPr>
                  <w:r>
                    <w:t xml:space="preserve">4.04</w:t>
                  </w:r>
                </w:p>
              </w:tc>
            </w:tr>
            <w:tr>
              <w:tc>
                <w:tcPr/>
                <w:p>
                  <w:pPr>
                    <w:pStyle w:val="Compact"/>
                    <w:jc w:val="left"/>
                    <w:jc w:val="center"/>
                  </w:pPr>
                  <w:r>
                    <w:t xml:space="preserve">Pla</w:t>
                  </w:r>
                </w:p>
              </w:tc>
              <w:tc>
                <w:tcPr/>
                <w:p>
                  <w:pPr>
                    <w:pStyle w:val="Compact"/>
                    <w:jc w:val="right"/>
                    <w:jc w:val="center"/>
                  </w:pPr>
                  <w:r>
                    <w:t xml:space="preserve">6.70</w:t>
                  </w:r>
                </w:p>
              </w:tc>
              <w:tc>
                <w:tcPr/>
                <w:p>
                  <w:pPr>
                    <w:pStyle w:val="Compact"/>
                    <w:jc w:val="right"/>
                    <w:jc w:val="center"/>
                  </w:pPr>
                  <w:r>
                    <w:t xml:space="preserve">33.14</w:t>
                  </w:r>
                </w:p>
              </w:tc>
              <w:tc>
                <w:tcPr/>
                <w:p>
                  <w:pPr>
                    <w:pStyle w:val="Compact"/>
                    <w:jc w:val="right"/>
                    <w:jc w:val="center"/>
                  </w:pPr>
                  <w:r>
                    <w:t xml:space="preserve">33.09</w:t>
                  </w:r>
                </w:p>
              </w:tc>
            </w:tr>
            <w:tr>
              <w:tc>
                <w:tcPr/>
                <w:p>
                  <w:pPr>
                    <w:pStyle w:val="Compact"/>
                    <w:jc w:val="left"/>
                    <w:jc w:val="center"/>
                  </w:pPr>
                  <w:r>
                    <w:t xml:space="preserve">Pop</w:t>
                  </w:r>
                </w:p>
              </w:tc>
              <w:tc>
                <w:tcPr/>
                <w:p>
                  <w:pPr>
                    <w:pStyle w:val="Compact"/>
                    <w:jc w:val="right"/>
                    <w:jc w:val="center"/>
                  </w:pPr>
                  <w:r>
                    <w:t xml:space="preserve">0.00</w:t>
                  </w:r>
                </w:p>
              </w:tc>
              <w:tc>
                <w:tcPr/>
                <w:p>
                  <w:pPr>
                    <w:pStyle w:val="Compact"/>
                    <w:jc w:val="right"/>
                    <w:jc w:val="center"/>
                  </w:pPr>
                  <w:r>
                    <w:t xml:space="preserve">13.08</w:t>
                  </w:r>
                </w:p>
              </w:tc>
              <w:tc>
                <w:tcPr/>
                <w:p>
                  <w:pPr>
                    <w:pStyle w:val="Compact"/>
                    <w:jc w:val="right"/>
                    <w:jc w:val="center"/>
                  </w:pPr>
                  <w:r>
                    <w:t xml:space="preserve">12.49</w:t>
                  </w:r>
                </w:p>
              </w:tc>
            </w:tr>
            <w:tr>
              <w:tc>
                <w:tcPr/>
                <w:p>
                  <w:pPr>
                    <w:pStyle w:val="Compact"/>
                    <w:jc w:val="left"/>
                    <w:jc w:val="center"/>
                  </w:pPr>
                  <w:r>
                    <w:t xml:space="preserve">QF</w:t>
                  </w:r>
                </w:p>
              </w:tc>
              <w:tc>
                <w:tcPr/>
                <w:p>
                  <w:pPr>
                    <w:pStyle w:val="Compact"/>
                    <w:jc w:val="right"/>
                    <w:jc w:val="center"/>
                  </w:pPr>
                  <w:r>
                    <w:t xml:space="preserve">0.00</w:t>
                  </w:r>
                </w:p>
              </w:tc>
              <w:tc>
                <w:tcPr/>
                <w:p>
                  <w:pPr>
                    <w:pStyle w:val="Compact"/>
                    <w:jc w:val="right"/>
                    <w:jc w:val="center"/>
                  </w:pPr>
                  <w:r>
                    <w:t xml:space="preserve">3.01</w:t>
                  </w:r>
                </w:p>
              </w:tc>
              <w:tc>
                <w:tcPr/>
                <w:p>
                  <w:pPr>
                    <w:pStyle w:val="Compact"/>
                    <w:jc w:val="right"/>
                    <w:jc w:val="center"/>
                  </w:pPr>
                  <w:r>
                    <w:t xml:space="preserve">3.91</w:t>
                  </w:r>
                </w:p>
              </w:tc>
            </w:tr>
            <w:tr>
              <w:tc>
                <w:tcPr/>
                <w:p>
                  <w:pPr>
                    <w:pStyle w:val="Compact"/>
                    <w:jc w:val="left"/>
                    <w:jc w:val="center"/>
                  </w:pPr>
                  <w:r>
                    <w:t xml:space="preserve">RF</w:t>
                  </w:r>
                </w:p>
              </w:tc>
              <w:tc>
                <w:tcPr/>
                <w:p>
                  <w:pPr>
                    <w:pStyle w:val="Compact"/>
                    <w:jc w:val="right"/>
                    <w:jc w:val="center"/>
                  </w:pPr>
                  <w:r>
                    <w:t xml:space="preserve">6.60</w:t>
                  </w:r>
                </w:p>
              </w:tc>
              <w:tc>
                <w:tcPr/>
                <w:p>
                  <w:pPr>
                    <w:pStyle w:val="Compact"/>
                    <w:jc w:val="right"/>
                    <w:jc w:val="center"/>
                  </w:pPr>
                  <w:r>
                    <w:t xml:space="preserve">26.58</w:t>
                  </w:r>
                </w:p>
              </w:tc>
              <w:tc>
                <w:tcPr/>
                <w:p>
                  <w:pPr>
                    <w:pStyle w:val="Compact"/>
                    <w:jc w:val="right"/>
                    <w:jc w:val="center"/>
                  </w:pPr>
                  <w:r>
                    <w:t xml:space="preserve">28.29</w:t>
                  </w:r>
                </w:p>
              </w:tc>
            </w:tr>
            <w:tr>
              <w:tc>
                <w:tcPr/>
                <w:p>
                  <w:pPr>
                    <w:pStyle w:val="Compact"/>
                    <w:jc w:val="left"/>
                    <w:jc w:val="center"/>
                  </w:pPr>
                  <w:r>
                    <w:t xml:space="preserve">SM</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5.83</w:t>
                  </w:r>
                </w:p>
              </w:tc>
            </w:tr>
            <w:tr>
              <w:tc>
                <w:tcPr/>
                <w:p>
                  <w:pPr>
                    <w:pStyle w:val="Compact"/>
                    <w:jc w:val="left"/>
                    <w:jc w:val="center"/>
                  </w:pPr>
                  <w:r>
                    <w:t xml:space="preserve">STa</w:t>
                  </w:r>
                </w:p>
              </w:tc>
              <w:tc>
                <w:tcPr/>
                <w:p>
                  <w:pPr>
                    <w:pStyle w:val="Compact"/>
                    <w:jc w:val="right"/>
                    <w:jc w:val="center"/>
                  </w:pPr>
                  <w:r>
                    <w:t xml:space="preserve">0.00</w:t>
                  </w:r>
                </w:p>
              </w:tc>
              <w:tc>
                <w:tcPr/>
                <w:p>
                  <w:pPr>
                    <w:pStyle w:val="Compact"/>
                    <w:jc w:val="right"/>
                    <w:jc w:val="center"/>
                  </w:pPr>
                  <w:r>
                    <w:t xml:space="preserve">9.70</w:t>
                  </w:r>
                </w:p>
              </w:tc>
              <w:tc>
                <w:tcPr/>
                <w:p>
                  <w:pPr>
                    <w:pStyle w:val="Compact"/>
                    <w:jc w:val="right"/>
                    <w:jc w:val="center"/>
                  </w:pPr>
                  <w:r>
                    <w:t xml:space="preserve">13.25</w:t>
                  </w:r>
                </w:p>
              </w:tc>
            </w:tr>
            <w:tr>
              <w:tc>
                <w:tcPr/>
                <w:p>
                  <w:pPr>
                    <w:pStyle w:val="Compact"/>
                    <w:jc w:val="left"/>
                    <w:jc w:val="center"/>
                  </w:pPr>
                  <w:r>
                    <w:t xml:space="preserve">STp</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w:t>
                  </w:r>
                </w:p>
              </w:tc>
            </w:tr>
            <w:tr>
              <w:tc>
                <w:tcPr/>
                <w:p>
                  <w:pPr>
                    <w:pStyle w:val="Compact"/>
                    <w:jc w:val="left"/>
                    <w:jc w:val="center"/>
                  </w:pPr>
                  <w:r>
                    <w:t xml:space="preserve">Sol</w:t>
                  </w:r>
                </w:p>
              </w:tc>
              <w:tc>
                <w:tcPr/>
                <w:p>
                  <w:pPr>
                    <w:pStyle w:val="Compact"/>
                    <w:jc w:val="right"/>
                    <w:jc w:val="center"/>
                  </w:pPr>
                  <w:r>
                    <w:t xml:space="preserve">9.50</w:t>
                  </w:r>
                </w:p>
              </w:tc>
              <w:tc>
                <w:tcPr/>
                <w:p>
                  <w:pPr>
                    <w:pStyle w:val="Compact"/>
                    <w:jc w:val="right"/>
                    <w:jc w:val="center"/>
                  </w:pPr>
                  <w:r>
                    <w:t xml:space="preserve">22.34</w:t>
                  </w:r>
                </w:p>
              </w:tc>
              <w:tc>
                <w:tcPr/>
                <w:p>
                  <w:pPr>
                    <w:pStyle w:val="Compact"/>
                    <w:jc w:val="right"/>
                    <w:jc w:val="center"/>
                  </w:pPr>
                  <w:r>
                    <w:t xml:space="preserve">24.49</w:t>
                  </w:r>
                </w:p>
              </w:tc>
            </w:tr>
            <w:tr>
              <w:tc>
                <w:tcPr/>
                <w:p>
                  <w:pPr>
                    <w:pStyle w:val="Compact"/>
                    <w:jc w:val="left"/>
                    <w:jc w:val="center"/>
                  </w:pPr>
                  <w:r>
                    <w:t xml:space="preserve">TA</w:t>
                  </w:r>
                </w:p>
              </w:tc>
              <w:tc>
                <w:tcPr/>
                <w:p>
                  <w:pPr>
                    <w:pStyle w:val="Compact"/>
                    <w:jc w:val="right"/>
                    <w:jc w:val="center"/>
                  </w:pPr>
                  <w:r>
                    <w:t xml:space="preserve">11.90</w:t>
                  </w:r>
                </w:p>
              </w:tc>
              <w:tc>
                <w:tcPr/>
                <w:p>
                  <w:pPr>
                    <w:pStyle w:val="Compact"/>
                    <w:jc w:val="right"/>
                    <w:jc w:val="center"/>
                  </w:pPr>
                  <w:r>
                    <w:t xml:space="preserve">23.94</w:t>
                  </w:r>
                </w:p>
              </w:tc>
              <w:tc>
                <w:tcPr/>
                <w:p>
                  <w:pPr>
                    <w:pStyle w:val="Compact"/>
                    <w:jc w:val="right"/>
                    <w:jc w:val="center"/>
                  </w:pPr>
                  <w:r>
                    <w:t xml:space="preserve">25.13</w:t>
                  </w:r>
                </w:p>
              </w:tc>
            </w:tr>
            <w:tr>
              <w:tc>
                <w:tcPr/>
                <w:p>
                  <w:pPr>
                    <w:pStyle w:val="Compact"/>
                    <w:jc w:val="left"/>
                    <w:jc w:val="center"/>
                  </w:pPr>
                  <w:r>
                    <w:t xml:space="preserve">TFL</w:t>
                  </w:r>
                </w:p>
              </w:tc>
              <w:tc>
                <w:tcPr/>
                <w:p>
                  <w:pPr>
                    <w:pStyle w:val="Compact"/>
                    <w:jc w:val="right"/>
                    <w:jc w:val="center"/>
                  </w:pPr>
                  <w:r>
                    <w:t xml:space="preserve">0.00</w:t>
                  </w:r>
                </w:p>
              </w:tc>
              <w:tc>
                <w:tcPr/>
                <w:p>
                  <w:pPr>
                    <w:pStyle w:val="Compact"/>
                    <w:jc w:val="right"/>
                    <w:jc w:val="center"/>
                  </w:pPr>
                  <w:r>
                    <w:t xml:space="preserve">1.65</w:t>
                  </w:r>
                </w:p>
              </w:tc>
              <w:tc>
                <w:tcPr/>
                <w:p>
                  <w:pPr>
                    <w:pStyle w:val="Compact"/>
                    <w:jc w:val="right"/>
                    <w:jc w:val="center"/>
                  </w:pPr>
                  <w:r>
                    <w:t xml:space="preserve">0.34</w:t>
                  </w:r>
                </w:p>
              </w:tc>
            </w:tr>
            <w:tr>
              <w:tc>
                <w:tcPr/>
                <w:p>
                  <w:pPr>
                    <w:pStyle w:val="Compact"/>
                    <w:jc w:val="left"/>
                    <w:jc w:val="center"/>
                  </w:pPr>
                  <w:r>
                    <w:t xml:space="preserve">TP</w:t>
                  </w:r>
                </w:p>
              </w:tc>
              <w:tc>
                <w:tcPr/>
                <w:p>
                  <w:pPr>
                    <w:pStyle w:val="Compact"/>
                    <w:jc w:val="right"/>
                    <w:jc w:val="center"/>
                  </w:pPr>
                  <w:r>
                    <w:t xml:space="preserve">12.40</w:t>
                  </w:r>
                </w:p>
              </w:tc>
              <w:tc>
                <w:tcPr/>
                <w:p>
                  <w:pPr>
                    <w:pStyle w:val="Compact"/>
                    <w:jc w:val="right"/>
                    <w:jc w:val="center"/>
                  </w:pPr>
                  <w:r>
                    <w:t xml:space="preserve">37.59</w:t>
                  </w:r>
                </w:p>
              </w:tc>
              <w:tc>
                <w:tcPr/>
                <w:p>
                  <w:pPr>
                    <w:pStyle w:val="Compact"/>
                    <w:jc w:val="right"/>
                    <w:jc w:val="center"/>
                  </w:pPr>
                  <w:r>
                    <w:t xml:space="preserve">38.56</w:t>
                  </w:r>
                </w:p>
              </w:tc>
            </w:tr>
            <w:tr>
              <w:tc>
                <w:tcPr/>
                <w:p>
                  <w:pPr>
                    <w:pStyle w:val="Compact"/>
                    <w:jc w:val="left"/>
                    <w:jc w:val="center"/>
                  </w:pPr>
                  <w:r>
                    <w:t xml:space="preserve">VI</w:t>
                  </w:r>
                </w:p>
              </w:tc>
              <w:tc>
                <w:tcPr/>
                <w:p>
                  <w:pPr>
                    <w:pStyle w:val="Compact"/>
                    <w:jc w:val="right"/>
                    <w:jc w:val="center"/>
                  </w:pPr>
                  <w:r>
                    <w:t xml:space="preserve">6.60</w:t>
                  </w:r>
                </w:p>
              </w:tc>
              <w:tc>
                <w:tcPr/>
                <w:p>
                  <w:pPr>
                    <w:pStyle w:val="Compact"/>
                    <w:jc w:val="right"/>
                    <w:jc w:val="center"/>
                  </w:pPr>
                  <w:r>
                    <w:t xml:space="preserve">23.26</w:t>
                  </w:r>
                </w:p>
              </w:tc>
              <w:tc>
                <w:tcPr/>
                <w:p>
                  <w:pPr>
                    <w:pStyle w:val="Compact"/>
                    <w:jc w:val="right"/>
                    <w:jc w:val="center"/>
                  </w:pPr>
                  <w:r>
                    <w:t xml:space="preserve">26.95</w:t>
                  </w:r>
                </w:p>
              </w:tc>
            </w:tr>
            <w:tr>
              <w:tc>
                <w:tcPr/>
                <w:p>
                  <w:pPr>
                    <w:pStyle w:val="Compact"/>
                    <w:jc w:val="left"/>
                    <w:jc w:val="center"/>
                  </w:pPr>
                  <w:r>
                    <w:t xml:space="preserve">VL</w:t>
                  </w:r>
                </w:p>
              </w:tc>
              <w:tc>
                <w:tcPr/>
                <w:p>
                  <w:pPr>
                    <w:pStyle w:val="Compact"/>
                    <w:jc w:val="right"/>
                    <w:jc w:val="center"/>
                  </w:pPr>
                  <w:r>
                    <w:t xml:space="preserve">6.60</w:t>
                  </w:r>
                </w:p>
              </w:tc>
              <w:tc>
                <w:tcPr/>
                <w:p>
                  <w:pPr>
                    <w:pStyle w:val="Compact"/>
                    <w:jc w:val="right"/>
                    <w:jc w:val="center"/>
                  </w:pPr>
                  <w:r>
                    <w:t xml:space="preserve">20.38</w:t>
                  </w:r>
                </w:p>
              </w:tc>
              <w:tc>
                <w:tcPr/>
                <w:p>
                  <w:pPr>
                    <w:pStyle w:val="Compact"/>
                    <w:jc w:val="right"/>
                    <w:jc w:val="center"/>
                  </w:pPr>
                  <w:r>
                    <w:t xml:space="preserve">24.47</w:t>
                  </w:r>
                </w:p>
              </w:tc>
            </w:tr>
            <w:tr>
              <w:tc>
                <w:tcPr/>
                <w:p>
                  <w:pPr>
                    <w:pStyle w:val="Compact"/>
                    <w:jc w:val="left"/>
                    <w:jc w:val="center"/>
                  </w:pPr>
                  <w:r>
                    <w:t xml:space="preserve">VM</w:t>
                  </w:r>
                </w:p>
              </w:tc>
              <w:tc>
                <w:tcPr/>
                <w:p>
                  <w:pPr>
                    <w:pStyle w:val="Compact"/>
                    <w:jc w:val="right"/>
                    <w:jc w:val="center"/>
                  </w:pPr>
                  <w:r>
                    <w:t xml:space="preserve">6.60</w:t>
                  </w:r>
                </w:p>
              </w:tc>
              <w:tc>
                <w:tcPr/>
                <w:p>
                  <w:pPr>
                    <w:pStyle w:val="Compact"/>
                    <w:jc w:val="right"/>
                    <w:jc w:val="center"/>
                  </w:pPr>
                  <w:r>
                    <w:t xml:space="preserve">23.51</w:t>
                  </w:r>
                </w:p>
              </w:tc>
              <w:tc>
                <w:tcPr/>
                <w:p>
                  <w:pPr>
                    <w:pStyle w:val="Compact"/>
                    <w:jc w:val="right"/>
                    <w:jc w:val="center"/>
                  </w:pPr>
                  <w:r>
                    <w:t xml:space="preserve">27.82</w:t>
                  </w:r>
                </w:p>
              </w:tc>
            </w:tr>
          </w:tbl>
          <w:bookmarkEnd w:id="170"/>
          <w:p/>
        </w:tc>
      </w:tr>
    </w:tbl>
    <w:p>
      <w:pPr>
        <w:pStyle w:val="BodyText"/>
      </w:pPr>
      <w:r>
        <w:t xml:space="preserve">We selected the tendon slack lengths optimized from observed gait kinematics for use in the final model, as the model’s full range of motion includes physiologically infeasible joint configurations that would bias the optimization.</w:t>
      </w:r>
    </w:p>
    <w:bookmarkEnd w:id="171"/>
    <w:bookmarkEnd w:id="172"/>
    <w:bookmarkStart w:id="179" w:name="rodent-muscle-analysis"/>
    <w:p>
      <w:pPr>
        <w:pStyle w:val="Heading1"/>
      </w:pPr>
      <w:r>
        <w:t xml:space="preserve">6. Rodent Muscle Analysis</w:t>
      </w:r>
    </w:p>
    <w:bookmarkStart w:id="174" w:name="introduction-5"/>
    <w:p>
      <w:pPr>
        <w:pStyle w:val="Heading2"/>
      </w:pPr>
      <w:r>
        <w:t xml:space="preserve">6.1 Introduction</w:t>
      </w:r>
    </w:p>
    <w:p>
      <w:pPr>
        <w:pStyle w:val="FirstParagraph"/>
      </w:pPr>
      <w:r>
        <w:t xml:space="preserve">While inverse kinematics and inverse dynamics analyses can provide insight into the overall movement and forces at the joints, they do not directly inform us about the behavior of individual muscles. To gain a deeper understanding of muscle function during movement, we can utilize muscle analysis tools in OpenSim like computed muscle control (CMC). This allows us to estimate muscle lengths, forces, and activations based on the kinematics and kinetics of the movement.</w:t>
      </w:r>
    </w:p>
    <w:bookmarkStart w:id="173" w:name="computed-muscle-control-cmc"/>
    <w:p>
      <w:pPr>
        <w:pStyle w:val="Heading3"/>
      </w:pPr>
      <w:r>
        <w:t xml:space="preserve">6.1.1 Computed Muscle Control (CMC)</w:t>
      </w:r>
    </w:p>
    <w:p>
      <w:pPr>
        <w:pStyle w:val="FirstParagraph"/>
      </w:pPr>
      <w:r>
        <w:t xml:space="preserve">CMC is an optimization-based algorithm that computes muscle excitations required to produce a desired movement. It takes into account the muscle’s force-length and force-velocity properties, as well as the geometry of the musculoskeletal model.</w:t>
      </w:r>
    </w:p>
    <w:bookmarkEnd w:id="173"/>
    <w:bookmarkEnd w:id="174"/>
    <w:bookmarkStart w:id="175" w:name="methods-4"/>
    <w:p>
      <w:pPr>
        <w:pStyle w:val="Heading2"/>
      </w:pPr>
      <w:r>
        <w:t xml:space="preserve">6.2 Methods</w:t>
      </w:r>
    </w:p>
    <w:p>
      <w:pPr>
        <w:numPr>
          <w:ilvl w:val="0"/>
          <w:numId w:val="1009"/>
        </w:numPr>
      </w:pPr>
      <w:r>
        <w:t xml:space="preserve">3 Baseline rats</w:t>
      </w:r>
    </w:p>
    <w:p>
      <w:pPr>
        <w:pStyle w:val="Compact"/>
        <w:numPr>
          <w:ilvl w:val="1"/>
          <w:numId w:val="1010"/>
        </w:numPr>
      </w:pPr>
      <w:r>
        <w:t xml:space="preserve">6 trials per rat</w:t>
      </w:r>
    </w:p>
    <w:p>
      <w:pPr>
        <w:numPr>
          <w:ilvl w:val="0"/>
          <w:numId w:val="1009"/>
        </w:numPr>
      </w:pPr>
      <w:r>
        <w:t xml:space="preserve">3 24w injured rats</w:t>
      </w:r>
    </w:p>
    <w:p>
      <w:pPr>
        <w:pStyle w:val="Compact"/>
        <w:numPr>
          <w:ilvl w:val="1"/>
          <w:numId w:val="1011"/>
        </w:numPr>
      </w:pPr>
      <w:r>
        <w:t xml:space="preserve">6 trials per rat</w:t>
      </w:r>
    </w:p>
    <w:p>
      <w:pPr>
        <w:numPr>
          <w:ilvl w:val="0"/>
          <w:numId w:val="1009"/>
        </w:numPr>
      </w:pPr>
      <w:r>
        <w:t xml:space="preserve">CMC analysis using OpenSim API</w:t>
      </w:r>
    </w:p>
    <w:p>
      <w:pPr>
        <w:numPr>
          <w:ilvl w:val="0"/>
          <w:numId w:val="1009"/>
        </w:numPr>
      </w:pPr>
      <w:r>
        <w:t xml:space="preserve">Scale new model with new muscles and run CMC</w:t>
      </w:r>
    </w:p>
    <w:bookmarkEnd w:id="175"/>
    <w:bookmarkStart w:id="177" w:name="results-4"/>
    <w:p>
      <w:pPr>
        <w:pStyle w:val="Heading2"/>
      </w:pPr>
      <w:r>
        <w:t xml:space="preserve">6.3 Results</w:t>
      </w:r>
    </w:p>
    <w:p>
      <w:pPr>
        <w:pStyle w:val="FirstParagraph"/>
      </w:pPr>
      <w:r>
        <w:t xml:space="preserve">Muscle activation graph for baseline rats:</w:t>
      </w:r>
    </w:p>
    <w:tbl>
      <w:tblPr>
        <w:tblStyle w:val="Table"/>
        <w:tblW w:type="pct" w:w="5000"/>
        <w:tblLayout w:type="fixed"/>
        <w:tblLook w:firstRow="0" w:lastRow="0" w:firstColumn="0" w:lastColumn="0" w:noHBand="0" w:noVBand="0" w:val="0000"/>
      </w:tblPr>
      <w:tblGrid>
        <w:gridCol w:w="7920"/>
      </w:tblGrid>
      <w:tr>
        <w:tc>
          <w:tcPr/>
          <w:bookmarkStart w:id="176" w:name="fig-baseline-activation"/>
          <w:p>
            <w:pPr>
              <w:pStyle w:val="SourceCode"/>
              <w:jc w:val="center"/>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x-axis: time (normalized to gait cycle)</w:t>
            </w:r>
            <w:r>
              <w:br/>
            </w:r>
            <w:r>
              <w:rPr>
                <w:rStyle w:val="CommentTok"/>
              </w:rPr>
              <w:t xml:space="preserve"># y-axis: muscle</w:t>
            </w:r>
            <w:r>
              <w:br/>
            </w:r>
            <w:r>
              <w:rPr>
                <w:rStyle w:val="CommentTok"/>
              </w:rPr>
              <w:t xml:space="preserve"># color: activation level (0 to 1)</w:t>
            </w:r>
            <w:r>
              <w:br/>
            </w:r>
            <w:r>
              <w:br/>
            </w:r>
            <w:r>
              <w:rPr>
                <w:rStyle w:val="CommentTok"/>
              </w:rPr>
              <w:t xml:space="preserve"># baseline_data = pd.read_csv("../data/baseline_muscle_activation.csv").pivot_table(index='muscle', columns='time', values='activation')</w:t>
            </w:r>
            <w:r>
              <w:br/>
            </w:r>
            <w:r>
              <w:br/>
            </w:r>
            <w:r>
              <w:rPr>
                <w:rStyle w:val="CommentTok"/>
              </w:rPr>
              <w:t xml:space="preserve"># plt.figure()</w:t>
            </w:r>
            <w:r>
              <w:br/>
            </w:r>
            <w:r>
              <w:rPr>
                <w:rStyle w:val="CommentTok"/>
              </w:rPr>
              <w:t xml:space="preserve"># sns.heatmap(baseline_data, cmap='YlOrRd', vmin=0, vmax=1, cbar_kws={'label': 'Activation'})</w:t>
            </w:r>
            <w:r>
              <w:br/>
            </w:r>
            <w:r>
              <w:rPr>
                <w:rStyle w:val="CommentTok"/>
              </w:rPr>
              <w:t xml:space="preserve"># plt.xlabel("Time (normalized to gait cycle)")</w:t>
            </w:r>
            <w:r>
              <w:br/>
            </w:r>
            <w:r>
              <w:rPr>
                <w:rStyle w:val="CommentTok"/>
              </w:rPr>
              <w:t xml:space="preserve"># plt.ylabel("Muscle")</w:t>
            </w:r>
            <w:r>
              <w:br/>
            </w:r>
            <w:r>
              <w:rPr>
                <w:rStyle w:val="CommentTok"/>
              </w:rPr>
              <w:t xml:space="preserve"># plt.title("Muscle Activation Graph for Baseline Rats")</w:t>
            </w:r>
            <w:r>
              <w:br/>
            </w:r>
            <w:r>
              <w:rPr>
                <w:rStyle w:val="CommentTok"/>
              </w:rPr>
              <w:t xml:space="preserve"># plt.legend(title="Muscle")</w:t>
            </w:r>
            <w:r>
              <w:br/>
            </w:r>
            <w:r>
              <w:rPr>
                <w:rStyle w:val="CommentTok"/>
              </w:rPr>
              <w:t xml:space="preserve"># plt.show()</w:t>
            </w:r>
          </w:p>
          <w:p>
            <w:pPr>
              <w:jc w:val="center"/>
            </w:pPr>
            <w:pPr>
              <w:jc w:val="left"/>
              <w:spacing w:before="200"/>
              <w:pStyle w:val="ImageCaption"/>
            </w:pPr>
            <w:r>
              <w:t xml:space="preserve">Figure 6.1</w:t>
            </w:r>
          </w:p>
          <w:bookmarkEnd w:id="176"/>
        </w:tc>
      </w:tr>
    </w:tbl>
    <w:p>
      <w:pPr>
        <w:pStyle w:val="BodyText"/>
      </w:pPr>
      <w:r>
        <w:t xml:space="preserve">Muscle activation graph for injured rats:</w:t>
      </w:r>
    </w:p>
    <w:bookmarkEnd w:id="177"/>
    <w:bookmarkStart w:id="178" w:name="discussion-4"/>
    <w:p>
      <w:pPr>
        <w:pStyle w:val="Heading2"/>
      </w:pPr>
      <w:r>
        <w:t xml:space="preserve">6.4 Discussion</w:t>
      </w:r>
    </w:p>
    <w:p>
      <w:pPr>
        <w:pStyle w:val="Compact"/>
        <w:numPr>
          <w:ilvl w:val="0"/>
          <w:numId w:val="1012"/>
        </w:numPr>
      </w:pPr>
      <w:r>
        <w:t xml:space="preserve">Expect to see less activation in laterl gastrocnemius and more activation in tibialis anterior in injured rats compared to baseline rats.</w:t>
      </w:r>
    </w:p>
    <w:bookmarkEnd w:id="178"/>
    <w:bookmarkEnd w:id="179"/>
    <w:bookmarkStart w:id="180" w:name="conclusions"/>
    <w:p>
      <w:pPr>
        <w:pStyle w:val="Heading1"/>
      </w:pPr>
      <w:r>
        <w:t xml:space="preserve">7. Conclusions</w:t>
      </w:r>
    </w:p>
    <w:bookmarkEnd w:id="180"/>
    <w:bookmarkStart w:id="204" w:name="references"/>
    <w:p>
      <w:pPr>
        <w:pStyle w:val="Heading1"/>
      </w:pPr>
      <w:r>
        <w:t xml:space="preserve">References</w:t>
      </w:r>
    </w:p>
    <w:bookmarkStart w:id="203" w:name="refs"/>
    <w:bookmarkStart w:id="182" w:name="Xd470123eca0c221685adf274f5095fb05b81cc0"/>
    <w:p>
      <w:pPr>
        <w:pStyle w:val="Bibliography"/>
      </w:pPr>
      <w:r>
        <w:t xml:space="preserve">Charles, James P., Ornella Cappellari, Andrew J. Spence, John R. Hutchinson, and Dominic J. Wells. 2016.</w:t>
      </w:r>
      <w:r>
        <w:t xml:space="preserve"> </w:t>
      </w:r>
      <w:r>
        <w:t xml:space="preserve">“Musculoskeletal</w:t>
      </w:r>
      <w:r>
        <w:t xml:space="preserve"> </w:t>
      </w:r>
      <w:r>
        <w:t xml:space="preserve">Geometry</w:t>
      </w:r>
      <w:r>
        <w:t xml:space="preserve">,</w:t>
      </w:r>
      <w:r>
        <w:t xml:space="preserve"> </w:t>
      </w:r>
      <w:r>
        <w:t xml:space="preserve">Muscle Architecture</w:t>
      </w:r>
      <w:r>
        <w:t xml:space="preserve"> </w:t>
      </w:r>
      <w:r>
        <w:t xml:space="preserve">and</w:t>
      </w:r>
      <w:r>
        <w:t xml:space="preserve"> </w:t>
      </w:r>
      <w:r>
        <w:t xml:space="preserve">Functional Specialisations</w:t>
      </w:r>
      <w:r>
        <w:t xml:space="preserve"> </w:t>
      </w:r>
      <w:r>
        <w:t xml:space="preserve">of the</w:t>
      </w:r>
      <w:r>
        <w:t xml:space="preserve"> </w:t>
      </w:r>
      <w:r>
        <w:t xml:space="preserve">Mouse Hindlimb</w:t>
      </w:r>
      <w:r>
        <w:t xml:space="preserve">.”</w:t>
      </w:r>
      <w:r>
        <w:t xml:space="preserve"> </w:t>
      </w:r>
      <w:r>
        <w:rPr>
          <w:i/>
          <w:iCs/>
        </w:rPr>
        <w:t xml:space="preserve">PLOS ONE</w:t>
      </w:r>
      <w:r>
        <w:t xml:space="preserve"> </w:t>
      </w:r>
      <w:r>
        <w:t xml:space="preserve">11 (4): e0147669.</w:t>
      </w:r>
      <w:r>
        <w:t xml:space="preserve"> </w:t>
      </w:r>
      <w:hyperlink r:id="rId181">
        <w:r>
          <w:rPr>
            <w:rStyle w:val="Hyperlink"/>
          </w:rPr>
          <w:t xml:space="preserve">https://doi.org/10.1371/journal.pone.0147669</w:t>
        </w:r>
      </w:hyperlink>
      <w:r>
        <w:t xml:space="preserve">.</w:t>
      </w:r>
    </w:p>
    <w:bookmarkEnd w:id="182"/>
    <w:bookmarkStart w:id="184" w:name="ref-huntUsingAnimalData2015"/>
    <w:p>
      <w:pPr>
        <w:pStyle w:val="Bibliography"/>
      </w:pPr>
      <w:r>
        <w:t xml:space="preserve">Hunt, Alexander J., Nicholas S. Szczecinski, Emanuel Andrada, Martin Fischer, and Roger D. Quinn. 2015.</w:t>
      </w:r>
      <w:r>
        <w:t xml:space="preserve"> </w:t>
      </w:r>
      <w:r>
        <w:t xml:space="preserve">“Using</w:t>
      </w:r>
      <w:r>
        <w:t xml:space="preserve"> </w:t>
      </w:r>
      <w:r>
        <w:t xml:space="preserve">Animal Data</w:t>
      </w:r>
      <w:r>
        <w:t xml:space="preserve"> </w:t>
      </w:r>
      <w:r>
        <w:t xml:space="preserve">and</w:t>
      </w:r>
      <w:r>
        <w:t xml:space="preserve"> </w:t>
      </w:r>
      <w:r>
        <w:t xml:space="preserve">Neural Dynamics</w:t>
      </w:r>
      <w:r>
        <w:t xml:space="preserve"> </w:t>
      </w:r>
      <w:r>
        <w:t xml:space="preserve">to</w:t>
      </w:r>
      <w:r>
        <w:t xml:space="preserve"> </w:t>
      </w:r>
      <w:r>
        <w:t xml:space="preserve">Reverse Engineer</w:t>
      </w:r>
      <w:r>
        <w:t xml:space="preserve"> </w:t>
      </w:r>
      <w:r>
        <w:t xml:space="preserve">a</w:t>
      </w:r>
      <w:r>
        <w:t xml:space="preserve"> </w:t>
      </w:r>
      <w:r>
        <w:t xml:space="preserve">Neuromechanical Rat Model</w:t>
      </w:r>
      <w:r>
        <w:t xml:space="preserve">.”</w:t>
      </w:r>
      <w:r>
        <w:t xml:space="preserve"> </w:t>
      </w:r>
      <w:r>
        <w:t xml:space="preserve">In</w:t>
      </w:r>
      <w:r>
        <w:t xml:space="preserve"> </w:t>
      </w:r>
      <w:r>
        <w:rPr>
          <w:i/>
          <w:iCs/>
        </w:rPr>
        <w:t xml:space="preserve">Biomimetic and</w:t>
      </w:r>
      <w:r>
        <w:rPr>
          <w:i/>
          <w:iCs/>
        </w:rPr>
        <w:t xml:space="preserve"> </w:t>
      </w:r>
      <w:r>
        <w:rPr>
          <w:i/>
          <w:iCs/>
        </w:rPr>
        <w:t xml:space="preserve">Biohybrid Systems</w:t>
      </w:r>
      <w:r>
        <w:t xml:space="preserve">, edited by Stuart P. Wilson, Paul F. M. J. Verschure, Anna Mura, and Tony J. Prescott. Springer International Publishing.</w:t>
      </w:r>
      <w:r>
        <w:t xml:space="preserve"> </w:t>
      </w:r>
      <w:hyperlink r:id="rId183">
        <w:r>
          <w:rPr>
            <w:rStyle w:val="Hyperlink"/>
          </w:rPr>
          <w:t xml:space="preserve">https://doi.org/10.1007/978-3-319-22979-9_21</w:t>
        </w:r>
      </w:hyperlink>
      <w:r>
        <w:t xml:space="preserve">.</w:t>
      </w:r>
    </w:p>
    <w:bookmarkEnd w:id="184"/>
    <w:bookmarkStart w:id="186" w:name="ref-johnsonThreedimensionalModelRat2008"/>
    <w:p>
      <w:pPr>
        <w:pStyle w:val="Bibliography"/>
      </w:pPr>
      <w:r>
        <w:t xml:space="preserve">Johnson, Will L., Devin L. Jindrich, Roland R. Roy, and V. Reggie Edgerton. 2008.</w:t>
      </w:r>
      <w:r>
        <w:t xml:space="preserve"> </w:t>
      </w:r>
      <w:r>
        <w:t xml:space="preserve">“A Three-Dimensional Model of the Rat Hindlimb:</w:t>
      </w:r>
      <w:r>
        <w:t xml:space="preserve"> </w:t>
      </w:r>
      <w:r>
        <w:t xml:space="preserve">Musculoskeletal</w:t>
      </w:r>
      <w:r>
        <w:t xml:space="preserve"> </w:t>
      </w:r>
      <w:r>
        <w:t xml:space="preserve">Geometry and Muscle Moment Arms.”</w:t>
      </w:r>
      <w:r>
        <w:t xml:space="preserve"> </w:t>
      </w:r>
      <w:r>
        <w:rPr>
          <w:i/>
          <w:iCs/>
        </w:rPr>
        <w:t xml:space="preserve">Journal of Biomechanics</w:t>
      </w:r>
      <w:r>
        <w:t xml:space="preserve"> </w:t>
      </w:r>
      <w:r>
        <w:t xml:space="preserve">41 (3): 610–19.</w:t>
      </w:r>
      <w:r>
        <w:t xml:space="preserve"> </w:t>
      </w:r>
      <w:hyperlink r:id="rId185">
        <w:r>
          <w:rPr>
            <w:rStyle w:val="Hyperlink"/>
          </w:rPr>
          <w:t xml:space="preserve">https://doi.org/10.1016/j.jbiomech.2007.10.004</w:t>
        </w:r>
      </w:hyperlink>
      <w:r>
        <w:t xml:space="preserve">.</w:t>
      </w:r>
    </w:p>
    <w:bookmarkEnd w:id="186"/>
    <w:bookmarkStart w:id="188" w:name="ref-johnsonApplicationRatHindlimb2011"/>
    <w:p>
      <w:pPr>
        <w:pStyle w:val="Bibliography"/>
      </w:pPr>
      <w:r>
        <w:t xml:space="preserve">Johnson, Will L., Devin L. Jindrich, Hui Zhong, Roland R. Roy, and V. Reggie Edgerton. 2011.</w:t>
      </w:r>
      <w:r>
        <w:t xml:space="preserve"> </w:t>
      </w:r>
      <w:r>
        <w:t xml:space="preserve">“Application of a</w:t>
      </w:r>
      <w:r>
        <w:t xml:space="preserve"> </w:t>
      </w:r>
      <w:r>
        <w:t xml:space="preserve">Rat Hindlimb Model</w:t>
      </w:r>
      <w:r>
        <w:t xml:space="preserve">:</w:t>
      </w:r>
      <w:r>
        <w:t xml:space="preserve"> </w:t>
      </w:r>
      <w:r>
        <w:t xml:space="preserve">A Prediction</w:t>
      </w:r>
      <w:r>
        <w:t xml:space="preserve"> </w:t>
      </w:r>
      <w:r>
        <w:t xml:space="preserve">of</w:t>
      </w:r>
      <w:r>
        <w:t xml:space="preserve"> </w:t>
      </w:r>
      <w:r>
        <w:t xml:space="preserve">Force Spaces Reachable Through Stimulation</w:t>
      </w:r>
      <w:r>
        <w:t xml:space="preserve"> </w:t>
      </w:r>
      <w:r>
        <w:t xml:space="preserve">of</w:t>
      </w:r>
      <w:r>
        <w:t xml:space="preserve"> </w:t>
      </w:r>
      <w:r>
        <w:t xml:space="preserve">Nerve Fascicles</w:t>
      </w:r>
      <w:r>
        <w:t xml:space="preserve">.”</w:t>
      </w:r>
      <w:r>
        <w:t xml:space="preserve"> </w:t>
      </w:r>
      <w:r>
        <w:rPr>
          <w:i/>
          <w:iCs/>
        </w:rPr>
        <w:t xml:space="preserve">IEEE Transactions on Biomedical Engineering</w:t>
      </w:r>
      <w:r>
        <w:t xml:space="preserve"> </w:t>
      </w:r>
      <w:r>
        <w:t xml:space="preserve">58 (12): 3328–38.</w:t>
      </w:r>
      <w:r>
        <w:t xml:space="preserve"> </w:t>
      </w:r>
      <w:hyperlink r:id="rId187">
        <w:r>
          <w:rPr>
            <w:rStyle w:val="Hyperlink"/>
          </w:rPr>
          <w:t xml:space="preserve">https://doi.org/10.1109/TBME.2011.2106784</w:t>
        </w:r>
      </w:hyperlink>
      <w:r>
        <w:t xml:space="preserve">.</w:t>
      </w:r>
    </w:p>
    <w:bookmarkEnd w:id="188"/>
    <w:bookmarkStart w:id="190" w:name="Xd03852038546fa775e92c3d058e2b182454ef77"/>
    <w:p>
      <w:pPr>
        <w:pStyle w:val="Bibliography"/>
      </w:pPr>
      <w:r>
        <w:t xml:space="preserve">Manal, Kurt, and Thomas S. Buchanan. 2004.</w:t>
      </w:r>
      <w:r>
        <w:t xml:space="preserve"> </w:t>
      </w:r>
      <w:r>
        <w:rPr>
          <w:i/>
          <w:iCs/>
        </w:rPr>
        <w:t xml:space="preserve">Subject-</w:t>
      </w:r>
      <w:r>
        <w:rPr>
          <w:i/>
          <w:iCs/>
        </w:rPr>
        <w:t xml:space="preserve">Specific Estimates</w:t>
      </w:r>
      <w:r>
        <w:rPr>
          <w:i/>
          <w:iCs/>
        </w:rPr>
        <w:t xml:space="preserve"> </w:t>
      </w:r>
      <w:r>
        <w:rPr>
          <w:i/>
          <w:iCs/>
        </w:rPr>
        <w:t xml:space="preserve">of</w:t>
      </w:r>
      <w:r>
        <w:rPr>
          <w:i/>
          <w:iCs/>
        </w:rPr>
        <w:t xml:space="preserve"> </w:t>
      </w:r>
      <w:r>
        <w:rPr>
          <w:i/>
          <w:iCs/>
        </w:rPr>
        <w:t xml:space="preserve">Tendon Slack Length</w:t>
      </w:r>
      <w:r>
        <w:rPr>
          <w:i/>
          <w:iCs/>
        </w:rPr>
        <w:t xml:space="preserve">:</w:t>
      </w:r>
      <w:r>
        <w:rPr>
          <w:i/>
          <w:iCs/>
        </w:rPr>
        <w:t xml:space="preserve"> </w:t>
      </w:r>
      <w:r>
        <w:rPr>
          <w:i/>
          <w:iCs/>
        </w:rPr>
        <w:t xml:space="preserve">A Numerical Method</w:t>
      </w:r>
      <w:r>
        <w:t xml:space="preserve">. May.</w:t>
      </w:r>
      <w:r>
        <w:t xml:space="preserve"> </w:t>
      </w:r>
      <w:hyperlink r:id="rId189">
        <w:r>
          <w:rPr>
            <w:rStyle w:val="Hyperlink"/>
          </w:rPr>
          <w:t xml:space="preserve">https://doi.org/10.1123/jab.20.2.195</w:t>
        </w:r>
      </w:hyperlink>
      <w:r>
        <w:t xml:space="preserve">.</w:t>
      </w:r>
    </w:p>
    <w:bookmarkEnd w:id="190"/>
    <w:bookmarkStart w:id="192" w:name="X055fe166d9b9b86721abfb51e89597cd132fdba"/>
    <w:p>
      <w:pPr>
        <w:pStyle w:val="Bibliography"/>
      </w:pPr>
      <w:r>
        <w:t xml:space="preserve">Rajagopal, Apoorva, Christopher L. Dembia, Matthew S. DeMers, Denny D. Delp, Jennifer L. Hicks, and Scott L. Delp. 2016.</w:t>
      </w:r>
      <w:r>
        <w:t xml:space="preserve"> </w:t>
      </w:r>
      <w:r>
        <w:t xml:space="preserve">“Full-</w:t>
      </w:r>
      <w:r>
        <w:t xml:space="preserve">Body Musculoskeletal Model</w:t>
      </w:r>
      <w:r>
        <w:t xml:space="preserve"> </w:t>
      </w:r>
      <w:r>
        <w:t xml:space="preserve">for</w:t>
      </w:r>
      <w:r>
        <w:t xml:space="preserve"> </w:t>
      </w:r>
      <w:r>
        <w:t xml:space="preserve">Muscle-Driven Simulation</w:t>
      </w:r>
      <w:r>
        <w:t xml:space="preserve"> </w:t>
      </w:r>
      <w:r>
        <w:t xml:space="preserve">of</w:t>
      </w:r>
      <w:r>
        <w:t xml:space="preserve"> </w:t>
      </w:r>
      <w:r>
        <w:t xml:space="preserve">Human Gait</w:t>
      </w:r>
      <w:r>
        <w:t xml:space="preserve">.”</w:t>
      </w:r>
      <w:r>
        <w:t xml:space="preserve"> </w:t>
      </w:r>
      <w:r>
        <w:rPr>
          <w:i/>
          <w:iCs/>
        </w:rPr>
        <w:t xml:space="preserve">IEEE Transactions on Bio-Medical Engineering</w:t>
      </w:r>
      <w:r>
        <w:t xml:space="preserve"> </w:t>
      </w:r>
      <w:r>
        <w:t xml:space="preserve">63 (10): 2068–79.</w:t>
      </w:r>
      <w:r>
        <w:t xml:space="preserve"> </w:t>
      </w:r>
      <w:hyperlink r:id="rId191">
        <w:r>
          <w:rPr>
            <w:rStyle w:val="Hyperlink"/>
          </w:rPr>
          <w:t xml:space="preserve">https://doi.org/10.1109/TBME.2016.2586891</w:t>
        </w:r>
      </w:hyperlink>
      <w:r>
        <w:t xml:space="preserve">.</w:t>
      </w:r>
    </w:p>
    <w:bookmarkEnd w:id="192"/>
    <w:bookmarkStart w:id="194" w:name="ref-virtanenSciPy10Fundamental2020"/>
    <w:p>
      <w:pPr>
        <w:pStyle w:val="Bibliography"/>
      </w:pPr>
      <w:r>
        <w:t xml:space="preserve">Virtanen, Pauli, Ralf Gommers, Travis E. Oliphant, et al.</w:t>
      </w:r>
      <w:r>
        <w:t xml:space="preserve"> 2020.</w:t>
      </w:r>
      <w:r>
        <w:t xml:space="preserve"> </w:t>
      </w:r>
      <w:r>
        <w:t xml:space="preserve">“</w:t>
      </w:r>
      <w:r>
        <w:t xml:space="preserve">SciPy</w:t>
      </w:r>
      <w:r>
        <w:t xml:space="preserve"> </w:t>
      </w:r>
      <w:r>
        <w:t xml:space="preserve">1.0: Fundamental Algorithms for Scientific Computing in</w:t>
      </w:r>
      <w:r>
        <w:t xml:space="preserve"> </w:t>
      </w:r>
      <w:r>
        <w:t xml:space="preserve">Python</w:t>
      </w:r>
      <w:r>
        <w:t xml:space="preserve">.”</w:t>
      </w:r>
      <w:r>
        <w:t xml:space="preserve"> </w:t>
      </w:r>
      <w:r>
        <w:rPr>
          <w:i/>
          <w:iCs/>
        </w:rPr>
        <w:t xml:space="preserve">Nature Methods</w:t>
      </w:r>
      <w:r>
        <w:t xml:space="preserve"> </w:t>
      </w:r>
      <w:r>
        <w:t xml:space="preserve">17 (3): 261–72.</w:t>
      </w:r>
      <w:r>
        <w:t xml:space="preserve"> </w:t>
      </w:r>
      <w:hyperlink r:id="rId193">
        <w:r>
          <w:rPr>
            <w:rStyle w:val="Hyperlink"/>
          </w:rPr>
          <w:t xml:space="preserve">https://doi.org/10.1038/s41592-019-0686-2</w:t>
        </w:r>
      </w:hyperlink>
      <w:r>
        <w:t xml:space="preserve">.</w:t>
      </w:r>
    </w:p>
    <w:bookmarkEnd w:id="194"/>
    <w:bookmarkStart w:id="196" w:name="X2d602f4f51dc6a20b05e0769040f86371274781"/>
    <w:p>
      <w:pPr>
        <w:pStyle w:val="Bibliography"/>
      </w:pPr>
      <w:r>
        <w:t xml:space="preserve">Wannop, John, Jay Worobets, and Darren Stefanyshyn. 2012.</w:t>
      </w:r>
      <w:r>
        <w:t xml:space="preserve"> </w:t>
      </w:r>
      <w:r>
        <w:t xml:space="preserve">“Normalization of</w:t>
      </w:r>
      <w:r>
        <w:t xml:space="preserve"> </w:t>
      </w:r>
      <w:r>
        <w:t xml:space="preserve">Ground Reaction Forces</w:t>
      </w:r>
      <w:r>
        <w:t xml:space="preserve">,</w:t>
      </w:r>
      <w:r>
        <w:t xml:space="preserve"> </w:t>
      </w:r>
      <w:r>
        <w:t xml:space="preserve">Joint Moments</w:t>
      </w:r>
      <w:r>
        <w:t xml:space="preserve">, and</w:t>
      </w:r>
      <w:r>
        <w:t xml:space="preserve"> </w:t>
      </w:r>
      <w:r>
        <w:t xml:space="preserve">Free Moments</w:t>
      </w:r>
      <w:r>
        <w:t xml:space="preserve"> </w:t>
      </w:r>
      <w:r>
        <w:t xml:space="preserve">in</w:t>
      </w:r>
      <w:r>
        <w:t xml:space="preserve"> </w:t>
      </w:r>
      <w:r>
        <w:t xml:space="preserve">Human Locomotion</w:t>
      </w:r>
      <w:r>
        <w:t xml:space="preserve">.”</w:t>
      </w:r>
      <w:r>
        <w:t xml:space="preserve"> </w:t>
      </w:r>
      <w:r>
        <w:rPr>
          <w:i/>
          <w:iCs/>
        </w:rPr>
        <w:t xml:space="preserve">Journal of Applied Biomechanics</w:t>
      </w:r>
      <w:r>
        <w:t xml:space="preserve"> </w:t>
      </w:r>
      <w:r>
        <w:t xml:space="preserve">28 (December): 665–76.</w:t>
      </w:r>
      <w:r>
        <w:t xml:space="preserve"> </w:t>
      </w:r>
      <w:hyperlink r:id="rId195">
        <w:r>
          <w:rPr>
            <w:rStyle w:val="Hyperlink"/>
          </w:rPr>
          <w:t xml:space="preserve">https://doi.org/10.1123/jab.28.6.665</w:t>
        </w:r>
      </w:hyperlink>
      <w:r>
        <w:t xml:space="preserve">.</w:t>
      </w:r>
    </w:p>
    <w:bookmarkEnd w:id="196"/>
    <w:bookmarkStart w:id="198" w:name="ref-youngNeuromechanicalRatModel2018"/>
    <w:p>
      <w:pPr>
        <w:pStyle w:val="Bibliography"/>
      </w:pPr>
      <w:r>
        <w:t xml:space="preserve">Young, Fletcher, Alexander J. Hunt, and Roger D. Quinn. 2018.</w:t>
      </w:r>
      <w:r>
        <w:t xml:space="preserve"> </w:t>
      </w:r>
      <w:r>
        <w:t xml:space="preserve">“A</w:t>
      </w:r>
      <w:r>
        <w:t xml:space="preserve"> </w:t>
      </w:r>
      <w:r>
        <w:t xml:space="preserve">Neuromechanical Rat Model</w:t>
      </w:r>
      <w:r>
        <w:t xml:space="preserve"> </w:t>
      </w:r>
      <w:r>
        <w:t xml:space="preserve">with a</w:t>
      </w:r>
      <w:r>
        <w:t xml:space="preserve"> </w:t>
      </w:r>
      <w:r>
        <w:t xml:space="preserve">Complete Set</w:t>
      </w:r>
      <w:r>
        <w:t xml:space="preserve"> </w:t>
      </w:r>
      <w:r>
        <w:t xml:space="preserve">of</w:t>
      </w:r>
      <w:r>
        <w:t xml:space="preserve"> </w:t>
      </w:r>
      <w:r>
        <w:t xml:space="preserve">Hind Limb Muscles</w:t>
      </w:r>
      <w:r>
        <w:t xml:space="preserve">.”</w:t>
      </w:r>
      <w:r>
        <w:t xml:space="preserve"> </w:t>
      </w:r>
      <w:r>
        <w:t xml:space="preserve">In</w:t>
      </w:r>
      <w:r>
        <w:t xml:space="preserve"> </w:t>
      </w:r>
      <w:r>
        <w:rPr>
          <w:i/>
          <w:iCs/>
        </w:rPr>
        <w:t xml:space="preserve">Biomimetic and</w:t>
      </w:r>
      <w:r>
        <w:rPr>
          <w:i/>
          <w:iCs/>
        </w:rPr>
        <w:t xml:space="preserve"> </w:t>
      </w:r>
      <w:r>
        <w:rPr>
          <w:i/>
          <w:iCs/>
        </w:rPr>
        <w:t xml:space="preserve">Biohybrid Systems</w:t>
      </w:r>
      <w:r>
        <w:t xml:space="preserve">, edited by Vasiliki Vouloutsi, José Halloy, Anna Mura, et al. Springer International Publishing.</w:t>
      </w:r>
      <w:r>
        <w:t xml:space="preserve"> </w:t>
      </w:r>
      <w:hyperlink r:id="rId197">
        <w:r>
          <w:rPr>
            <w:rStyle w:val="Hyperlink"/>
          </w:rPr>
          <w:t xml:space="preserve">https://doi.org/10.1007/978-3-319-95972-6_57</w:t>
        </w:r>
      </w:hyperlink>
      <w:r>
        <w:t xml:space="preserve">.</w:t>
      </w:r>
    </w:p>
    <w:bookmarkEnd w:id="198"/>
    <w:bookmarkStart w:id="200" w:name="ref-youngAnalyzingMomentArm2019"/>
    <w:p>
      <w:pPr>
        <w:pStyle w:val="Bibliography"/>
      </w:pPr>
      <w:r>
        <w:t xml:space="preserve">Young, Fletcher, Christian Rode, Alex Hunt, and Roger Quinn. 2019.</w:t>
      </w:r>
      <w:r>
        <w:t xml:space="preserve"> </w:t>
      </w:r>
      <w:r>
        <w:t xml:space="preserve">“Analyzing</w:t>
      </w:r>
      <w:r>
        <w:t xml:space="preserve"> </w:t>
      </w:r>
      <w:r>
        <w:t xml:space="preserve">Moment Arm Profiles</w:t>
      </w:r>
      <w:r>
        <w:t xml:space="preserve"> </w:t>
      </w:r>
      <w:r>
        <w:t xml:space="preserve">in a</w:t>
      </w:r>
      <w:r>
        <w:t xml:space="preserve"> </w:t>
      </w:r>
      <w:r>
        <w:t xml:space="preserve">Full-Muscle Rat Hindlimb Model</w:t>
      </w:r>
      <w:r>
        <w:t xml:space="preserve">.”</w:t>
      </w:r>
      <w:r>
        <w:t xml:space="preserve"> </w:t>
      </w:r>
      <w:r>
        <w:rPr>
          <w:i/>
          <w:iCs/>
        </w:rPr>
        <w:t xml:space="preserve">Biomimetics</w:t>
      </w:r>
      <w:r>
        <w:t xml:space="preserve"> </w:t>
      </w:r>
      <w:r>
        <w:t xml:space="preserve">4 (1): 10.</w:t>
      </w:r>
      <w:r>
        <w:t xml:space="preserve"> </w:t>
      </w:r>
      <w:hyperlink r:id="rId199">
        <w:r>
          <w:rPr>
            <w:rStyle w:val="Hyperlink"/>
          </w:rPr>
          <w:t xml:space="preserve">https://doi.org/10.3390/biomimetics4010010</w:t>
        </w:r>
      </w:hyperlink>
      <w:r>
        <w:t xml:space="preserve">.</w:t>
      </w:r>
    </w:p>
    <w:bookmarkEnd w:id="200"/>
    <w:bookmarkStart w:id="202" w:name="ref-zhouOpen3DModernLibrary2018"/>
    <w:p>
      <w:pPr>
        <w:pStyle w:val="Bibliography"/>
      </w:pPr>
      <w:r>
        <w:t xml:space="preserve">Zhou, Qian-Yi, Jaesik Park, and Vladlen Koltun. 2018.</w:t>
      </w:r>
      <w:r>
        <w:t xml:space="preserve"> </w:t>
      </w:r>
      <w:r>
        <w:rPr>
          <w:i/>
          <w:iCs/>
        </w:rPr>
        <w:t xml:space="preserve">Open3D</w:t>
      </w:r>
      <w:r>
        <w:rPr>
          <w:i/>
          <w:iCs/>
        </w:rPr>
        <w:t xml:space="preserve">:</w:t>
      </w:r>
      <w:r>
        <w:rPr>
          <w:i/>
          <w:iCs/>
        </w:rPr>
        <w:t xml:space="preserve"> </w:t>
      </w:r>
      <w:r>
        <w:rPr>
          <w:i/>
          <w:iCs/>
        </w:rPr>
        <w:t xml:space="preserve">A Modern Library</w:t>
      </w:r>
      <w:r>
        <w:rPr>
          <w:i/>
          <w:iCs/>
        </w:rPr>
        <w:t xml:space="preserve"> </w:t>
      </w:r>
      <w:r>
        <w:rPr>
          <w:i/>
          <w:iCs/>
        </w:rPr>
        <w:t xml:space="preserve">for</w:t>
      </w:r>
      <w:r>
        <w:rPr>
          <w:i/>
          <w:iCs/>
        </w:rPr>
        <w:t xml:space="preserve"> </w:t>
      </w:r>
      <w:r>
        <w:rPr>
          <w:i/>
          <w:iCs/>
        </w:rPr>
        <w:t xml:space="preserve">3D Data Processing</w:t>
      </w:r>
      <w:r>
        <w:t xml:space="preserve">. arXiv:1801.09847. arXiv.</w:t>
      </w:r>
      <w:r>
        <w:t xml:space="preserve"> </w:t>
      </w:r>
      <w:hyperlink r:id="rId201">
        <w:r>
          <w:rPr>
            <w:rStyle w:val="Hyperlink"/>
          </w:rPr>
          <w:t xml:space="preserve">https://doi.org/10.48550/arXiv.1801.09847</w:t>
        </w:r>
      </w:hyperlink>
      <w:r>
        <w:t xml:space="preserve">.</w:t>
      </w:r>
    </w:p>
    <w:bookmarkEnd w:id="202"/>
    <w:bookmarkEnd w:id="203"/>
    <w:bookmarkEnd w:id="204"/>
    <w:bookmarkStart w:id="206" w:name="sec-young-attachments"/>
    <w:p>
      <w:pPr>
        <w:pStyle w:val="Heading1"/>
      </w:pPr>
      <w:r>
        <w:t xml:space="preserve">Appendix A: Young Model Muscle Attachment Points</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br/>
      </w:r>
      <w:r>
        <w:rPr>
          <w:rStyle w:val="NormalTok"/>
        </w:rPr>
        <w:t xml:space="preserve">data </w:t>
      </w:r>
      <w:r>
        <w:rPr>
          <w:rStyle w:val="OperatorTok"/>
        </w:rPr>
        <w:t xml:space="preserve">=</w:t>
      </w:r>
      <w:r>
        <w:rPr>
          <w:rStyle w:val="NormalTok"/>
        </w:rPr>
        <w:t xml:space="preserve"> pd.read_csv(Path(</w:t>
      </w:r>
      <w:r>
        <w:rPr>
          <w:rStyle w:val="StringTok"/>
        </w:rPr>
        <w:t xml:space="preserve">"../src/RatHindlimb/data/attachments/young_model_attachments.csv"</w:t>
      </w:r>
      <w:r>
        <w:rPr>
          <w:rStyle w:val="NormalTok"/>
        </w:rPr>
        <w:t xml:space="preserve">))</w:t>
      </w:r>
      <w:r>
        <w:br/>
      </w:r>
      <w:r>
        <w:rPr>
          <w:rStyle w:val="NormalTok"/>
        </w:rPr>
        <w:t xml:space="preserve">Markdown(tabulate(data, headers</w:t>
      </w:r>
      <w:r>
        <w:rPr>
          <w:rStyle w:val="OperatorTok"/>
        </w:rPr>
        <w:t xml:space="preserve">=</w:t>
      </w:r>
      <w:r>
        <w:rPr>
          <w:rStyle w:val="StringTok"/>
        </w:rPr>
        <w:t xml:space="preserve">"keys"</w:t>
      </w:r>
      <w:r>
        <w:rPr>
          <w:rStyle w:val="NormalTok"/>
        </w:rPr>
        <w:t xml:space="preserve">, tablefmt</w:t>
      </w:r>
      <w:r>
        <w:rPr>
          <w:rStyle w:val="OperatorTok"/>
        </w:rPr>
        <w:t xml:space="preserve">=</w:t>
      </w:r>
      <w:r>
        <w:rPr>
          <w:rStyle w:val="StringTok"/>
        </w:rPr>
        <w:t xml:space="preserve">"pipe"</w:t>
      </w:r>
      <w:r>
        <w:rPr>
          <w:rStyle w:val="NormalTok"/>
        </w:rPr>
        <w:t xml:space="preserve">, showindex</w:t>
      </w:r>
      <w:r>
        <w:rPr>
          <w:rStyle w:val="OperatorTok"/>
        </w:rPr>
        <w:t xml:space="preserve">=</w:t>
      </w:r>
      <w:r>
        <w:rPr>
          <w:rStyle w:val="Variable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05" w:name="tbl-young-attachments"/>
          <w:p>
            <w:pPr>
              <w:jc w:val="center"/>
            </w:pPr>
            <w:pPr>
              <w:jc w:val="left"/>
              <w:spacing w:before="200"/>
              <w:pStyle w:val="ImageCaption"/>
            </w:pPr>
            <w:r>
              <w:t xml:space="preserve">Table 7.1: Muscle attachment points from Young’s Animatlab model.</w:t>
            </w:r>
          </w:p>
          <w:tbl>
            <w:tblPr>
              <w:tblStyle w:val="Table"/>
              <w:tblW w:type="pct" w:w="5000"/>
              <w:tblLayout w:type="fixed"/>
              <w:tblLook w:firstRow="1" w:lastRow="0" w:firstColumn="0" w:lastColumn="0" w:noHBand="0" w:noVBand="0" w:val="0020"/>
            </w:tblPr>
            <w:tblGrid>
              <w:gridCol w:w="1423"/>
              <w:gridCol w:w="978"/>
              <w:gridCol w:w="800"/>
              <w:gridCol w:w="1067"/>
              <w:gridCol w:w="1067"/>
              <w:gridCol w:w="889"/>
              <w:gridCol w:w="1690"/>
            </w:tblGrid>
            <w:tr>
              <w:trPr>
                <w:tblHeader w:val="on"/>
              </w:trPr>
              <w:tc>
                <w:tcPr/>
                <w:p>
                  <w:pPr>
                    <w:pStyle w:val="Compact"/>
                    <w:jc w:val="left"/>
                    <w:jc w:val="center"/>
                  </w:pPr>
                  <w:r>
                    <w:t xml:space="preserve">Abbreviation</w:t>
                  </w:r>
                </w:p>
              </w:tc>
              <w:tc>
                <w:tcPr/>
                <w:p>
                  <w:pPr>
                    <w:pStyle w:val="Compact"/>
                    <w:jc w:val="left"/>
                    <w:jc w:val="center"/>
                  </w:pPr>
                  <w:r>
                    <w:t xml:space="preserve">Type</w:t>
                  </w:r>
                </w:p>
              </w:tc>
              <w:tc>
                <w:tcPr/>
                <w:p>
                  <w:pPr>
                    <w:pStyle w:val="Compact"/>
                    <w:jc w:val="left"/>
                    <w:jc w:val="center"/>
                  </w:pPr>
                  <w:r>
                    <w:t xml:space="preserve">Frame</w:t>
                  </w:r>
                </w:p>
              </w:tc>
              <w:tc>
                <w:tcPr/>
                <w:p>
                  <w:pPr>
                    <w:pStyle w:val="Compact"/>
                    <w:jc w:val="right"/>
                    <w:jc w:val="center"/>
                  </w:pPr>
                  <w:r>
                    <w:t xml:space="preserve">X (mm)</w:t>
                  </w:r>
                </w:p>
              </w:tc>
              <w:tc>
                <w:tcPr/>
                <w:p>
                  <w:pPr>
                    <w:pStyle w:val="Compact"/>
                    <w:jc w:val="right"/>
                    <w:jc w:val="center"/>
                  </w:pPr>
                  <w:r>
                    <w:t xml:space="preserve">Y (mm)</w:t>
                  </w:r>
                </w:p>
              </w:tc>
              <w:tc>
                <w:tcPr/>
                <w:p>
                  <w:pPr>
                    <w:pStyle w:val="Compact"/>
                    <w:jc w:val="right"/>
                    <w:jc w:val="center"/>
                  </w:pPr>
                  <w:r>
                    <w:t xml:space="preserve">Z (mm)</w:t>
                  </w:r>
                </w:p>
              </w:tc>
              <w:tc>
                <w:tcPr/>
                <w:p>
                  <w:pPr>
                    <w:pStyle w:val="Compact"/>
                    <w:jc w:val="left"/>
                    <w:jc w:val="center"/>
                  </w:pPr>
                  <w:r>
                    <w:t xml:space="preserve">Notes</w:t>
                  </w:r>
                </w:p>
              </w:tc>
            </w:tr>
            <w:tr>
              <w:tc>
                <w:tcPr/>
                <w:p>
                  <w:pPr>
                    <w:pStyle w:val="Compact"/>
                    <w:jc w:val="left"/>
                    <w:jc w:val="center"/>
                  </w:pPr>
                  <w:r>
                    <w:t xml:space="preserve">AB</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17.501</w:t>
                  </w:r>
                </w:p>
              </w:tc>
              <w:tc>
                <w:tcPr/>
                <w:p>
                  <w:pPr>
                    <w:pStyle w:val="Compact"/>
                    <w:jc w:val="right"/>
                    <w:jc w:val="center"/>
                  </w:pPr>
                  <w:r>
                    <w:t xml:space="preserve">-3.087</w:t>
                  </w:r>
                </w:p>
              </w:tc>
              <w:tc>
                <w:tcPr/>
                <w:p>
                  <w:pPr>
                    <w:pStyle w:val="Compact"/>
                    <w:jc w:val="right"/>
                    <w:jc w:val="center"/>
                  </w:pPr>
                  <w:r>
                    <w:t xml:space="preserve">12.02</w:t>
                  </w:r>
                </w:p>
              </w:tc>
              <w:tc>
                <w:tcPr/>
                <w:p>
                  <w:pPr>
                    <w:pStyle w:val="Compact"/>
                    <w:jc w:val="left"/>
                    <w:jc w:val="center"/>
                  </w:pPr>
                  <w:r>
                    <w:t xml:space="preserve">nan</w:t>
                  </w:r>
                </w:p>
              </w:tc>
            </w:tr>
            <w:tr>
              <w:tc>
                <w:tcPr/>
                <w:p>
                  <w:pPr>
                    <w:pStyle w:val="Compact"/>
                    <w:jc w:val="left"/>
                    <w:jc w:val="center"/>
                  </w:pPr>
                  <w:r>
                    <w:t xml:space="preserve">AB</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-7.993</w:t>
                  </w:r>
                </w:p>
              </w:tc>
              <w:tc>
                <w:tcPr/>
                <w:p>
                  <w:pPr>
                    <w:pStyle w:val="Compact"/>
                    <w:jc w:val="right"/>
                    <w:jc w:val="center"/>
                  </w:pPr>
                  <w:r>
                    <w:t xml:space="preserve">-3.764</w:t>
                  </w:r>
                </w:p>
              </w:tc>
              <w:tc>
                <w:tcPr/>
                <w:p>
                  <w:pPr>
                    <w:pStyle w:val="Compact"/>
                    <w:jc w:val="right"/>
                    <w:jc w:val="center"/>
                  </w:pPr>
                  <w:r>
                    <w:t xml:space="preserve">17</w:t>
                  </w:r>
                </w:p>
              </w:tc>
              <w:tc>
                <w:tcPr/>
                <w:p>
                  <w:pPr>
                    <w:pStyle w:val="Compact"/>
                    <w:jc w:val="left"/>
                    <w:jc w:val="center"/>
                  </w:pPr>
                  <w:r>
                    <w:t xml:space="preserve">nan</w:t>
                  </w:r>
                </w:p>
              </w:tc>
            </w:tr>
            <w:tr>
              <w:tc>
                <w:tcPr/>
                <w:p>
                  <w:pPr>
                    <w:pStyle w:val="Compact"/>
                    <w:jc w:val="left"/>
                    <w:jc w:val="center"/>
                  </w:pPr>
                  <w:r>
                    <w:t xml:space="preserve">AL</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10.522</w:t>
                  </w:r>
                </w:p>
              </w:tc>
              <w:tc>
                <w:tcPr/>
                <w:p>
                  <w:pPr>
                    <w:pStyle w:val="Compact"/>
                    <w:jc w:val="right"/>
                    <w:jc w:val="center"/>
                  </w:pPr>
                  <w:r>
                    <w:t xml:space="preserve">-5.42</w:t>
                  </w:r>
                </w:p>
              </w:tc>
              <w:tc>
                <w:tcPr/>
                <w:p>
                  <w:pPr>
                    <w:pStyle w:val="Compact"/>
                    <w:jc w:val="right"/>
                    <w:jc w:val="center"/>
                  </w:pPr>
                  <w:r>
                    <w:t xml:space="preserve">8.854</w:t>
                  </w:r>
                </w:p>
              </w:tc>
              <w:tc>
                <w:tcPr/>
                <w:p>
                  <w:pPr>
                    <w:pStyle w:val="Compact"/>
                    <w:jc w:val="left"/>
                    <w:jc w:val="center"/>
                  </w:pPr>
                  <w:r>
                    <w:t xml:space="preserve">nan</w:t>
                  </w:r>
                </w:p>
              </w:tc>
            </w:tr>
            <w:tr>
              <w:tc>
                <w:tcPr/>
                <w:p>
                  <w:pPr>
                    <w:pStyle w:val="Compact"/>
                    <w:jc w:val="left"/>
                    <w:jc w:val="center"/>
                  </w:pPr>
                  <w:r>
                    <w:t xml:space="preserve">AL</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-6.94</w:t>
                  </w:r>
                </w:p>
              </w:tc>
              <w:tc>
                <w:tcPr/>
                <w:p>
                  <w:pPr>
                    <w:pStyle w:val="Compact"/>
                    <w:jc w:val="right"/>
                    <w:jc w:val="center"/>
                  </w:pPr>
                  <w:r>
                    <w:t xml:space="preserve">-3.6</w:t>
                  </w:r>
                </w:p>
              </w:tc>
              <w:tc>
                <w:tcPr/>
                <w:p>
                  <w:pPr>
                    <w:pStyle w:val="Compact"/>
                    <w:jc w:val="right"/>
                    <w:jc w:val="center"/>
                  </w:pPr>
                  <w:r>
                    <w:t xml:space="preserve">15.053</w:t>
                  </w:r>
                </w:p>
              </w:tc>
              <w:tc>
                <w:tcPr/>
                <w:p>
                  <w:pPr>
                    <w:pStyle w:val="Compact"/>
                    <w:jc w:val="left"/>
                    <w:jc w:val="center"/>
                  </w:pPr>
                  <w:r>
                    <w:t xml:space="preserve">nan</w:t>
                  </w:r>
                </w:p>
              </w:tc>
            </w:tr>
            <w:tr>
              <w:tc>
                <w:tcPr/>
                <w:p>
                  <w:pPr>
                    <w:pStyle w:val="Compact"/>
                    <w:jc w:val="left"/>
                    <w:jc w:val="center"/>
                  </w:pPr>
                  <w:r>
                    <w:t xml:space="preserve">AM</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17.954</w:t>
                  </w:r>
                </w:p>
              </w:tc>
              <w:tc>
                <w:tcPr/>
                <w:p>
                  <w:pPr>
                    <w:pStyle w:val="Compact"/>
                    <w:jc w:val="right"/>
                    <w:jc w:val="center"/>
                  </w:pPr>
                  <w:r>
                    <w:t xml:space="preserve">-2.628</w:t>
                  </w:r>
                </w:p>
              </w:tc>
              <w:tc>
                <w:tcPr/>
                <w:p>
                  <w:pPr>
                    <w:pStyle w:val="Compact"/>
                    <w:jc w:val="right"/>
                    <w:jc w:val="center"/>
                  </w:pPr>
                  <w:r>
                    <w:t xml:space="preserve">13.281</w:t>
                  </w:r>
                </w:p>
              </w:tc>
              <w:tc>
                <w:tcPr/>
                <w:p>
                  <w:pPr>
                    <w:pStyle w:val="Compact"/>
                    <w:jc w:val="left"/>
                    <w:jc w:val="center"/>
                  </w:pPr>
                  <w:r>
                    <w:t xml:space="preserve">nan</w:t>
                  </w:r>
                </w:p>
              </w:tc>
            </w:tr>
            <w:tr>
              <w:tc>
                <w:tcPr/>
                <w:p>
                  <w:pPr>
                    <w:pStyle w:val="Compact"/>
                    <w:jc w:val="left"/>
                    <w:jc w:val="center"/>
                  </w:pPr>
                  <w:r>
                    <w:t xml:space="preserve">AM</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-3</w:t>
                  </w:r>
                </w:p>
              </w:tc>
              <w:tc>
                <w:tcPr/>
                <w:p>
                  <w:pPr>
                    <w:pStyle w:val="Compact"/>
                    <w:jc w:val="right"/>
                    <w:jc w:val="center"/>
                  </w:pPr>
                  <w:r>
                    <w:t xml:space="preserve">-8</w:t>
                  </w:r>
                </w:p>
              </w:tc>
              <w:tc>
                <w:tcPr/>
                <w:p>
                  <w:pPr>
                    <w:pStyle w:val="Compact"/>
                    <w:jc w:val="right"/>
                    <w:jc w:val="center"/>
                  </w:pPr>
                  <w:r>
                    <w:t xml:space="preserve">-1.151</w:t>
                  </w:r>
                </w:p>
              </w:tc>
              <w:tc>
                <w:tcPr/>
                <w:p>
                  <w:pPr>
                    <w:pStyle w:val="Compact"/>
                    <w:jc w:val="left"/>
                    <w:jc w:val="center"/>
                  </w:pPr>
                  <w:r>
                    <w:t xml:space="preserve">nan</w:t>
                  </w:r>
                </w:p>
              </w:tc>
            </w:tr>
            <w:tr>
              <w:tc>
                <w:tcPr/>
                <w:p>
                  <w:pPr>
                    <w:pStyle w:val="Compact"/>
                    <w:jc w:val="left"/>
                    <w:jc w:val="center"/>
                  </w:pPr>
                  <w:r>
                    <w:t xml:space="preserve">BFa</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19.501</w:t>
                  </w:r>
                </w:p>
              </w:tc>
              <w:tc>
                <w:tcPr/>
                <w:p>
                  <w:pPr>
                    <w:pStyle w:val="Compact"/>
                    <w:jc w:val="right"/>
                    <w:jc w:val="center"/>
                  </w:pPr>
                  <w:r>
                    <w:t xml:space="preserve">-0.571</w:t>
                  </w:r>
                </w:p>
              </w:tc>
              <w:tc>
                <w:tcPr/>
                <w:p>
                  <w:pPr>
                    <w:pStyle w:val="Compact"/>
                    <w:jc w:val="right"/>
                    <w:jc w:val="center"/>
                  </w:pPr>
                  <w:r>
                    <w:t xml:space="preserve">-5.385</w:t>
                  </w:r>
                </w:p>
              </w:tc>
              <w:tc>
                <w:tcPr/>
                <w:p>
                  <w:pPr>
                    <w:pStyle w:val="Compact"/>
                    <w:jc w:val="left"/>
                    <w:jc w:val="center"/>
                  </w:pPr>
                  <w:r>
                    <w:t xml:space="preserve">nan</w:t>
                  </w:r>
                </w:p>
              </w:tc>
            </w:tr>
            <w:tr>
              <w:tc>
                <w:tcPr/>
                <w:p>
                  <w:pPr>
                    <w:pStyle w:val="Compact"/>
                    <w:jc w:val="left"/>
                    <w:jc w:val="center"/>
                  </w:pPr>
                  <w:r>
                    <w:t xml:space="preserve">BFa</w:t>
                  </w:r>
                </w:p>
              </w:tc>
              <w:tc>
                <w:tcPr/>
                <w:p>
                  <w:pPr>
                    <w:pStyle w:val="Compact"/>
                    <w:jc w:val="left"/>
                    <w:jc w:val="center"/>
                  </w:pPr>
                  <w:r>
                    <w:t xml:space="preserve">Via</w:t>
                  </w:r>
                </w:p>
              </w:tc>
              <w:tc>
                <w:tcPr/>
                <w:p>
                  <w:pPr>
                    <w:pStyle w:val="Compact"/>
                    <w:jc w:val="left"/>
                    <w:jc w:val="center"/>
                  </w:pPr>
                  <w:r>
                    <w:t xml:space="preserve">Pelvis</w:t>
                  </w:r>
                </w:p>
              </w:tc>
              <w:tc>
                <w:tcPr/>
                <w:p>
                  <w:pPr>
                    <w:pStyle w:val="Compact"/>
                    <w:jc w:val="right"/>
                    <w:jc w:val="center"/>
                  </w:pPr>
                  <w:r>
                    <w:t xml:space="preserve">19.878</w:t>
                  </w:r>
                </w:p>
              </w:tc>
              <w:tc>
                <w:tcPr/>
                <w:p>
                  <w:pPr>
                    <w:pStyle w:val="Compact"/>
                    <w:jc w:val="right"/>
                    <w:jc w:val="center"/>
                  </w:pPr>
                  <w:r>
                    <w:t xml:space="preserve">-6.071</w:t>
                  </w:r>
                </w:p>
              </w:tc>
              <w:tc>
                <w:tcPr/>
                <w:p>
                  <w:pPr>
                    <w:pStyle w:val="Compact"/>
                    <w:jc w:val="right"/>
                    <w:jc w:val="center"/>
                  </w:pPr>
                  <w:r>
                    <w:t xml:space="preserve">-2.285</w:t>
                  </w:r>
                </w:p>
              </w:tc>
              <w:tc>
                <w:tcPr/>
                <w:p>
                  <w:pPr>
                    <w:pStyle w:val="Compact"/>
                    <w:jc w:val="left"/>
                    <w:jc w:val="center"/>
                  </w:pPr>
                  <w:r>
                    <w:t xml:space="preserve">nan</w:t>
                  </w:r>
                </w:p>
              </w:tc>
            </w:tr>
            <w:tr>
              <w:tc>
                <w:tcPr/>
                <w:p>
                  <w:pPr>
                    <w:pStyle w:val="Compact"/>
                    <w:jc w:val="left"/>
                    <w:jc w:val="center"/>
                  </w:pPr>
                  <w:r>
                    <w:t xml:space="preserve">BFa</w:t>
                  </w:r>
                </w:p>
              </w:tc>
              <w:tc>
                <w:tcPr/>
                <w:p>
                  <w:pPr>
                    <w:pStyle w:val="Compact"/>
                    <w:jc w:val="left"/>
                    <w:jc w:val="center"/>
                  </w:pPr>
                  <w:r>
                    <w:t xml:space="preserve">Via</w:t>
                  </w:r>
                </w:p>
              </w:tc>
              <w:tc>
                <w:tcPr/>
                <w:p>
                  <w:pPr>
                    <w:pStyle w:val="Compact"/>
                    <w:jc w:val="left"/>
                    <w:jc w:val="center"/>
                  </w:pPr>
                  <w:r>
                    <w:t xml:space="preserve">Pelvis</w:t>
                  </w:r>
                </w:p>
              </w:tc>
              <w:tc>
                <w:tcPr/>
                <w:p>
                  <w:pPr>
                    <w:pStyle w:val="Compact"/>
                    <w:jc w:val="right"/>
                    <w:jc w:val="center"/>
                  </w:pPr>
                  <w:r>
                    <w:t xml:space="preserve">19.844</w:t>
                  </w:r>
                </w:p>
              </w:tc>
              <w:tc>
                <w:tcPr/>
                <w:p>
                  <w:pPr>
                    <w:pStyle w:val="Compact"/>
                    <w:jc w:val="right"/>
                    <w:jc w:val="center"/>
                  </w:pPr>
                  <w:r>
                    <w:t xml:space="preserve">-8.547</w:t>
                  </w:r>
                </w:p>
              </w:tc>
              <w:tc>
                <w:tcPr/>
                <w:p>
                  <w:pPr>
                    <w:pStyle w:val="Compact"/>
                    <w:jc w:val="right"/>
                    <w:jc w:val="center"/>
                  </w:pPr>
                  <w:r>
                    <w:t xml:space="preserve">1.219</w:t>
                  </w:r>
                </w:p>
              </w:tc>
              <w:tc>
                <w:tcPr/>
                <w:p>
                  <w:pPr>
                    <w:pStyle w:val="Compact"/>
                    <w:jc w:val="left"/>
                    <w:jc w:val="center"/>
                  </w:pPr>
                  <w:r>
                    <w:t xml:space="preserve">nan</w:t>
                  </w:r>
                </w:p>
              </w:tc>
            </w:tr>
            <w:tr>
              <w:tc>
                <w:tcPr/>
                <w:p>
                  <w:pPr>
                    <w:pStyle w:val="Compact"/>
                    <w:jc w:val="left"/>
                    <w:jc w:val="center"/>
                  </w:pPr>
                  <w:r>
                    <w:t xml:space="preserve">BFa</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1.844</w:t>
                  </w:r>
                </w:p>
              </w:tc>
              <w:tc>
                <w:tcPr/>
                <w:p>
                  <w:pPr>
                    <w:pStyle w:val="Compact"/>
                    <w:jc w:val="right"/>
                    <w:jc w:val="center"/>
                  </w:pPr>
                  <w:r>
                    <w:t xml:space="preserve">-8.961</w:t>
                  </w:r>
                </w:p>
              </w:tc>
              <w:tc>
                <w:tcPr/>
                <w:p>
                  <w:pPr>
                    <w:pStyle w:val="Compact"/>
                    <w:jc w:val="right"/>
                    <w:jc w:val="center"/>
                  </w:pPr>
                  <w:r>
                    <w:t xml:space="preserve">2.876</w:t>
                  </w:r>
                </w:p>
              </w:tc>
              <w:tc>
                <w:tcPr/>
                <w:p>
                  <w:pPr>
                    <w:pStyle w:val="Compact"/>
                    <w:jc w:val="left"/>
                    <w:jc w:val="center"/>
                  </w:pPr>
                  <w:r>
                    <w:t xml:space="preserve">nan</w:t>
                  </w:r>
                </w:p>
              </w:tc>
            </w:tr>
            <w:tr>
              <w:tc>
                <w:tcPr/>
                <w:p>
                  <w:pPr>
                    <w:pStyle w:val="Compact"/>
                    <w:jc w:val="left"/>
                    <w:jc w:val="center"/>
                  </w:pPr>
                  <w:r>
                    <w:t xml:space="preserve">BFp</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22.456</w:t>
                  </w:r>
                </w:p>
              </w:tc>
              <w:tc>
                <w:tcPr/>
                <w:p>
                  <w:pPr>
                    <w:pStyle w:val="Compact"/>
                    <w:jc w:val="right"/>
                    <w:jc w:val="center"/>
                  </w:pPr>
                  <w:r>
                    <w:t xml:space="preserve">-5.732</w:t>
                  </w:r>
                </w:p>
              </w:tc>
              <w:tc>
                <w:tcPr/>
                <w:p>
                  <w:pPr>
                    <w:pStyle w:val="Compact"/>
                    <w:jc w:val="right"/>
                    <w:jc w:val="center"/>
                  </w:pPr>
                  <w:r>
                    <w:t xml:space="preserve">-0.362</w:t>
                  </w:r>
                </w:p>
              </w:tc>
              <w:tc>
                <w:tcPr/>
                <w:p>
                  <w:pPr>
                    <w:pStyle w:val="Compact"/>
                    <w:jc w:val="left"/>
                    <w:jc w:val="center"/>
                  </w:pPr>
                  <w:r>
                    <w:t xml:space="preserve">nan</w:t>
                  </w:r>
                </w:p>
              </w:tc>
            </w:tr>
            <w:tr>
              <w:tc>
                <w:tcPr/>
                <w:p>
                  <w:pPr>
                    <w:pStyle w:val="Compact"/>
                    <w:jc w:val="left"/>
                    <w:jc w:val="center"/>
                  </w:pPr>
                  <w:r>
                    <w:t xml:space="preserve">BFp</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0.864</w:t>
                  </w:r>
                </w:p>
              </w:tc>
              <w:tc>
                <w:tcPr/>
                <w:p>
                  <w:pPr>
                    <w:pStyle w:val="Compact"/>
                    <w:jc w:val="right"/>
                    <w:jc w:val="center"/>
                  </w:pPr>
                  <w:r>
                    <w:t xml:space="preserve">-15.061</w:t>
                  </w:r>
                </w:p>
              </w:tc>
              <w:tc>
                <w:tcPr/>
                <w:p>
                  <w:pPr>
                    <w:pStyle w:val="Compact"/>
                    <w:jc w:val="right"/>
                    <w:jc w:val="center"/>
                  </w:pPr>
                  <w:r>
                    <w:t xml:space="preserve">2.014</w:t>
                  </w:r>
                </w:p>
              </w:tc>
              <w:tc>
                <w:tcPr/>
                <w:p>
                  <w:pPr>
                    <w:pStyle w:val="Compact"/>
                    <w:jc w:val="left"/>
                    <w:jc w:val="center"/>
                  </w:pPr>
                  <w:r>
                    <w:t xml:space="preserve">nan</w:t>
                  </w:r>
                </w:p>
              </w:tc>
            </w:tr>
            <w:tr>
              <w:tc>
                <w:tcPr/>
                <w:p>
                  <w:pPr>
                    <w:pStyle w:val="Compact"/>
                    <w:jc w:val="left"/>
                    <w:jc w:val="center"/>
                  </w:pPr>
                  <w:r>
                    <w:t xml:space="preserve">BFp</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0.048477</w:t>
                  </w:r>
                </w:p>
              </w:tc>
              <w:tc>
                <w:tcPr/>
                <w:p>
                  <w:pPr>
                    <w:pStyle w:val="Compact"/>
                    <w:jc w:val="right"/>
                    <w:jc w:val="center"/>
                  </w:pPr>
                  <w:r>
                    <w:t xml:space="preserve">-13.338</w:t>
                  </w:r>
                </w:p>
              </w:tc>
              <w:tc>
                <w:tcPr/>
                <w:p>
                  <w:pPr>
                    <w:pStyle w:val="Compact"/>
                    <w:jc w:val="right"/>
                    <w:jc w:val="center"/>
                  </w:pPr>
                  <w:r>
                    <w:t xml:space="preserve">-3.851</w:t>
                  </w:r>
                </w:p>
              </w:tc>
              <w:tc>
                <w:tcPr/>
                <w:p>
                  <w:pPr>
                    <w:pStyle w:val="Compact"/>
                    <w:jc w:val="left"/>
                    <w:jc w:val="center"/>
                  </w:pPr>
                  <w:r>
                    <w:t xml:space="preserve">nan</w:t>
                  </w:r>
                </w:p>
              </w:tc>
            </w:tr>
            <w:tr>
              <w:tc>
                <w:tcPr/>
                <w:p>
                  <w:pPr>
                    <w:pStyle w:val="Compact"/>
                    <w:jc w:val="left"/>
                    <w:jc w:val="center"/>
                  </w:pPr>
                  <w:r>
                    <w:t xml:space="preserve">CF</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14.103</w:t>
                  </w:r>
                </w:p>
              </w:tc>
              <w:tc>
                <w:tcPr/>
                <w:p>
                  <w:pPr>
                    <w:pStyle w:val="Compact"/>
                    <w:jc w:val="right"/>
                    <w:jc w:val="center"/>
                  </w:pPr>
                  <w:r>
                    <w:t xml:space="preserve">-1.194</w:t>
                  </w:r>
                </w:p>
              </w:tc>
              <w:tc>
                <w:tcPr/>
                <w:p>
                  <w:pPr>
                    <w:pStyle w:val="Compact"/>
                    <w:jc w:val="right"/>
                    <w:jc w:val="center"/>
                  </w:pPr>
                  <w:r>
                    <w:t xml:space="preserve">-6.141</w:t>
                  </w:r>
                </w:p>
              </w:tc>
              <w:tc>
                <w:tcPr/>
                <w:p>
                  <w:pPr>
                    <w:pStyle w:val="Compact"/>
                    <w:jc w:val="left"/>
                    <w:jc w:val="center"/>
                  </w:pPr>
                  <w:r>
                    <w:t xml:space="preserve">nan</w:t>
                  </w:r>
                </w:p>
              </w:tc>
            </w:tr>
            <w:tr>
              <w:tc>
                <w:tcPr/>
                <w:p>
                  <w:pPr>
                    <w:pStyle w:val="Compact"/>
                    <w:jc w:val="left"/>
                    <w:jc w:val="center"/>
                  </w:pPr>
                  <w:r>
                    <w:t xml:space="preserve">CF</w:t>
                  </w:r>
                </w:p>
              </w:tc>
              <w:tc>
                <w:tcPr/>
                <w:p>
                  <w:pPr>
                    <w:pStyle w:val="Compact"/>
                    <w:jc w:val="left"/>
                    <w:jc w:val="center"/>
                  </w:pPr>
                  <w:r>
                    <w:t xml:space="preserve">Via</w:t>
                  </w:r>
                </w:p>
              </w:tc>
              <w:tc>
                <w:tcPr/>
                <w:p>
                  <w:pPr>
                    <w:pStyle w:val="Compact"/>
                    <w:jc w:val="left"/>
                    <w:jc w:val="center"/>
                  </w:pPr>
                  <w:r>
                    <w:t xml:space="preserve">Pelvis</w:t>
                  </w:r>
                </w:p>
              </w:tc>
              <w:tc>
                <w:tcPr/>
                <w:p>
                  <w:pPr>
                    <w:pStyle w:val="Compact"/>
                    <w:jc w:val="right"/>
                    <w:jc w:val="center"/>
                  </w:pPr>
                  <w:r>
                    <w:t xml:space="preserve">13.65</w:t>
                  </w:r>
                </w:p>
              </w:tc>
              <w:tc>
                <w:tcPr/>
                <w:p>
                  <w:pPr>
                    <w:pStyle w:val="Compact"/>
                    <w:jc w:val="right"/>
                    <w:jc w:val="center"/>
                  </w:pPr>
                  <w:r>
                    <w:t xml:space="preserve">-5.582</w:t>
                  </w:r>
                </w:p>
              </w:tc>
              <w:tc>
                <w:tcPr/>
                <w:p>
                  <w:pPr>
                    <w:pStyle w:val="Compact"/>
                    <w:jc w:val="right"/>
                    <w:jc w:val="center"/>
                  </w:pPr>
                  <w:r>
                    <w:t xml:space="preserve">-2.7</w:t>
                  </w:r>
                </w:p>
              </w:tc>
              <w:tc>
                <w:tcPr/>
                <w:p>
                  <w:pPr>
                    <w:pStyle w:val="Compact"/>
                    <w:jc w:val="left"/>
                    <w:jc w:val="center"/>
                  </w:pPr>
                  <w:r>
                    <w:t xml:space="preserve">nan</w:t>
                  </w:r>
                </w:p>
              </w:tc>
            </w:tr>
            <w:tr>
              <w:tc>
                <w:tcPr/>
                <w:p>
                  <w:pPr>
                    <w:pStyle w:val="Compact"/>
                    <w:jc w:val="left"/>
                    <w:jc w:val="center"/>
                  </w:pPr>
                  <w:r>
                    <w:t xml:space="preserve">CF</w:t>
                  </w:r>
                </w:p>
              </w:tc>
              <w:tc>
                <w:tcPr/>
                <w:p>
                  <w:pPr>
                    <w:pStyle w:val="Compact"/>
                    <w:jc w:val="left"/>
                    <w:jc w:val="center"/>
                  </w:pPr>
                  <w:r>
                    <w:t xml:space="preserve">Via</w:t>
                  </w:r>
                </w:p>
              </w:tc>
              <w:tc>
                <w:tcPr/>
                <w:p>
                  <w:pPr>
                    <w:pStyle w:val="Compact"/>
                    <w:jc w:val="left"/>
                    <w:jc w:val="center"/>
                  </w:pPr>
                  <w:r>
                    <w:t xml:space="preserve">Pelvis</w:t>
                  </w:r>
                </w:p>
              </w:tc>
              <w:tc>
                <w:tcPr/>
                <w:p>
                  <w:pPr>
                    <w:pStyle w:val="Compact"/>
                    <w:jc w:val="right"/>
                    <w:jc w:val="center"/>
                  </w:pPr>
                  <w:r>
                    <w:t xml:space="preserve">12.48</w:t>
                  </w:r>
                </w:p>
              </w:tc>
              <w:tc>
                <w:tcPr/>
                <w:p>
                  <w:pPr>
                    <w:pStyle w:val="Compact"/>
                    <w:jc w:val="right"/>
                    <w:jc w:val="center"/>
                  </w:pPr>
                  <w:r>
                    <w:t xml:space="preserve">-8.318</w:t>
                  </w:r>
                </w:p>
              </w:tc>
              <w:tc>
                <w:tcPr/>
                <w:p>
                  <w:pPr>
                    <w:pStyle w:val="Compact"/>
                    <w:jc w:val="right"/>
                    <w:jc w:val="center"/>
                  </w:pPr>
                  <w:r>
                    <w:t xml:space="preserve">0.92</w:t>
                  </w:r>
                </w:p>
              </w:tc>
              <w:tc>
                <w:tcPr/>
                <w:p>
                  <w:pPr>
                    <w:pStyle w:val="Compact"/>
                    <w:jc w:val="left"/>
                    <w:jc w:val="center"/>
                  </w:pPr>
                  <w:r>
                    <w:t xml:space="preserve">nan</w:t>
                  </w:r>
                </w:p>
              </w:tc>
            </w:tr>
            <w:tr>
              <w:tc>
                <w:tcPr/>
                <w:p>
                  <w:pPr>
                    <w:pStyle w:val="Compact"/>
                    <w:jc w:val="left"/>
                    <w:jc w:val="center"/>
                  </w:pPr>
                  <w:r>
                    <w:t xml:space="preserve">CF</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-8.599</w:t>
                  </w:r>
                </w:p>
              </w:tc>
              <w:tc>
                <w:tcPr/>
                <w:p>
                  <w:pPr>
                    <w:pStyle w:val="Compact"/>
                    <w:jc w:val="right"/>
                    <w:jc w:val="center"/>
                  </w:pPr>
                  <w:r>
                    <w:t xml:space="preserve">-4.649</w:t>
                  </w:r>
                </w:p>
              </w:tc>
              <w:tc>
                <w:tcPr/>
                <w:p>
                  <w:pPr>
                    <w:pStyle w:val="Compact"/>
                    <w:jc w:val="right"/>
                    <w:jc w:val="center"/>
                  </w:pPr>
                  <w:r>
                    <w:t xml:space="preserve">28.716</w:t>
                  </w:r>
                </w:p>
              </w:tc>
              <w:tc>
                <w:tcPr/>
                <w:p>
                  <w:pPr>
                    <w:pStyle w:val="Compact"/>
                    <w:jc w:val="left"/>
                    <w:jc w:val="center"/>
                  </w:pPr>
                  <w:r>
                    <w:t xml:space="preserve">nan</w:t>
                  </w:r>
                </w:p>
              </w:tc>
            </w:tr>
            <w:tr>
              <w:tc>
                <w:tcPr/>
                <w:p>
                  <w:pPr>
                    <w:pStyle w:val="Compact"/>
                    <w:jc w:val="left"/>
                    <w:jc w:val="center"/>
                  </w:pPr>
                  <w:r>
                    <w:t xml:space="preserve">GI</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18.827</w:t>
                  </w:r>
                </w:p>
              </w:tc>
              <w:tc>
                <w:tcPr/>
                <w:p>
                  <w:pPr>
                    <w:pStyle w:val="Compact"/>
                    <w:jc w:val="right"/>
                    <w:jc w:val="center"/>
                  </w:pPr>
                  <w:r>
                    <w:t xml:space="preserve">-4.85</w:t>
                  </w:r>
                </w:p>
              </w:tc>
              <w:tc>
                <w:tcPr/>
                <w:p>
                  <w:pPr>
                    <w:pStyle w:val="Compact"/>
                    <w:jc w:val="right"/>
                    <w:jc w:val="center"/>
                  </w:pPr>
                  <w:r>
                    <w:t xml:space="preserve">-2.4</w:t>
                  </w:r>
                </w:p>
              </w:tc>
              <w:tc>
                <w:tcPr/>
                <w:p>
                  <w:pPr>
                    <w:pStyle w:val="Compact"/>
                    <w:jc w:val="left"/>
                    <w:jc w:val="center"/>
                  </w:pPr>
                  <w:r>
                    <w:t xml:space="preserve">nan</w:t>
                  </w:r>
                </w:p>
              </w:tc>
            </w:tr>
            <w:tr>
              <w:tc>
                <w:tcPr/>
                <w:p>
                  <w:pPr>
                    <w:pStyle w:val="Compact"/>
                    <w:jc w:val="left"/>
                    <w:jc w:val="center"/>
                  </w:pPr>
                  <w:r>
                    <w:t xml:space="preserve">GI</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-2.764</w:t>
                  </w:r>
                </w:p>
              </w:tc>
              <w:tc>
                <w:tcPr/>
                <w:p>
                  <w:pPr>
                    <w:pStyle w:val="Compact"/>
                    <w:jc w:val="right"/>
                    <w:jc w:val="center"/>
                  </w:pPr>
                  <w:r>
                    <w:t xml:space="preserve">-2.573</w:t>
                  </w:r>
                </w:p>
              </w:tc>
              <w:tc>
                <w:tcPr/>
                <w:p>
                  <w:pPr>
                    <w:pStyle w:val="Compact"/>
                    <w:jc w:val="right"/>
                    <w:jc w:val="center"/>
                  </w:pPr>
                  <w:r>
                    <w:t xml:space="preserve">-0.624</w:t>
                  </w:r>
                </w:p>
              </w:tc>
              <w:tc>
                <w:tcPr/>
                <w:p>
                  <w:pPr>
                    <w:pStyle w:val="Compact"/>
                    <w:jc w:val="left"/>
                    <w:jc w:val="center"/>
                  </w:pPr>
                  <w:r>
                    <w:t xml:space="preserve">nan</w:t>
                  </w:r>
                </w:p>
              </w:tc>
            </w:tr>
            <w:tr>
              <w:tc>
                <w:tcPr/>
                <w:p>
                  <w:pPr>
                    <w:pStyle w:val="Compact"/>
                    <w:jc w:val="left"/>
                    <w:jc w:val="center"/>
                  </w:pPr>
                  <w:r>
                    <w:t xml:space="preserve">GS</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-12.003</w:t>
                  </w:r>
                </w:p>
              </w:tc>
              <w:tc>
                <w:tcPr/>
                <w:p>
                  <w:pPr>
                    <w:pStyle w:val="Compact"/>
                    <w:jc w:val="right"/>
                    <w:jc w:val="center"/>
                  </w:pPr>
                  <w:r>
                    <w:t xml:space="preserve">-10.383</w:t>
                  </w:r>
                </w:p>
              </w:tc>
              <w:tc>
                <w:tcPr/>
                <w:p>
                  <w:pPr>
                    <w:pStyle w:val="Compact"/>
                    <w:jc w:val="right"/>
                    <w:jc w:val="center"/>
                  </w:pPr>
                  <w:r>
                    <w:t xml:space="preserve">-1.711</w:t>
                  </w:r>
                </w:p>
              </w:tc>
              <w:tc>
                <w:tcPr/>
                <w:p>
                  <w:pPr>
                    <w:pStyle w:val="Compact"/>
                    <w:jc w:val="left"/>
                    <w:jc w:val="center"/>
                  </w:pPr>
                  <w:r>
                    <w:t xml:space="preserve">nan</w:t>
                  </w:r>
                </w:p>
              </w:tc>
            </w:tr>
            <w:tr>
              <w:tc>
                <w:tcPr/>
                <w:p>
                  <w:pPr>
                    <w:pStyle w:val="Compact"/>
                    <w:jc w:val="left"/>
                    <w:jc w:val="center"/>
                  </w:pPr>
                  <w:r>
                    <w:t xml:space="preserve">GS</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-4.996</w:t>
                  </w:r>
                </w:p>
              </w:tc>
              <w:tc>
                <w:tcPr/>
                <w:p>
                  <w:pPr>
                    <w:pStyle w:val="Compact"/>
                    <w:jc w:val="right"/>
                    <w:jc w:val="center"/>
                  </w:pPr>
                  <w:r>
                    <w:t xml:space="preserve">-0.965</w:t>
                  </w:r>
                </w:p>
              </w:tc>
              <w:tc>
                <w:tcPr/>
                <w:p>
                  <w:pPr>
                    <w:pStyle w:val="Compact"/>
                    <w:jc w:val="right"/>
                    <w:jc w:val="center"/>
                  </w:pPr>
                  <w:r>
                    <w:t xml:space="preserve">5.543</w:t>
                  </w:r>
                </w:p>
              </w:tc>
              <w:tc>
                <w:tcPr/>
                <w:p>
                  <w:pPr>
                    <w:pStyle w:val="Compact"/>
                    <w:jc w:val="left"/>
                    <w:jc w:val="center"/>
                  </w:pPr>
                  <w:r>
                    <w:t xml:space="preserve">nan</w:t>
                  </w:r>
                </w:p>
              </w:tc>
            </w:tr>
            <w:tr>
              <w:tc>
                <w:tcPr/>
                <w:p>
                  <w:pPr>
                    <w:pStyle w:val="Compact"/>
                    <w:jc w:val="left"/>
                    <w:jc w:val="center"/>
                  </w:pPr>
                  <w:r>
                    <w:t xml:space="preserve">GMa</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-7.391</w:t>
                  </w:r>
                </w:p>
              </w:tc>
              <w:tc>
                <w:tcPr/>
                <w:p>
                  <w:pPr>
                    <w:pStyle w:val="Compact"/>
                    <w:jc w:val="right"/>
                    <w:jc w:val="center"/>
                  </w:pPr>
                  <w:r>
                    <w:t xml:space="preserve">-9.731</w:t>
                  </w:r>
                </w:p>
              </w:tc>
              <w:tc>
                <w:tcPr/>
                <w:p>
                  <w:pPr>
                    <w:pStyle w:val="Compact"/>
                    <w:jc w:val="right"/>
                    <w:jc w:val="center"/>
                  </w:pPr>
                  <w:r>
                    <w:t xml:space="preserve">-2.277</w:t>
                  </w:r>
                </w:p>
              </w:tc>
              <w:tc>
                <w:tcPr/>
                <w:p>
                  <w:pPr>
                    <w:pStyle w:val="Compact"/>
                    <w:jc w:val="left"/>
                    <w:jc w:val="center"/>
                  </w:pPr>
                  <w:r>
                    <w:t xml:space="preserve">nan</w:t>
                  </w:r>
                </w:p>
              </w:tc>
            </w:tr>
            <w:tr>
              <w:tc>
                <w:tcPr/>
                <w:p>
                  <w:pPr>
                    <w:pStyle w:val="Compact"/>
                    <w:jc w:val="left"/>
                    <w:jc w:val="center"/>
                  </w:pPr>
                  <w:r>
                    <w:t xml:space="preserve">GMa</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-9.394</w:t>
                  </w:r>
                </w:p>
              </w:tc>
              <w:tc>
                <w:tcPr/>
                <w:p>
                  <w:pPr>
                    <w:pStyle w:val="Compact"/>
                    <w:jc w:val="right"/>
                    <w:jc w:val="center"/>
                  </w:pPr>
                  <w:r>
                    <w:t xml:space="preserve">-2.368</w:t>
                  </w:r>
                </w:p>
              </w:tc>
              <w:tc>
                <w:tcPr/>
                <w:p>
                  <w:pPr>
                    <w:pStyle w:val="Compact"/>
                    <w:jc w:val="right"/>
                    <w:jc w:val="center"/>
                  </w:pPr>
                  <w:r>
                    <w:t xml:space="preserve">7.021</w:t>
                  </w:r>
                </w:p>
              </w:tc>
              <w:tc>
                <w:tcPr/>
                <w:p>
                  <w:pPr>
                    <w:pStyle w:val="Compact"/>
                    <w:jc w:val="left"/>
                    <w:jc w:val="center"/>
                  </w:pPr>
                  <w:r>
                    <w:t xml:space="preserve">nan</w:t>
                  </w:r>
                </w:p>
              </w:tc>
            </w:tr>
            <w:tr>
              <w:tc>
                <w:tcPr/>
                <w:p>
                  <w:pPr>
                    <w:pStyle w:val="Compact"/>
                    <w:jc w:val="left"/>
                    <w:jc w:val="center"/>
                  </w:pPr>
                  <w:r>
                    <w:t xml:space="preserve">GMe</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-18.604</w:t>
                  </w:r>
                </w:p>
              </w:tc>
              <w:tc>
                <w:tcPr/>
                <w:p>
                  <w:pPr>
                    <w:pStyle w:val="Compact"/>
                    <w:jc w:val="right"/>
                    <w:jc w:val="center"/>
                  </w:pPr>
                  <w:r>
                    <w:t xml:space="preserve">-14</w:t>
                  </w:r>
                </w:p>
              </w:tc>
              <w:tc>
                <w:tcPr/>
                <w:p>
                  <w:pPr>
                    <w:pStyle w:val="Compact"/>
                    <w:jc w:val="right"/>
                    <w:jc w:val="center"/>
                  </w:pPr>
                  <w:r>
                    <w:t xml:space="preserve">-4.228</w:t>
                  </w:r>
                </w:p>
              </w:tc>
              <w:tc>
                <w:tcPr/>
                <w:p>
                  <w:pPr>
                    <w:pStyle w:val="Compact"/>
                    <w:jc w:val="left"/>
                    <w:jc w:val="center"/>
                  </w:pPr>
                  <w:r>
                    <w:t xml:space="preserve">nan</w:t>
                  </w:r>
                </w:p>
              </w:tc>
            </w:tr>
            <w:tr>
              <w:tc>
                <w:tcPr/>
                <w:p>
                  <w:pPr>
                    <w:pStyle w:val="Compact"/>
                    <w:jc w:val="left"/>
                    <w:jc w:val="center"/>
                  </w:pPr>
                  <w:r>
                    <w:t xml:space="preserve">GMe</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-7</w:t>
                  </w:r>
                </w:p>
              </w:tc>
              <w:tc>
                <w:tcPr/>
                <w:p>
                  <w:pPr>
                    <w:pStyle w:val="Compact"/>
                    <w:jc w:val="right"/>
                    <w:jc w:val="center"/>
                  </w:pPr>
                  <w:r>
                    <w:t xml:space="preserve">0.931</w:t>
                  </w:r>
                </w:p>
              </w:tc>
              <w:tc>
                <w:tcPr/>
                <w:p>
                  <w:pPr>
                    <w:pStyle w:val="Compact"/>
                    <w:jc w:val="right"/>
                    <w:jc w:val="center"/>
                  </w:pPr>
                  <w:r>
                    <w:t xml:space="preserve">-2.872</w:t>
                  </w:r>
                </w:p>
              </w:tc>
              <w:tc>
                <w:tcPr/>
                <w:p>
                  <w:pPr>
                    <w:pStyle w:val="Compact"/>
                    <w:jc w:val="left"/>
                    <w:jc w:val="center"/>
                  </w:pPr>
                  <w:r>
                    <w:t xml:space="preserve">nan</w:t>
                  </w:r>
                </w:p>
              </w:tc>
            </w:tr>
            <w:tr>
              <w:tc>
                <w:tcPr/>
                <w:p>
                  <w:pPr>
                    <w:pStyle w:val="Compact"/>
                    <w:jc w:val="left"/>
                    <w:jc w:val="center"/>
                  </w:pPr>
                  <w:r>
                    <w:t xml:space="preserve">GMi</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-16.508</w:t>
                  </w:r>
                </w:p>
              </w:tc>
              <w:tc>
                <w:tcPr/>
                <w:p>
                  <w:pPr>
                    <w:pStyle w:val="Compact"/>
                    <w:jc w:val="right"/>
                    <w:jc w:val="center"/>
                  </w:pPr>
                  <w:r>
                    <w:t xml:space="preserve">-11.5</w:t>
                  </w:r>
                </w:p>
              </w:tc>
              <w:tc>
                <w:tcPr/>
                <w:p>
                  <w:pPr>
                    <w:pStyle w:val="Compact"/>
                    <w:jc w:val="right"/>
                    <w:jc w:val="center"/>
                  </w:pPr>
                  <w:r>
                    <w:t xml:space="preserve">-1.771</w:t>
                  </w:r>
                </w:p>
              </w:tc>
              <w:tc>
                <w:tcPr/>
                <w:p>
                  <w:pPr>
                    <w:pStyle w:val="Compact"/>
                    <w:jc w:val="left"/>
                    <w:jc w:val="center"/>
                  </w:pPr>
                  <w:r>
                    <w:t xml:space="preserve">nan</w:t>
                  </w:r>
                </w:p>
              </w:tc>
            </w:tr>
            <w:tr>
              <w:tc>
                <w:tcPr/>
                <w:p>
                  <w:pPr>
                    <w:pStyle w:val="Compact"/>
                    <w:jc w:val="left"/>
                    <w:jc w:val="center"/>
                  </w:pPr>
                  <w:r>
                    <w:t xml:space="preserve">GMi</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-6.595</w:t>
                  </w:r>
                </w:p>
              </w:tc>
              <w:tc>
                <w:tcPr/>
                <w:p>
                  <w:pPr>
                    <w:pStyle w:val="Compact"/>
                    <w:jc w:val="right"/>
                    <w:jc w:val="center"/>
                  </w:pPr>
                  <w:r>
                    <w:t xml:space="preserve">0.979</w:t>
                  </w:r>
                </w:p>
              </w:tc>
              <w:tc>
                <w:tcPr/>
                <w:p>
                  <w:pPr>
                    <w:pStyle w:val="Compact"/>
                    <w:jc w:val="right"/>
                    <w:jc w:val="center"/>
                  </w:pPr>
                  <w:r>
                    <w:t xml:space="preserve">-1.597</w:t>
                  </w:r>
                </w:p>
              </w:tc>
              <w:tc>
                <w:tcPr/>
                <w:p>
                  <w:pPr>
                    <w:pStyle w:val="Compact"/>
                    <w:jc w:val="left"/>
                    <w:jc w:val="center"/>
                  </w:pPr>
                  <w:r>
                    <w:t xml:space="preserve">nan</w:t>
                  </w:r>
                </w:p>
              </w:tc>
            </w:tr>
            <w:tr>
              <w:tc>
                <w:tcPr/>
                <w:p>
                  <w:pPr>
                    <w:pStyle w:val="Compact"/>
                    <w:jc w:val="left"/>
                    <w:jc w:val="center"/>
                  </w:pPr>
                  <w:r>
                    <w:t xml:space="preserve">GA</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19.282</w:t>
                  </w:r>
                </w:p>
              </w:tc>
              <w:tc>
                <w:tcPr/>
                <w:p>
                  <w:pPr>
                    <w:pStyle w:val="Compact"/>
                    <w:jc w:val="right"/>
                    <w:jc w:val="center"/>
                  </w:pPr>
                  <w:r>
                    <w:t xml:space="preserve">-2.5</w:t>
                  </w:r>
                </w:p>
              </w:tc>
              <w:tc>
                <w:tcPr/>
                <w:p>
                  <w:pPr>
                    <w:pStyle w:val="Compact"/>
                    <w:jc w:val="right"/>
                    <w:jc w:val="center"/>
                  </w:pPr>
                  <w:r>
                    <w:t xml:space="preserve">13.354</w:t>
                  </w:r>
                </w:p>
              </w:tc>
              <w:tc>
                <w:tcPr/>
                <w:p>
                  <w:pPr>
                    <w:pStyle w:val="Compact"/>
                    <w:jc w:val="left"/>
                    <w:jc w:val="center"/>
                  </w:pPr>
                  <w:r>
                    <w:t xml:space="preserve">nan</w:t>
                  </w:r>
                </w:p>
              </w:tc>
            </w:tr>
            <w:tr>
              <w:tc>
                <w:tcPr/>
                <w:p>
                  <w:pPr>
                    <w:pStyle w:val="Compact"/>
                    <w:jc w:val="left"/>
                    <w:jc w:val="center"/>
                  </w:pPr>
                  <w:r>
                    <w:t xml:space="preserve">GA</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-3.165</w:t>
                  </w:r>
                </w:p>
              </w:tc>
              <w:tc>
                <w:tcPr/>
                <w:p>
                  <w:pPr>
                    <w:pStyle w:val="Compact"/>
                    <w:jc w:val="right"/>
                    <w:jc w:val="center"/>
                  </w:pPr>
                  <w:r>
                    <w:t xml:space="preserve">-9.661</w:t>
                  </w:r>
                </w:p>
              </w:tc>
              <w:tc>
                <w:tcPr/>
                <w:p>
                  <w:pPr>
                    <w:pStyle w:val="Compact"/>
                    <w:jc w:val="right"/>
                    <w:jc w:val="center"/>
                  </w:pPr>
                  <w:r>
                    <w:t xml:space="preserve">-2.262</w:t>
                  </w:r>
                </w:p>
              </w:tc>
              <w:tc>
                <w:tcPr/>
                <w:p>
                  <w:pPr>
                    <w:pStyle w:val="Compact"/>
                    <w:jc w:val="left"/>
                    <w:jc w:val="center"/>
                  </w:pPr>
                  <w:r>
                    <w:t xml:space="preserve">nan</w:t>
                  </w:r>
                </w:p>
              </w:tc>
            </w:tr>
            <w:tr>
              <w:tc>
                <w:tcPr/>
                <w:p>
                  <w:pPr>
                    <w:pStyle w:val="Compact"/>
                    <w:jc w:val="left"/>
                    <w:jc w:val="center"/>
                  </w:pPr>
                  <w:r>
                    <w:t xml:space="preserve">GP</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20.52</w:t>
                  </w:r>
                </w:p>
              </w:tc>
              <w:tc>
                <w:tcPr/>
                <w:p>
                  <w:pPr>
                    <w:pStyle w:val="Compact"/>
                    <w:jc w:val="right"/>
                    <w:jc w:val="center"/>
                  </w:pPr>
                  <w:r>
                    <w:t xml:space="preserve">-4.773</w:t>
                  </w:r>
                </w:p>
              </w:tc>
              <w:tc>
                <w:tcPr/>
                <w:p>
                  <w:pPr>
                    <w:pStyle w:val="Compact"/>
                    <w:jc w:val="right"/>
                    <w:jc w:val="center"/>
                  </w:pPr>
                  <w:r>
                    <w:t xml:space="preserve">8.583</w:t>
                  </w:r>
                </w:p>
              </w:tc>
              <w:tc>
                <w:tcPr/>
                <w:p>
                  <w:pPr>
                    <w:pStyle w:val="Compact"/>
                    <w:jc w:val="left"/>
                    <w:jc w:val="center"/>
                  </w:pPr>
                  <w:r>
                    <w:t xml:space="preserve">nan</w:t>
                  </w:r>
                </w:p>
              </w:tc>
            </w:tr>
            <w:tr>
              <w:tc>
                <w:tcPr/>
                <w:p>
                  <w:pPr>
                    <w:pStyle w:val="Compact"/>
                    <w:jc w:val="left"/>
                    <w:jc w:val="center"/>
                  </w:pPr>
                  <w:r>
                    <w:t xml:space="preserve">GP</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-3.246</w:t>
                  </w:r>
                </w:p>
              </w:tc>
              <w:tc>
                <w:tcPr/>
                <w:p>
                  <w:pPr>
                    <w:pStyle w:val="Compact"/>
                    <w:jc w:val="right"/>
                    <w:jc w:val="center"/>
                  </w:pPr>
                  <w:r>
                    <w:t xml:space="preserve">-12.196</w:t>
                  </w:r>
                </w:p>
              </w:tc>
              <w:tc>
                <w:tcPr/>
                <w:p>
                  <w:pPr>
                    <w:pStyle w:val="Compact"/>
                    <w:jc w:val="right"/>
                    <w:jc w:val="center"/>
                  </w:pPr>
                  <w:r>
                    <w:t xml:space="preserve">-3.335</w:t>
                  </w:r>
                </w:p>
              </w:tc>
              <w:tc>
                <w:tcPr/>
                <w:p>
                  <w:pPr>
                    <w:pStyle w:val="Compact"/>
                    <w:jc w:val="left"/>
                    <w:jc w:val="center"/>
                  </w:pPr>
                  <w:r>
                    <w:t xml:space="preserve">nan</w:t>
                  </w:r>
                </w:p>
              </w:tc>
            </w:tr>
            <w:tr>
              <w:tc>
                <w:tcPr/>
                <w:p>
                  <w:pPr>
                    <w:pStyle w:val="Compact"/>
                    <w:jc w:val="left"/>
                    <w:jc w:val="center"/>
                  </w:pPr>
                  <w:r>
                    <w:t xml:space="preserve">IP</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-14.922</w:t>
                  </w:r>
                </w:p>
              </w:tc>
              <w:tc>
                <w:tcPr/>
                <w:p>
                  <w:pPr>
                    <w:pStyle w:val="Compact"/>
                    <w:jc w:val="right"/>
                    <w:jc w:val="center"/>
                  </w:pPr>
                  <w:r>
                    <w:t xml:space="preserve">-10.319</w:t>
                  </w:r>
                </w:p>
              </w:tc>
              <w:tc>
                <w:tcPr/>
                <w:p>
                  <w:pPr>
                    <w:pStyle w:val="Compact"/>
                    <w:jc w:val="right"/>
                    <w:jc w:val="center"/>
                  </w:pPr>
                  <w:r>
                    <w:t xml:space="preserve">1.129</w:t>
                  </w:r>
                </w:p>
              </w:tc>
              <w:tc>
                <w:tcPr/>
                <w:p>
                  <w:pPr>
                    <w:pStyle w:val="Compact"/>
                    <w:jc w:val="left"/>
                    <w:jc w:val="center"/>
                  </w:pPr>
                  <w:r>
                    <w:t xml:space="preserve">nan</w:t>
                  </w:r>
                </w:p>
              </w:tc>
            </w:tr>
            <w:tr>
              <w:tc>
                <w:tcPr/>
                <w:p>
                  <w:pPr>
                    <w:pStyle w:val="Compact"/>
                    <w:jc w:val="left"/>
                    <w:jc w:val="center"/>
                  </w:pPr>
                  <w:r>
                    <w:t xml:space="preserve">IP</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-3.603</w:t>
                  </w:r>
                </w:p>
              </w:tc>
              <w:tc>
                <w:tcPr/>
                <w:p>
                  <w:pPr>
                    <w:pStyle w:val="Compact"/>
                    <w:jc w:val="right"/>
                    <w:jc w:val="center"/>
                  </w:pPr>
                  <w:r>
                    <w:t xml:space="preserve">-1.128</w:t>
                  </w:r>
                </w:p>
              </w:tc>
              <w:tc>
                <w:tcPr/>
                <w:p>
                  <w:pPr>
                    <w:pStyle w:val="Compact"/>
                    <w:jc w:val="right"/>
                    <w:jc w:val="center"/>
                  </w:pPr>
                  <w:r>
                    <w:t xml:space="preserve">3.751</w:t>
                  </w:r>
                </w:p>
              </w:tc>
              <w:tc>
                <w:tcPr/>
                <w:p>
                  <w:pPr>
                    <w:pStyle w:val="Compact"/>
                    <w:jc w:val="left"/>
                    <w:jc w:val="center"/>
                  </w:pPr>
                  <w:r>
                    <w:t xml:space="preserve">nan</w:t>
                  </w:r>
                </w:p>
              </w:tc>
            </w:tr>
            <w:tr>
              <w:tc>
                <w:tcPr/>
                <w:p>
                  <w:pPr>
                    <w:pStyle w:val="Compact"/>
                    <w:jc w:val="left"/>
                    <w:jc w:val="center"/>
                  </w:pPr>
                  <w:r>
                    <w:t xml:space="preserve">EDL</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-12.6</w:t>
                  </w:r>
                </w:p>
              </w:tc>
              <w:tc>
                <w:tcPr/>
                <w:p>
                  <w:pPr>
                    <w:pStyle w:val="Compact"/>
                    <w:jc w:val="right"/>
                    <w:jc w:val="center"/>
                  </w:pPr>
                  <w:r>
                    <w:t xml:space="preserve">-4.181</w:t>
                  </w:r>
                </w:p>
              </w:tc>
              <w:tc>
                <w:tcPr/>
                <w:p>
                  <w:pPr>
                    <w:pStyle w:val="Compact"/>
                    <w:jc w:val="right"/>
                    <w:jc w:val="center"/>
                  </w:pPr>
                  <w:r>
                    <w:t xml:space="preserve">31.579</w:t>
                  </w:r>
                </w:p>
              </w:tc>
              <w:tc>
                <w:tcPr/>
                <w:p>
                  <w:pPr>
                    <w:pStyle w:val="Compact"/>
                    <w:jc w:val="left"/>
                    <w:jc w:val="center"/>
                  </w:pPr>
                  <w:r>
                    <w:t xml:space="preserve">nan</w:t>
                  </w:r>
                </w:p>
              </w:tc>
            </w:tr>
            <w:tr>
              <w:tc>
                <w:tcPr/>
                <w:p>
                  <w:pPr>
                    <w:pStyle w:val="Compact"/>
                    <w:jc w:val="left"/>
                    <w:jc w:val="center"/>
                  </w:pPr>
                  <w:r>
                    <w:t xml:space="preserve">EDL</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3.324</w:t>
                  </w:r>
                </w:p>
              </w:tc>
              <w:tc>
                <w:tcPr/>
                <w:p>
                  <w:pPr>
                    <w:pStyle w:val="Compact"/>
                    <w:jc w:val="right"/>
                    <w:jc w:val="center"/>
                  </w:pPr>
                  <w:r>
                    <w:t xml:space="preserve">-2.75</w:t>
                  </w:r>
                </w:p>
              </w:tc>
              <w:tc>
                <w:tcPr/>
                <w:p>
                  <w:pPr>
                    <w:pStyle w:val="Compact"/>
                    <w:jc w:val="right"/>
                    <w:jc w:val="center"/>
                  </w:pPr>
                  <w:r>
                    <w:t xml:space="preserve">1.114</w:t>
                  </w:r>
                </w:p>
              </w:tc>
              <w:tc>
                <w:tcPr/>
                <w:p>
                  <w:pPr>
                    <w:pStyle w:val="Compact"/>
                    <w:jc w:val="left"/>
                    <w:jc w:val="center"/>
                  </w:pPr>
                  <w:r>
                    <w:t xml:space="preserve">nan</w:t>
                  </w:r>
                </w:p>
              </w:tc>
            </w:tr>
            <w:tr>
              <w:tc>
                <w:tcPr/>
                <w:p>
                  <w:pPr>
                    <w:pStyle w:val="Compact"/>
                    <w:jc w:val="left"/>
                    <w:jc w:val="center"/>
                  </w:pPr>
                  <w:r>
                    <w:t xml:space="preserve">EDL</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0.622</w:t>
                  </w:r>
                </w:p>
              </w:tc>
              <w:tc>
                <w:tcPr/>
                <w:p>
                  <w:pPr>
                    <w:pStyle w:val="Compact"/>
                    <w:jc w:val="right"/>
                    <w:jc w:val="center"/>
                  </w:pPr>
                  <w:r>
                    <w:t xml:space="preserve">-39.443</w:t>
                  </w:r>
                </w:p>
              </w:tc>
              <w:tc>
                <w:tcPr/>
                <w:p>
                  <w:pPr>
                    <w:pStyle w:val="Compact"/>
                    <w:jc w:val="right"/>
                    <w:jc w:val="center"/>
                  </w:pPr>
                  <w:r>
                    <w:t xml:space="preserve">-9.139</w:t>
                  </w:r>
                </w:p>
              </w:tc>
              <w:tc>
                <w:tcPr/>
                <w:p>
                  <w:pPr>
                    <w:pStyle w:val="Compact"/>
                    <w:jc w:val="left"/>
                    <w:jc w:val="center"/>
                  </w:pPr>
                  <w:r>
                    <w:t xml:space="preserve">nan</w:t>
                  </w:r>
                </w:p>
              </w:tc>
            </w:tr>
            <w:tr>
              <w:tc>
                <w:tcPr/>
                <w:p>
                  <w:pPr>
                    <w:pStyle w:val="Compact"/>
                    <w:jc w:val="left"/>
                    <w:jc w:val="center"/>
                  </w:pPr>
                  <w:r>
                    <w:t xml:space="preserve">EDL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4.347</w:t>
                  </w:r>
                </w:p>
              </w:tc>
              <w:tc>
                <w:tcPr/>
                <w:p>
                  <w:pPr>
                    <w:pStyle w:val="Compact"/>
                    <w:jc w:val="right"/>
                    <w:jc w:val="center"/>
                  </w:pPr>
                  <w:r>
                    <w:t xml:space="preserve">-0.954</w:t>
                  </w:r>
                </w:p>
              </w:tc>
              <w:tc>
                <w:tcPr/>
                <w:p>
                  <w:pPr>
                    <w:pStyle w:val="Compact"/>
                    <w:jc w:val="right"/>
                    <w:jc w:val="center"/>
                  </w:pPr>
                  <w:r>
                    <w:t xml:space="preserve">0.908</w:t>
                  </w:r>
                </w:p>
              </w:tc>
              <w:tc>
                <w:tcPr/>
                <w:p>
                  <w:pPr>
                    <w:pStyle w:val="Compact"/>
                    <w:jc w:val="left"/>
                    <w:jc w:val="center"/>
                  </w:pPr>
                  <w:r>
                    <w:t xml:space="preserve">nan</w:t>
                  </w:r>
                </w:p>
              </w:tc>
            </w:tr>
            <w:tr>
              <w:tc>
                <w:tcPr/>
                <w:p>
                  <w:pPr>
                    <w:pStyle w:val="Compact"/>
                    <w:jc w:val="left"/>
                    <w:jc w:val="center"/>
                  </w:pPr>
                  <w:r>
                    <w:t xml:space="preserve">EDL</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20.581</w:t>
                  </w:r>
                </w:p>
              </w:tc>
              <w:tc>
                <w:tcPr/>
                <w:p>
                  <w:pPr>
                    <w:pStyle w:val="Compact"/>
                    <w:jc w:val="right"/>
                    <w:jc w:val="center"/>
                  </w:pPr>
                  <w:r>
                    <w:t xml:space="preserve">-4.657</w:t>
                  </w:r>
                </w:p>
              </w:tc>
              <w:tc>
                <w:tcPr/>
                <w:p>
                  <w:pPr>
                    <w:pStyle w:val="Compact"/>
                    <w:jc w:val="right"/>
                    <w:jc w:val="center"/>
                  </w:pPr>
                  <w:r>
                    <w:t xml:space="preserve">1.023</w:t>
                  </w:r>
                </w:p>
              </w:tc>
              <w:tc>
                <w:tcPr/>
                <w:p>
                  <w:pPr>
                    <w:pStyle w:val="Compact"/>
                    <w:jc w:val="left"/>
                    <w:jc w:val="center"/>
                  </w:pPr>
                  <w:r>
                    <w:t xml:space="preserve">nan</w:t>
                  </w:r>
                </w:p>
              </w:tc>
            </w:tr>
            <w:tr>
              <w:tc>
                <w:tcPr/>
                <w:p>
                  <w:pPr>
                    <w:pStyle w:val="Compact"/>
                    <w:jc w:val="left"/>
                    <w:jc w:val="center"/>
                  </w:pPr>
                  <w:r>
                    <w:t xml:space="preserve">LG</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-12.9</w:t>
                  </w:r>
                </w:p>
              </w:tc>
              <w:tc>
                <w:tcPr/>
                <w:p>
                  <w:pPr>
                    <w:pStyle w:val="Compact"/>
                    <w:jc w:val="right"/>
                    <w:jc w:val="center"/>
                  </w:pPr>
                  <w:r>
                    <w:t xml:space="preserve">-3.824</w:t>
                  </w:r>
                </w:p>
              </w:tc>
              <w:tc>
                <w:tcPr/>
                <w:p>
                  <w:pPr>
                    <w:pStyle w:val="Compact"/>
                    <w:jc w:val="right"/>
                    <w:jc w:val="center"/>
                  </w:pPr>
                  <w:r>
                    <w:t xml:space="preserve">29.6</w:t>
                  </w:r>
                </w:p>
              </w:tc>
              <w:tc>
                <w:tcPr/>
                <w:p>
                  <w:pPr>
                    <w:pStyle w:val="Compact"/>
                    <w:jc w:val="left"/>
                    <w:jc w:val="center"/>
                  </w:pPr>
                  <w:r>
                    <w:t xml:space="preserve">nan</w:t>
                  </w:r>
                </w:p>
              </w:tc>
            </w:tr>
            <w:tr>
              <w:tc>
                <w:tcPr/>
                <w:p>
                  <w:pPr>
                    <w:pStyle w:val="Compact"/>
                    <w:jc w:val="left"/>
                    <w:jc w:val="center"/>
                  </w:pPr>
                  <w:r>
                    <w:t xml:space="preserve">LG</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3.517</w:t>
                  </w:r>
                </w:p>
              </w:tc>
              <w:tc>
                <w:tcPr/>
                <w:p>
                  <w:pPr>
                    <w:pStyle w:val="Compact"/>
                    <w:jc w:val="right"/>
                    <w:jc w:val="center"/>
                  </w:pPr>
                  <w:r>
                    <w:t xml:space="preserve">-6.121</w:t>
                  </w:r>
                </w:p>
              </w:tc>
              <w:tc>
                <w:tcPr/>
                <w:p>
                  <w:pPr>
                    <w:pStyle w:val="Compact"/>
                    <w:jc w:val="right"/>
                    <w:jc w:val="center"/>
                  </w:pPr>
                  <w:r>
                    <w:t xml:space="preserve">3.926</w:t>
                  </w:r>
                </w:p>
              </w:tc>
              <w:tc>
                <w:tcPr/>
                <w:p>
                  <w:pPr>
                    <w:pStyle w:val="Compact"/>
                    <w:jc w:val="left"/>
                    <w:jc w:val="center"/>
                  </w:pPr>
                  <w:r>
                    <w:t xml:space="preserve">nan</w:t>
                  </w:r>
                </w:p>
              </w:tc>
            </w:tr>
            <w:tr>
              <w:tc>
                <w:tcPr/>
                <w:p>
                  <w:pPr>
                    <w:pStyle w:val="Compact"/>
                    <w:jc w:val="left"/>
                    <w:jc w:val="center"/>
                  </w:pPr>
                  <w:r>
                    <w:t xml:space="preserve">LG</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0.963</w:t>
                  </w:r>
                </w:p>
              </w:tc>
              <w:tc>
                <w:tcPr/>
                <w:p>
                  <w:pPr>
                    <w:pStyle w:val="Compact"/>
                    <w:jc w:val="right"/>
                    <w:jc w:val="center"/>
                  </w:pPr>
                  <w:r>
                    <w:t xml:space="preserve">-41.618</w:t>
                  </w:r>
                </w:p>
              </w:tc>
              <w:tc>
                <w:tcPr/>
                <w:p>
                  <w:pPr>
                    <w:pStyle w:val="Compact"/>
                    <w:jc w:val="right"/>
                    <w:jc w:val="center"/>
                  </w:pPr>
                  <w:r>
                    <w:t xml:space="preserve">-6.197</w:t>
                  </w:r>
                </w:p>
              </w:tc>
              <w:tc>
                <w:tcPr/>
                <w:p>
                  <w:pPr>
                    <w:pStyle w:val="Compact"/>
                    <w:jc w:val="left"/>
                    <w:jc w:val="center"/>
                  </w:pPr>
                  <w:r>
                    <w:t xml:space="preserve">nan</w:t>
                  </w:r>
                </w:p>
              </w:tc>
            </w:tr>
            <w:tr>
              <w:tc>
                <w:tcPr/>
                <w:p>
                  <w:pPr>
                    <w:pStyle w:val="Compact"/>
                    <w:jc w:val="left"/>
                    <w:jc w:val="center"/>
                  </w:pPr>
                  <w:r>
                    <w:t xml:space="preserve">LG</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-4.147</w:t>
                  </w:r>
                </w:p>
              </w:tc>
              <w:tc>
                <w:tcPr/>
                <w:p>
                  <w:pPr>
                    <w:pStyle w:val="Compact"/>
                    <w:jc w:val="right"/>
                    <w:jc w:val="center"/>
                  </w:pPr>
                  <w:r>
                    <w:t xml:space="preserve">-1.234</w:t>
                  </w:r>
                </w:p>
              </w:tc>
              <w:tc>
                <w:tcPr/>
                <w:p>
                  <w:pPr>
                    <w:pStyle w:val="Compact"/>
                    <w:jc w:val="right"/>
                    <w:jc w:val="center"/>
                  </w:pPr>
                  <w:r>
                    <w:t xml:space="preserve">1.309</w:t>
                  </w:r>
                </w:p>
              </w:tc>
              <w:tc>
                <w:tcPr/>
                <w:p>
                  <w:pPr>
                    <w:pStyle w:val="Compact"/>
                    <w:jc w:val="left"/>
                    <w:jc w:val="center"/>
                  </w:pPr>
                  <w:r>
                    <w:t xml:space="preserve">nan</w:t>
                  </w:r>
                </w:p>
              </w:tc>
            </w:tr>
            <w:tr>
              <w:tc>
                <w:tcPr/>
                <w:p>
                  <w:pPr>
                    <w:pStyle w:val="Compact"/>
                    <w:jc w:val="left"/>
                    <w:jc w:val="center"/>
                  </w:pPr>
                  <w:r>
                    <w:t xml:space="preserve">LG</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-3.09</w:t>
                  </w:r>
                </w:p>
              </w:tc>
              <w:tc>
                <w:tcPr/>
                <w:p>
                  <w:pPr>
                    <w:pStyle w:val="Compact"/>
                    <w:jc w:val="right"/>
                    <w:jc w:val="center"/>
                  </w:pPr>
                  <w:r>
                    <w:t xml:space="preserve">-2.356</w:t>
                  </w:r>
                </w:p>
              </w:tc>
              <w:tc>
                <w:tcPr/>
                <w:p>
                  <w:pPr>
                    <w:pStyle w:val="Compact"/>
                    <w:jc w:val="right"/>
                    <w:jc w:val="center"/>
                  </w:pPr>
                  <w:r>
                    <w:t xml:space="preserve">1.447</w:t>
                  </w:r>
                </w:p>
              </w:tc>
              <w:tc>
                <w:tcPr/>
                <w:p>
                  <w:pPr>
                    <w:pStyle w:val="Compact"/>
                    <w:jc w:val="left"/>
                    <w:jc w:val="center"/>
                  </w:pPr>
                  <w:r>
                    <w:t xml:space="preserve">nan</w:t>
                  </w:r>
                </w:p>
              </w:tc>
            </w:tr>
            <w:tr>
              <w:tc>
                <w:tcPr/>
                <w:p>
                  <w:pPr>
                    <w:pStyle w:val="Compact"/>
                    <w:jc w:val="left"/>
                    <w:jc w:val="center"/>
                  </w:pPr>
                  <w:r>
                    <w:t xml:space="preserve">FDL</w:t>
                  </w:r>
                </w:p>
              </w:tc>
              <w:tc>
                <w:tcPr/>
                <w:p>
                  <w:pPr>
                    <w:pStyle w:val="Compact"/>
                    <w:jc w:val="left"/>
                    <w:jc w:val="center"/>
                  </w:pPr>
                  <w:r>
                    <w:t xml:space="preserve">Origin</w:t>
                  </w:r>
                </w:p>
              </w:tc>
              <w:tc>
                <w:tcPr/>
                <w:p>
                  <w:pPr>
                    <w:pStyle w:val="Compact"/>
                    <w:jc w:val="left"/>
                    <w:jc w:val="center"/>
                  </w:pPr>
                  <w:r>
                    <w:t xml:space="preserve">Tibia</w:t>
                  </w:r>
                </w:p>
              </w:tc>
              <w:tc>
                <w:tcPr/>
                <w:p>
                  <w:pPr>
                    <w:pStyle w:val="Compact"/>
                    <w:jc w:val="right"/>
                    <w:jc w:val="center"/>
                  </w:pPr>
                  <w:r>
                    <w:t xml:space="preserve">-0.7</w:t>
                  </w:r>
                </w:p>
              </w:tc>
              <w:tc>
                <w:tcPr/>
                <w:p>
                  <w:pPr>
                    <w:pStyle w:val="Compact"/>
                    <w:jc w:val="right"/>
                    <w:jc w:val="center"/>
                  </w:pPr>
                  <w:r>
                    <w:t xml:space="preserve">-6.64</w:t>
                  </w:r>
                </w:p>
              </w:tc>
              <w:tc>
                <w:tcPr/>
                <w:p>
                  <w:pPr>
                    <w:pStyle w:val="Compact"/>
                    <w:jc w:val="right"/>
                    <w:jc w:val="center"/>
                  </w:pPr>
                  <w:r>
                    <w:t xml:space="preserve">2.559</w:t>
                  </w:r>
                </w:p>
              </w:tc>
              <w:tc>
                <w:tcPr/>
                <w:p>
                  <w:pPr>
                    <w:pStyle w:val="Compact"/>
                    <w:jc w:val="left"/>
                    <w:jc w:val="center"/>
                  </w:pPr>
                  <w:r>
                    <w:t xml:space="preserve">nan</w:t>
                  </w:r>
                </w:p>
              </w:tc>
            </w:tr>
            <w:tr>
              <w:tc>
                <w:tcPr/>
                <w:p>
                  <w:pPr>
                    <w:pStyle w:val="Compact"/>
                    <w:jc w:val="left"/>
                    <w:jc w:val="center"/>
                  </w:pPr>
                  <w:r>
                    <w:t xml:space="preserve">FDL</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-1.135</w:t>
                  </w:r>
                </w:p>
              </w:tc>
              <w:tc>
                <w:tcPr/>
                <w:p>
                  <w:pPr>
                    <w:pStyle w:val="Compact"/>
                    <w:jc w:val="right"/>
                    <w:jc w:val="center"/>
                  </w:pPr>
                  <w:r>
                    <w:t xml:space="preserve">-41.666</w:t>
                  </w:r>
                </w:p>
              </w:tc>
              <w:tc>
                <w:tcPr/>
                <w:p>
                  <w:pPr>
                    <w:pStyle w:val="Compact"/>
                    <w:jc w:val="right"/>
                    <w:jc w:val="center"/>
                  </w:pPr>
                  <w:r>
                    <w:t xml:space="preserve">-6.5</w:t>
                  </w:r>
                </w:p>
              </w:tc>
              <w:tc>
                <w:tcPr/>
                <w:p>
                  <w:pPr>
                    <w:pStyle w:val="Compact"/>
                    <w:jc w:val="left"/>
                    <w:jc w:val="center"/>
                  </w:pPr>
                  <w:r>
                    <w:t xml:space="preserve">nan</w:t>
                  </w:r>
                </w:p>
              </w:tc>
            </w:tr>
            <w:tr>
              <w:tc>
                <w:tcPr/>
                <w:p>
                  <w:pPr>
                    <w:pStyle w:val="Compact"/>
                    <w:jc w:val="left"/>
                    <w:jc w:val="center"/>
                  </w:pPr>
                  <w:r>
                    <w:t xml:space="preserve">FDL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-4.207</w:t>
                  </w:r>
                </w:p>
              </w:tc>
              <w:tc>
                <w:tcPr/>
                <w:p>
                  <w:pPr>
                    <w:pStyle w:val="Compact"/>
                    <w:jc w:val="right"/>
                    <w:jc w:val="center"/>
                  </w:pPr>
                  <w:r>
                    <w:t xml:space="preserve">-1.497</w:t>
                  </w:r>
                </w:p>
              </w:tc>
              <w:tc>
                <w:tcPr/>
                <w:p>
                  <w:pPr>
                    <w:pStyle w:val="Compact"/>
                    <w:jc w:val="right"/>
                    <w:jc w:val="center"/>
                  </w:pPr>
                  <w:r>
                    <w:t xml:space="preserve">-0.06603</w:t>
                  </w:r>
                </w:p>
              </w:tc>
              <w:tc>
                <w:tcPr/>
                <w:p>
                  <w:pPr>
                    <w:pStyle w:val="Compact"/>
                    <w:jc w:val="left"/>
                    <w:jc w:val="center"/>
                  </w:pPr>
                  <w:r>
                    <w:t xml:space="preserve">nan</w:t>
                  </w:r>
                </w:p>
              </w:tc>
            </w:tr>
            <w:tr>
              <w:tc>
                <w:tcPr/>
                <w:p>
                  <w:pPr>
                    <w:pStyle w:val="Compact"/>
                    <w:jc w:val="left"/>
                    <w:jc w:val="center"/>
                  </w:pPr>
                  <w:r>
                    <w:t xml:space="preserve">FDL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-1.484</w:t>
                  </w:r>
                </w:p>
              </w:tc>
              <w:tc>
                <w:tcPr/>
                <w:p>
                  <w:pPr>
                    <w:pStyle w:val="Compact"/>
                    <w:jc w:val="right"/>
                    <w:jc w:val="center"/>
                  </w:pPr>
                  <w:r>
                    <w:t xml:space="preserve">-2.881</w:t>
                  </w:r>
                </w:p>
              </w:tc>
              <w:tc>
                <w:tcPr/>
                <w:p>
                  <w:pPr>
                    <w:pStyle w:val="Compact"/>
                    <w:jc w:val="right"/>
                    <w:jc w:val="center"/>
                  </w:pPr>
                  <w:r>
                    <w:t xml:space="preserve">0.159</w:t>
                  </w:r>
                </w:p>
              </w:tc>
              <w:tc>
                <w:tcPr/>
                <w:p>
                  <w:pPr>
                    <w:pStyle w:val="Compact"/>
                    <w:jc w:val="left"/>
                    <w:jc w:val="center"/>
                  </w:pPr>
                  <w:r>
                    <w:t xml:space="preserve">nan</w:t>
                  </w:r>
                </w:p>
              </w:tc>
            </w:tr>
            <w:tr>
              <w:tc>
                <w:tcPr/>
                <w:p>
                  <w:pPr>
                    <w:pStyle w:val="Compact"/>
                    <w:jc w:val="left"/>
                    <w:jc w:val="center"/>
                  </w:pPr>
                  <w:r>
                    <w:t xml:space="preserve">FDL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2.079</w:t>
                  </w:r>
                </w:p>
              </w:tc>
              <w:tc>
                <w:tcPr/>
                <w:p>
                  <w:pPr>
                    <w:pStyle w:val="Compact"/>
                    <w:jc w:val="right"/>
                    <w:jc w:val="center"/>
                  </w:pPr>
                  <w:r>
                    <w:t xml:space="preserve">-4.229</w:t>
                  </w:r>
                </w:p>
              </w:tc>
              <w:tc>
                <w:tcPr/>
                <w:p>
                  <w:pPr>
                    <w:pStyle w:val="Compact"/>
                    <w:jc w:val="right"/>
                    <w:jc w:val="center"/>
                  </w:pPr>
                  <w:r>
                    <w:t xml:space="preserve">-0.263</w:t>
                  </w:r>
                </w:p>
              </w:tc>
              <w:tc>
                <w:tcPr/>
                <w:p>
                  <w:pPr>
                    <w:pStyle w:val="Compact"/>
                    <w:jc w:val="left"/>
                    <w:jc w:val="center"/>
                  </w:pPr>
                  <w:r>
                    <w:t xml:space="preserve">nan</w:t>
                  </w:r>
                </w:p>
              </w:tc>
            </w:tr>
            <w:tr>
              <w:tc>
                <w:tcPr/>
                <w:p>
                  <w:pPr>
                    <w:pStyle w:val="Compact"/>
                    <w:jc w:val="left"/>
                    <w:jc w:val="center"/>
                  </w:pPr>
                  <w:r>
                    <w:t xml:space="preserve">FDL</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19.248</w:t>
                  </w:r>
                </w:p>
              </w:tc>
              <w:tc>
                <w:tcPr/>
                <w:p>
                  <w:pPr>
                    <w:pStyle w:val="Compact"/>
                    <w:jc w:val="right"/>
                    <w:jc w:val="center"/>
                  </w:pPr>
                  <w:r>
                    <w:t xml:space="preserve">-6.962</w:t>
                  </w:r>
                </w:p>
              </w:tc>
              <w:tc>
                <w:tcPr/>
                <w:p>
                  <w:pPr>
                    <w:pStyle w:val="Compact"/>
                    <w:jc w:val="right"/>
                    <w:jc w:val="center"/>
                  </w:pPr>
                  <w:r>
                    <w:t xml:space="preserve">1.465</w:t>
                  </w:r>
                </w:p>
              </w:tc>
              <w:tc>
                <w:tcPr/>
                <w:p>
                  <w:pPr>
                    <w:pStyle w:val="Compact"/>
                    <w:jc w:val="left"/>
                    <w:jc w:val="center"/>
                  </w:pPr>
                  <w:r>
                    <w:t xml:space="preserve">nan</w:t>
                  </w:r>
                </w:p>
              </w:tc>
            </w:tr>
            <w:tr>
              <w:tc>
                <w:tcPr/>
                <w:p>
                  <w:pPr>
                    <w:pStyle w:val="Compact"/>
                    <w:jc w:val="left"/>
                    <w:jc w:val="center"/>
                  </w:pPr>
                  <w:r>
                    <w:t xml:space="preserve">FHL</w:t>
                  </w:r>
                </w:p>
              </w:tc>
              <w:tc>
                <w:tcPr/>
                <w:p>
                  <w:pPr>
                    <w:pStyle w:val="Compact"/>
                    <w:jc w:val="left"/>
                    <w:jc w:val="center"/>
                  </w:pPr>
                  <w:r>
                    <w:t xml:space="preserve">Origin</w:t>
                  </w:r>
                </w:p>
              </w:tc>
              <w:tc>
                <w:tcPr/>
                <w:p>
                  <w:pPr>
                    <w:pStyle w:val="Compact"/>
                    <w:jc w:val="left"/>
                    <w:jc w:val="center"/>
                  </w:pPr>
                  <w:r>
                    <w:t xml:space="preserve">Tibia</w:t>
                  </w:r>
                </w:p>
              </w:tc>
              <w:tc>
                <w:tcPr/>
                <w:p>
                  <w:pPr>
                    <w:pStyle w:val="Compact"/>
                    <w:jc w:val="right"/>
                    <w:jc w:val="center"/>
                  </w:pPr>
                  <w:r>
                    <w:t xml:space="preserve">-1.427</w:t>
                  </w:r>
                </w:p>
              </w:tc>
              <w:tc>
                <w:tcPr/>
                <w:p>
                  <w:pPr>
                    <w:pStyle w:val="Compact"/>
                    <w:jc w:val="right"/>
                    <w:jc w:val="center"/>
                  </w:pPr>
                  <w:r>
                    <w:t xml:space="preserve">-8.55</w:t>
                  </w:r>
                </w:p>
              </w:tc>
              <w:tc>
                <w:tcPr/>
                <w:p>
                  <w:pPr>
                    <w:pStyle w:val="Compact"/>
                    <w:jc w:val="right"/>
                    <w:jc w:val="center"/>
                  </w:pPr>
                  <w:r>
                    <w:t xml:space="preserve">0.486</w:t>
                  </w:r>
                </w:p>
              </w:tc>
              <w:tc>
                <w:tcPr/>
                <w:p>
                  <w:pPr>
                    <w:pStyle w:val="Compact"/>
                    <w:jc w:val="left"/>
                    <w:jc w:val="center"/>
                  </w:pPr>
                  <w:r>
                    <w:t xml:space="preserve">nan</w:t>
                  </w:r>
                </w:p>
              </w:tc>
            </w:tr>
            <w:tr>
              <w:tc>
                <w:tcPr/>
                <w:p>
                  <w:pPr>
                    <w:pStyle w:val="Compact"/>
                    <w:jc w:val="left"/>
                    <w:jc w:val="center"/>
                  </w:pPr>
                  <w:r>
                    <w:t xml:space="preserve">FHL</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-1.952</w:t>
                  </w:r>
                </w:p>
              </w:tc>
              <w:tc>
                <w:tcPr/>
                <w:p>
                  <w:pPr>
                    <w:pStyle w:val="Compact"/>
                    <w:jc w:val="right"/>
                    <w:jc w:val="center"/>
                  </w:pPr>
                  <w:r>
                    <w:t xml:space="preserve">-41.859</w:t>
                  </w:r>
                </w:p>
              </w:tc>
              <w:tc>
                <w:tcPr/>
                <w:p>
                  <w:pPr>
                    <w:pStyle w:val="Compact"/>
                    <w:jc w:val="right"/>
                    <w:jc w:val="center"/>
                  </w:pPr>
                  <w:r>
                    <w:t xml:space="preserve">-6.38</w:t>
                  </w:r>
                </w:p>
              </w:tc>
              <w:tc>
                <w:tcPr/>
                <w:p>
                  <w:pPr>
                    <w:pStyle w:val="Compact"/>
                    <w:jc w:val="left"/>
                    <w:jc w:val="center"/>
                  </w:pPr>
                  <w:r>
                    <w:t xml:space="preserve">nan</w:t>
                  </w:r>
                </w:p>
              </w:tc>
            </w:tr>
            <w:tr>
              <w:tc>
                <w:tcPr/>
                <w:p>
                  <w:pPr>
                    <w:pStyle w:val="Compact"/>
                    <w:jc w:val="left"/>
                    <w:jc w:val="center"/>
                  </w:pPr>
                  <w:r>
                    <w:t xml:space="preserve">FHL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-3.882</w:t>
                  </w:r>
                </w:p>
              </w:tc>
              <w:tc>
                <w:tcPr/>
                <w:p>
                  <w:pPr>
                    <w:pStyle w:val="Compact"/>
                    <w:jc w:val="right"/>
                    <w:jc w:val="center"/>
                  </w:pPr>
                  <w:r>
                    <w:t xml:space="preserve">-1.681</w:t>
                  </w:r>
                </w:p>
              </w:tc>
              <w:tc>
                <w:tcPr/>
                <w:p>
                  <w:pPr>
                    <w:pStyle w:val="Compact"/>
                    <w:jc w:val="right"/>
                    <w:jc w:val="center"/>
                  </w:pPr>
                  <w:r>
                    <w:t xml:space="preserve">-0.496</w:t>
                  </w:r>
                </w:p>
              </w:tc>
              <w:tc>
                <w:tcPr/>
                <w:p>
                  <w:pPr>
                    <w:pStyle w:val="Compact"/>
                    <w:jc w:val="left"/>
                    <w:jc w:val="center"/>
                  </w:pPr>
                  <w:r>
                    <w:t xml:space="preserve">nan</w:t>
                  </w:r>
                </w:p>
              </w:tc>
            </w:tr>
            <w:tr>
              <w:tc>
                <w:tcPr/>
                <w:p>
                  <w:pPr>
                    <w:pStyle w:val="Compact"/>
                    <w:jc w:val="left"/>
                    <w:jc w:val="center"/>
                  </w:pPr>
                  <w:r>
                    <w:t xml:space="preserve">FHL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-1.153</w:t>
                  </w:r>
                </w:p>
              </w:tc>
              <w:tc>
                <w:tcPr/>
                <w:p>
                  <w:pPr>
                    <w:pStyle w:val="Compact"/>
                    <w:jc w:val="right"/>
                    <w:jc w:val="center"/>
                  </w:pPr>
                  <w:r>
                    <w:t xml:space="preserve">-3.211</w:t>
                  </w:r>
                </w:p>
              </w:tc>
              <w:tc>
                <w:tcPr/>
                <w:p>
                  <w:pPr>
                    <w:pStyle w:val="Compact"/>
                    <w:jc w:val="right"/>
                    <w:jc w:val="center"/>
                  </w:pPr>
                  <w:r>
                    <w:t xml:space="preserve">-0.656</w:t>
                  </w:r>
                </w:p>
              </w:tc>
              <w:tc>
                <w:tcPr/>
                <w:p>
                  <w:pPr>
                    <w:pStyle w:val="Compact"/>
                    <w:jc w:val="left"/>
                    <w:jc w:val="center"/>
                  </w:pPr>
                  <w:r>
                    <w:t xml:space="preserve">nan</w:t>
                  </w:r>
                </w:p>
              </w:tc>
            </w:tr>
            <w:tr>
              <w:tc>
                <w:tcPr/>
                <w:p>
                  <w:pPr>
                    <w:pStyle w:val="Compact"/>
                    <w:jc w:val="left"/>
                    <w:jc w:val="center"/>
                  </w:pPr>
                  <w:r>
                    <w:t xml:space="preserve">FHL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2.963</w:t>
                  </w:r>
                </w:p>
              </w:tc>
              <w:tc>
                <w:tcPr/>
                <w:p>
                  <w:pPr>
                    <w:pStyle w:val="Compact"/>
                    <w:jc w:val="right"/>
                    <w:jc w:val="center"/>
                  </w:pPr>
                  <w:r>
                    <w:t xml:space="preserve">-4.29</w:t>
                  </w:r>
                </w:p>
              </w:tc>
              <w:tc>
                <w:tcPr/>
                <w:p>
                  <w:pPr>
                    <w:pStyle w:val="Compact"/>
                    <w:jc w:val="right"/>
                    <w:jc w:val="center"/>
                  </w:pPr>
                  <w:r>
                    <w:t xml:space="preserve">-0.567</w:t>
                  </w:r>
                </w:p>
              </w:tc>
              <w:tc>
                <w:tcPr/>
                <w:p>
                  <w:pPr>
                    <w:pStyle w:val="Compact"/>
                    <w:jc w:val="left"/>
                    <w:jc w:val="center"/>
                  </w:pPr>
                  <w:r>
                    <w:t xml:space="preserve">nan</w:t>
                  </w:r>
                </w:p>
              </w:tc>
            </w:tr>
            <w:tr>
              <w:tc>
                <w:tcPr/>
                <w:p>
                  <w:pPr>
                    <w:pStyle w:val="Compact"/>
                    <w:jc w:val="left"/>
                    <w:jc w:val="center"/>
                  </w:pPr>
                  <w:r>
                    <w:t xml:space="preserve">FHL</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19.135</w:t>
                  </w:r>
                </w:p>
              </w:tc>
              <w:tc>
                <w:tcPr/>
                <w:p>
                  <w:pPr>
                    <w:pStyle w:val="Compact"/>
                    <w:jc w:val="right"/>
                    <w:jc w:val="center"/>
                  </w:pPr>
                  <w:r>
                    <w:t xml:space="preserve">-7.09</w:t>
                  </w:r>
                </w:p>
              </w:tc>
              <w:tc>
                <w:tcPr/>
                <w:p>
                  <w:pPr>
                    <w:pStyle w:val="Compact"/>
                    <w:jc w:val="right"/>
                    <w:jc w:val="center"/>
                  </w:pPr>
                  <w:r>
                    <w:t xml:space="preserve">-1.929</w:t>
                  </w:r>
                </w:p>
              </w:tc>
              <w:tc>
                <w:tcPr/>
                <w:p>
                  <w:pPr>
                    <w:pStyle w:val="Compact"/>
                    <w:jc w:val="left"/>
                    <w:jc w:val="center"/>
                  </w:pPr>
                  <w:r>
                    <w:t xml:space="preserve">nan</w:t>
                  </w:r>
                </w:p>
              </w:tc>
            </w:tr>
            <w:tr>
              <w:tc>
                <w:tcPr/>
                <w:p>
                  <w:pPr>
                    <w:pStyle w:val="Compact"/>
                    <w:jc w:val="left"/>
                    <w:jc w:val="center"/>
                  </w:pPr>
                  <w:r>
                    <w:t xml:space="preserve">MG</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-5.6</w:t>
                  </w:r>
                </w:p>
              </w:tc>
              <w:tc>
                <w:tcPr/>
                <w:p>
                  <w:pPr>
                    <w:pStyle w:val="Compact"/>
                    <w:jc w:val="right"/>
                    <w:jc w:val="center"/>
                  </w:pPr>
                  <w:r>
                    <w:t xml:space="preserve">-2.026</w:t>
                  </w:r>
                </w:p>
              </w:tc>
              <w:tc>
                <w:tcPr/>
                <w:p>
                  <w:pPr>
                    <w:pStyle w:val="Compact"/>
                    <w:jc w:val="right"/>
                    <w:jc w:val="center"/>
                  </w:pPr>
                  <w:r>
                    <w:t xml:space="preserve">32.495</w:t>
                  </w:r>
                </w:p>
              </w:tc>
              <w:tc>
                <w:tcPr/>
                <w:p>
                  <w:pPr>
                    <w:pStyle w:val="Compact"/>
                    <w:jc w:val="left"/>
                    <w:jc w:val="center"/>
                  </w:pPr>
                  <w:r>
                    <w:t xml:space="preserve">nan</w:t>
                  </w:r>
                </w:p>
              </w:tc>
            </w:tr>
            <w:tr>
              <w:tc>
                <w:tcPr/>
                <w:p>
                  <w:pPr>
                    <w:pStyle w:val="Compact"/>
                    <w:jc w:val="left"/>
                    <w:jc w:val="center"/>
                  </w:pPr>
                  <w:r>
                    <w:t xml:space="preserve">MG</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-4.896</w:t>
                  </w:r>
                </w:p>
              </w:tc>
              <w:tc>
                <w:tcPr/>
                <w:p>
                  <w:pPr>
                    <w:pStyle w:val="Compact"/>
                    <w:jc w:val="right"/>
                    <w:jc w:val="center"/>
                  </w:pPr>
                  <w:r>
                    <w:t xml:space="preserve">-6.148</w:t>
                  </w:r>
                </w:p>
              </w:tc>
              <w:tc>
                <w:tcPr/>
                <w:p>
                  <w:pPr>
                    <w:pStyle w:val="Compact"/>
                    <w:jc w:val="right"/>
                    <w:jc w:val="center"/>
                  </w:pPr>
                  <w:r>
                    <w:t xml:space="preserve">1.111</w:t>
                  </w:r>
                </w:p>
              </w:tc>
              <w:tc>
                <w:tcPr/>
                <w:p>
                  <w:pPr>
                    <w:pStyle w:val="Compact"/>
                    <w:jc w:val="left"/>
                    <w:jc w:val="center"/>
                  </w:pPr>
                  <w:r>
                    <w:t xml:space="preserve">nan</w:t>
                  </w:r>
                </w:p>
              </w:tc>
            </w:tr>
            <w:tr>
              <w:tc>
                <w:tcPr/>
                <w:p>
                  <w:pPr>
                    <w:pStyle w:val="Compact"/>
                    <w:jc w:val="left"/>
                    <w:jc w:val="center"/>
                  </w:pPr>
                  <w:r>
                    <w:t xml:space="preserve">MG</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-2.257</w:t>
                  </w:r>
                </w:p>
              </w:tc>
              <w:tc>
                <w:tcPr/>
                <w:p>
                  <w:pPr>
                    <w:pStyle w:val="Compact"/>
                    <w:jc w:val="right"/>
                    <w:jc w:val="center"/>
                  </w:pPr>
                  <w:r>
                    <w:t xml:space="preserve">-42.328</w:t>
                  </w:r>
                </w:p>
              </w:tc>
              <w:tc>
                <w:tcPr/>
                <w:p>
                  <w:pPr>
                    <w:pStyle w:val="Compact"/>
                    <w:jc w:val="right"/>
                    <w:jc w:val="center"/>
                  </w:pPr>
                  <w:r>
                    <w:t xml:space="preserve">-6.557</w:t>
                  </w:r>
                </w:p>
              </w:tc>
              <w:tc>
                <w:tcPr/>
                <w:p>
                  <w:pPr>
                    <w:pStyle w:val="Compact"/>
                    <w:jc w:val="left"/>
                    <w:jc w:val="center"/>
                  </w:pPr>
                  <w:r>
                    <w:t xml:space="preserve">nan</w:t>
                  </w:r>
                </w:p>
              </w:tc>
            </w:tr>
            <w:tr>
              <w:tc>
                <w:tcPr/>
                <w:p>
                  <w:pPr>
                    <w:pStyle w:val="Compact"/>
                    <w:jc w:val="left"/>
                    <w:jc w:val="center"/>
                  </w:pPr>
                  <w:r>
                    <w:t xml:space="preserve">MG</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-3.545</w:t>
                  </w:r>
                </w:p>
              </w:tc>
              <w:tc>
                <w:tcPr/>
                <w:p>
                  <w:pPr>
                    <w:pStyle w:val="Compact"/>
                    <w:jc w:val="right"/>
                    <w:jc w:val="center"/>
                  </w:pPr>
                  <w:r>
                    <w:t xml:space="preserve">-1.398</w:t>
                  </w:r>
                </w:p>
              </w:tc>
              <w:tc>
                <w:tcPr/>
                <w:p>
                  <w:pPr>
                    <w:pStyle w:val="Compact"/>
                    <w:jc w:val="right"/>
                    <w:jc w:val="center"/>
                  </w:pPr>
                  <w:r>
                    <w:t xml:space="preserve">-0.546</w:t>
                  </w:r>
                </w:p>
              </w:tc>
              <w:tc>
                <w:tcPr/>
                <w:p>
                  <w:pPr>
                    <w:pStyle w:val="Compact"/>
                    <w:jc w:val="left"/>
                    <w:jc w:val="center"/>
                  </w:pPr>
                  <w:r>
                    <w:t xml:space="preserve">nan</w:t>
                  </w:r>
                </w:p>
              </w:tc>
            </w:tr>
            <w:tr>
              <w:tc>
                <w:tcPr/>
                <w:p>
                  <w:pPr>
                    <w:pStyle w:val="Compact"/>
                    <w:jc w:val="left"/>
                    <w:jc w:val="center"/>
                  </w:pPr>
                  <w:r>
                    <w:t xml:space="preserve">MG</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-3.158</w:t>
                  </w:r>
                </w:p>
              </w:tc>
              <w:tc>
                <w:tcPr/>
                <w:p>
                  <w:pPr>
                    <w:pStyle w:val="Compact"/>
                    <w:jc w:val="right"/>
                    <w:jc w:val="center"/>
                  </w:pPr>
                  <w:r>
                    <w:t xml:space="preserve">-2.639</w:t>
                  </w:r>
                </w:p>
              </w:tc>
              <w:tc>
                <w:tcPr/>
                <w:p>
                  <w:pPr>
                    <w:pStyle w:val="Compact"/>
                    <w:jc w:val="right"/>
                    <w:jc w:val="center"/>
                  </w:pPr>
                  <w:r>
                    <w:t xml:space="preserve">0.201</w:t>
                  </w:r>
                </w:p>
              </w:tc>
              <w:tc>
                <w:tcPr/>
                <w:p>
                  <w:pPr>
                    <w:pStyle w:val="Compact"/>
                    <w:jc w:val="left"/>
                    <w:jc w:val="center"/>
                  </w:pPr>
                  <w:r>
                    <w:t xml:space="preserve">nan</w:t>
                  </w:r>
                </w:p>
              </w:tc>
            </w:tr>
            <w:tr>
              <w:tc>
                <w:tcPr/>
                <w:p>
                  <w:pPr>
                    <w:pStyle w:val="Compact"/>
                    <w:jc w:val="left"/>
                    <w:jc w:val="center"/>
                  </w:pPr>
                  <w:r>
                    <w:t xml:space="preserve">Per</w:t>
                  </w:r>
                </w:p>
              </w:tc>
              <w:tc>
                <w:tcPr/>
                <w:p>
                  <w:pPr>
                    <w:pStyle w:val="Compact"/>
                    <w:jc w:val="left"/>
                    <w:jc w:val="center"/>
                  </w:pPr>
                  <w:r>
                    <w:t xml:space="preserve">Origin</w:t>
                  </w:r>
                </w:p>
              </w:tc>
              <w:tc>
                <w:tcPr/>
                <w:p>
                  <w:pPr>
                    <w:pStyle w:val="Compact"/>
                    <w:jc w:val="left"/>
                    <w:jc w:val="center"/>
                  </w:pPr>
                  <w:r>
                    <w:t xml:space="preserve">Tibia</w:t>
                  </w:r>
                </w:p>
              </w:tc>
              <w:tc>
                <w:tcPr/>
                <w:p>
                  <w:pPr>
                    <w:pStyle w:val="Compact"/>
                    <w:jc w:val="right"/>
                    <w:jc w:val="center"/>
                  </w:pPr>
                  <w:r>
                    <w:t xml:space="preserve">3.491</w:t>
                  </w:r>
                </w:p>
              </w:tc>
              <w:tc>
                <w:tcPr/>
                <w:p>
                  <w:pPr>
                    <w:pStyle w:val="Compact"/>
                    <w:jc w:val="right"/>
                    <w:jc w:val="center"/>
                  </w:pPr>
                  <w:r>
                    <w:t xml:space="preserve">-5.378</w:t>
                  </w:r>
                </w:p>
              </w:tc>
              <w:tc>
                <w:tcPr/>
                <w:p>
                  <w:pPr>
                    <w:pStyle w:val="Compact"/>
                    <w:jc w:val="right"/>
                    <w:jc w:val="center"/>
                  </w:pPr>
                  <w:r>
                    <w:t xml:space="preserve">2.735</w:t>
                  </w:r>
                </w:p>
              </w:tc>
              <w:tc>
                <w:tcPr/>
                <w:p>
                  <w:pPr>
                    <w:pStyle w:val="Compact"/>
                    <w:jc w:val="left"/>
                    <w:jc w:val="center"/>
                  </w:pPr>
                  <w:r>
                    <w:t xml:space="preserve">PerL</w:t>
                  </w:r>
                </w:p>
              </w:tc>
            </w:tr>
            <w:tr>
              <w:tc>
                <w:tcPr/>
                <w:p>
                  <w:pPr>
                    <w:pStyle w:val="Compact"/>
                    <w:jc w:val="left"/>
                    <w:jc w:val="center"/>
                  </w:pPr>
                  <w:r>
                    <w:t xml:space="preserve">Per</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1.375</w:t>
                  </w:r>
                </w:p>
              </w:tc>
              <w:tc>
                <w:tcPr/>
                <w:p>
                  <w:pPr>
                    <w:pStyle w:val="Compact"/>
                    <w:jc w:val="right"/>
                    <w:jc w:val="center"/>
                  </w:pPr>
                  <w:r>
                    <w:t xml:space="preserve">-41.618</w:t>
                  </w:r>
                </w:p>
              </w:tc>
              <w:tc>
                <w:tcPr/>
                <w:p>
                  <w:pPr>
                    <w:pStyle w:val="Compact"/>
                    <w:jc w:val="right"/>
                    <w:jc w:val="center"/>
                  </w:pPr>
                  <w:r>
                    <w:t xml:space="preserve">-6.197</w:t>
                  </w:r>
                </w:p>
              </w:tc>
              <w:tc>
                <w:tcPr/>
                <w:p>
                  <w:pPr>
                    <w:pStyle w:val="Compact"/>
                    <w:jc w:val="left"/>
                    <w:jc w:val="center"/>
                  </w:pPr>
                  <w:r>
                    <w:t xml:space="preserve">nan</w:t>
                  </w:r>
                </w:p>
              </w:tc>
            </w:tr>
            <w:tr>
              <w:tc>
                <w:tcPr/>
                <w:p>
                  <w:pPr>
                    <w:pStyle w:val="Compact"/>
                    <w:jc w:val="left"/>
                    <w:jc w:val="center"/>
                  </w:pPr>
                  <w:r>
                    <w:t xml:space="preserve">Per</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-3.636</w:t>
                  </w:r>
                </w:p>
              </w:tc>
              <w:tc>
                <w:tcPr/>
                <w:p>
                  <w:pPr>
                    <w:pStyle w:val="Compact"/>
                    <w:jc w:val="right"/>
                    <w:jc w:val="center"/>
                  </w:pPr>
                  <w:r>
                    <w:t xml:space="preserve">-1.164</w:t>
                  </w:r>
                </w:p>
              </w:tc>
              <w:tc>
                <w:tcPr/>
                <w:p>
                  <w:pPr>
                    <w:pStyle w:val="Compact"/>
                    <w:jc w:val="right"/>
                    <w:jc w:val="center"/>
                  </w:pPr>
                  <w:r>
                    <w:t xml:space="preserve">1.761</w:t>
                  </w:r>
                </w:p>
              </w:tc>
              <w:tc>
                <w:tcPr/>
                <w:p>
                  <w:pPr>
                    <w:pStyle w:val="Compact"/>
                    <w:jc w:val="left"/>
                    <w:jc w:val="center"/>
                  </w:pPr>
                  <w:r>
                    <w:t xml:space="preserve">nan</w:t>
                  </w:r>
                </w:p>
              </w:tc>
            </w:tr>
            <w:tr>
              <w:tc>
                <w:tcPr/>
                <w:p>
                  <w:pPr>
                    <w:pStyle w:val="Compact"/>
                    <w:jc w:val="left"/>
                    <w:jc w:val="center"/>
                  </w:pPr>
                  <w:r>
                    <w:t xml:space="preserve">Per</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-0.692</w:t>
                  </w:r>
                </w:p>
              </w:tc>
              <w:tc>
                <w:tcPr/>
                <w:p>
                  <w:pPr>
                    <w:pStyle w:val="Compact"/>
                    <w:jc w:val="right"/>
                    <w:jc w:val="center"/>
                  </w:pPr>
                  <w:r>
                    <w:t xml:space="preserve">-2.568</w:t>
                  </w:r>
                </w:p>
              </w:tc>
              <w:tc>
                <w:tcPr/>
                <w:p>
                  <w:pPr>
                    <w:pStyle w:val="Compact"/>
                    <w:jc w:val="right"/>
                    <w:jc w:val="center"/>
                  </w:pPr>
                  <w:r>
                    <w:t xml:space="preserve">2.037</w:t>
                  </w:r>
                </w:p>
              </w:tc>
              <w:tc>
                <w:tcPr/>
                <w:p>
                  <w:pPr>
                    <w:pStyle w:val="Compact"/>
                    <w:jc w:val="left"/>
                    <w:jc w:val="center"/>
                  </w:pPr>
                  <w:r>
                    <w:t xml:space="preserve">nan</w:t>
                  </w:r>
                </w:p>
              </w:tc>
            </w:tr>
            <w:tr>
              <w:tc>
                <w:tcPr/>
                <w:p>
                  <w:pPr>
                    <w:pStyle w:val="Compact"/>
                    <w:jc w:val="left"/>
                    <w:jc w:val="center"/>
                  </w:pPr>
                  <w:r>
                    <w:t xml:space="preserve">Per</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2.433</w:t>
                  </w:r>
                </w:p>
              </w:tc>
              <w:tc>
                <w:tcPr/>
                <w:p>
                  <w:pPr>
                    <w:pStyle w:val="Compact"/>
                    <w:jc w:val="right"/>
                    <w:jc w:val="center"/>
                  </w:pPr>
                  <w:r>
                    <w:t xml:space="preserve">-3.706</w:t>
                  </w:r>
                </w:p>
              </w:tc>
              <w:tc>
                <w:tcPr/>
                <w:p>
                  <w:pPr>
                    <w:pStyle w:val="Compact"/>
                    <w:jc w:val="right"/>
                    <w:jc w:val="center"/>
                  </w:pPr>
                  <w:r>
                    <w:t xml:space="preserve">2.352</w:t>
                  </w:r>
                </w:p>
              </w:tc>
              <w:tc>
                <w:tcPr/>
                <w:p>
                  <w:pPr>
                    <w:pStyle w:val="Compact"/>
                    <w:jc w:val="left"/>
                    <w:jc w:val="center"/>
                  </w:pPr>
                  <w:r>
                    <w:t xml:space="preserve">nan</w:t>
                  </w:r>
                </w:p>
              </w:tc>
            </w:tr>
            <w:tr>
              <w:tc>
                <w:tcPr/>
                <w:p>
                  <w:pPr>
                    <w:pStyle w:val="Compact"/>
                    <w:jc w:val="left"/>
                    <w:jc w:val="center"/>
                  </w:pPr>
                  <w:r>
                    <w:t xml:space="preserve">Per</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6.056</w:t>
                  </w:r>
                </w:p>
              </w:tc>
              <w:tc>
                <w:tcPr/>
                <w:p>
                  <w:pPr>
                    <w:pStyle w:val="Compact"/>
                    <w:jc w:val="right"/>
                    <w:jc w:val="center"/>
                  </w:pPr>
                  <w:r>
                    <w:t xml:space="preserve">-4.665</w:t>
                  </w:r>
                </w:p>
              </w:tc>
              <w:tc>
                <w:tcPr/>
                <w:p>
                  <w:pPr>
                    <w:pStyle w:val="Compact"/>
                    <w:jc w:val="right"/>
                    <w:jc w:val="center"/>
                  </w:pPr>
                  <w:r>
                    <w:t xml:space="preserve">0.846</w:t>
                  </w:r>
                </w:p>
              </w:tc>
              <w:tc>
                <w:tcPr/>
                <w:p>
                  <w:pPr>
                    <w:pStyle w:val="Compact"/>
                    <w:jc w:val="left"/>
                    <w:jc w:val="center"/>
                  </w:pPr>
                  <w:r>
                    <w:t xml:space="preserve">PerL</w:t>
                  </w:r>
                </w:p>
              </w:tc>
            </w:tr>
            <w:tr>
              <w:tc>
                <w:tcPr/>
                <w:p>
                  <w:pPr>
                    <w:pStyle w:val="Compact"/>
                    <w:jc w:val="left"/>
                    <w:jc w:val="center"/>
                  </w:pPr>
                  <w:r>
                    <w:t xml:space="preserve">Pla</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-12</w:t>
                  </w:r>
                </w:p>
              </w:tc>
              <w:tc>
                <w:tcPr/>
                <w:p>
                  <w:pPr>
                    <w:pStyle w:val="Compact"/>
                    <w:jc w:val="right"/>
                    <w:jc w:val="center"/>
                  </w:pPr>
                  <w:r>
                    <w:t xml:space="preserve">-3.766</w:t>
                  </w:r>
                </w:p>
              </w:tc>
              <w:tc>
                <w:tcPr/>
                <w:p>
                  <w:pPr>
                    <w:pStyle w:val="Compact"/>
                    <w:jc w:val="right"/>
                    <w:jc w:val="center"/>
                  </w:pPr>
                  <w:r>
                    <w:t xml:space="preserve">28.916</w:t>
                  </w:r>
                </w:p>
              </w:tc>
              <w:tc>
                <w:tcPr/>
                <w:p>
                  <w:pPr>
                    <w:pStyle w:val="Compact"/>
                    <w:jc w:val="left"/>
                    <w:jc w:val="center"/>
                  </w:pPr>
                  <w:r>
                    <w:t xml:space="preserve">nan</w:t>
                  </w:r>
                </w:p>
              </w:tc>
            </w:tr>
            <w:tr>
              <w:tc>
                <w:tcPr/>
                <w:p>
                  <w:pPr>
                    <w:pStyle w:val="Compact"/>
                    <w:jc w:val="left"/>
                    <w:jc w:val="center"/>
                  </w:pPr>
                  <w:r>
                    <w:t xml:space="preserve">Pla</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2.712</w:t>
                  </w:r>
                </w:p>
              </w:tc>
              <w:tc>
                <w:tcPr/>
                <w:p>
                  <w:pPr>
                    <w:pStyle w:val="Compact"/>
                    <w:jc w:val="right"/>
                    <w:jc w:val="center"/>
                  </w:pPr>
                  <w:r>
                    <w:t xml:space="preserve">-7.046</w:t>
                  </w:r>
                </w:p>
              </w:tc>
              <w:tc>
                <w:tcPr/>
                <w:p>
                  <w:pPr>
                    <w:pStyle w:val="Compact"/>
                    <w:jc w:val="right"/>
                    <w:jc w:val="center"/>
                  </w:pPr>
                  <w:r>
                    <w:t xml:space="preserve">3.975</w:t>
                  </w:r>
                </w:p>
              </w:tc>
              <w:tc>
                <w:tcPr/>
                <w:p>
                  <w:pPr>
                    <w:pStyle w:val="Compact"/>
                    <w:jc w:val="left"/>
                    <w:jc w:val="center"/>
                  </w:pPr>
                  <w:r>
                    <w:t xml:space="preserve">nan</w:t>
                  </w:r>
                </w:p>
              </w:tc>
            </w:tr>
            <w:tr>
              <w:tc>
                <w:tcPr/>
                <w:p>
                  <w:pPr>
                    <w:pStyle w:val="Compact"/>
                    <w:jc w:val="left"/>
                    <w:jc w:val="center"/>
                  </w:pPr>
                  <w:r>
                    <w:t xml:space="preserve">Pla</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0.508</w:t>
                  </w:r>
                </w:p>
              </w:tc>
              <w:tc>
                <w:tcPr/>
                <w:p>
                  <w:pPr>
                    <w:pStyle w:val="Compact"/>
                    <w:jc w:val="right"/>
                    <w:jc w:val="center"/>
                  </w:pPr>
                  <w:r>
                    <w:t xml:space="preserve">-41.618</w:t>
                  </w:r>
                </w:p>
              </w:tc>
              <w:tc>
                <w:tcPr/>
                <w:p>
                  <w:pPr>
                    <w:pStyle w:val="Compact"/>
                    <w:jc w:val="right"/>
                    <w:jc w:val="center"/>
                  </w:pPr>
                  <w:r>
                    <w:t xml:space="preserve">-6.197</w:t>
                  </w:r>
                </w:p>
              </w:tc>
              <w:tc>
                <w:tcPr/>
                <w:p>
                  <w:pPr>
                    <w:pStyle w:val="Compact"/>
                    <w:jc w:val="left"/>
                    <w:jc w:val="center"/>
                  </w:pPr>
                  <w:r>
                    <w:t xml:space="preserve">nan</w:t>
                  </w:r>
                </w:p>
              </w:tc>
            </w:tr>
            <w:tr>
              <w:tc>
                <w:tcPr/>
                <w:p>
                  <w:pPr>
                    <w:pStyle w:val="Compact"/>
                    <w:jc w:val="left"/>
                    <w:jc w:val="center"/>
                  </w:pPr>
                  <w:r>
                    <w:t xml:space="preserve">Pla</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-4.157</w:t>
                  </w:r>
                </w:p>
              </w:tc>
              <w:tc>
                <w:tcPr/>
                <w:p>
                  <w:pPr>
                    <w:pStyle w:val="Compact"/>
                    <w:jc w:val="right"/>
                    <w:jc w:val="center"/>
                  </w:pPr>
                  <w:r>
                    <w:t xml:space="preserve">-1.334</w:t>
                  </w:r>
                </w:p>
              </w:tc>
              <w:tc>
                <w:tcPr/>
                <w:p>
                  <w:pPr>
                    <w:pStyle w:val="Compact"/>
                    <w:jc w:val="right"/>
                    <w:jc w:val="center"/>
                  </w:pPr>
                  <w:r>
                    <w:t xml:space="preserve">0.796</w:t>
                  </w:r>
                </w:p>
              </w:tc>
              <w:tc>
                <w:tcPr/>
                <w:p>
                  <w:pPr>
                    <w:pStyle w:val="Compact"/>
                    <w:jc w:val="left"/>
                    <w:jc w:val="center"/>
                  </w:pPr>
                  <w:r>
                    <w:t xml:space="preserve">nan</w:t>
                  </w:r>
                </w:p>
              </w:tc>
            </w:tr>
            <w:tr>
              <w:tc>
                <w:tcPr/>
                <w:p>
                  <w:pPr>
                    <w:pStyle w:val="Compact"/>
                    <w:jc w:val="left"/>
                    <w:jc w:val="center"/>
                  </w:pPr>
                  <w:r>
                    <w:t xml:space="preserve">Pla</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-3.561</w:t>
                  </w:r>
                </w:p>
              </w:tc>
              <w:tc>
                <w:tcPr/>
                <w:p>
                  <w:pPr>
                    <w:pStyle w:val="Compact"/>
                    <w:jc w:val="right"/>
                    <w:jc w:val="center"/>
                  </w:pPr>
                  <w:r>
                    <w:t xml:space="preserve">-2.715</w:t>
                  </w:r>
                </w:p>
              </w:tc>
              <w:tc>
                <w:tcPr/>
                <w:p>
                  <w:pPr>
                    <w:pStyle w:val="Compact"/>
                    <w:jc w:val="right"/>
                    <w:jc w:val="center"/>
                  </w:pPr>
                  <w:r>
                    <w:t xml:space="preserve">0.819</w:t>
                  </w:r>
                </w:p>
              </w:tc>
              <w:tc>
                <w:tcPr/>
                <w:p>
                  <w:pPr>
                    <w:pStyle w:val="Compact"/>
                    <w:jc w:val="left"/>
                    <w:jc w:val="center"/>
                  </w:pPr>
                  <w:r>
                    <w:t xml:space="preserve">nan</w:t>
                  </w:r>
                </w:p>
              </w:tc>
            </w:tr>
            <w:tr>
              <w:tc>
                <w:tcPr/>
                <w:p>
                  <w:pPr>
                    <w:pStyle w:val="Compact"/>
                    <w:jc w:val="left"/>
                    <w:jc w:val="center"/>
                  </w:pPr>
                  <w:r>
                    <w:t xml:space="preserve">Sol</w:t>
                  </w:r>
                </w:p>
              </w:tc>
              <w:tc>
                <w:tcPr/>
                <w:p>
                  <w:pPr>
                    <w:pStyle w:val="Compact"/>
                    <w:jc w:val="left"/>
                    <w:jc w:val="center"/>
                  </w:pPr>
                  <w:r>
                    <w:t xml:space="preserve">Origin</w:t>
                  </w:r>
                </w:p>
              </w:tc>
              <w:tc>
                <w:tcPr/>
                <w:p>
                  <w:pPr>
                    <w:pStyle w:val="Compact"/>
                    <w:jc w:val="left"/>
                    <w:jc w:val="center"/>
                  </w:pPr>
                  <w:r>
                    <w:t xml:space="preserve">Tibia</w:t>
                  </w:r>
                </w:p>
              </w:tc>
              <w:tc>
                <w:tcPr/>
                <w:p>
                  <w:pPr>
                    <w:pStyle w:val="Compact"/>
                    <w:jc w:val="right"/>
                    <w:jc w:val="center"/>
                  </w:pPr>
                  <w:r>
                    <w:t xml:space="preserve">0.824</w:t>
                  </w:r>
                </w:p>
              </w:tc>
              <w:tc>
                <w:tcPr/>
                <w:p>
                  <w:pPr>
                    <w:pStyle w:val="Compact"/>
                    <w:jc w:val="right"/>
                    <w:jc w:val="center"/>
                  </w:pPr>
                  <w:r>
                    <w:t xml:space="preserve">-7.027</w:t>
                  </w:r>
                </w:p>
              </w:tc>
              <w:tc>
                <w:tcPr/>
                <w:p>
                  <w:pPr>
                    <w:pStyle w:val="Compact"/>
                    <w:jc w:val="right"/>
                    <w:jc w:val="center"/>
                  </w:pPr>
                  <w:r>
                    <w:t xml:space="preserve">4.31</w:t>
                  </w:r>
                </w:p>
              </w:tc>
              <w:tc>
                <w:tcPr/>
                <w:p>
                  <w:pPr>
                    <w:pStyle w:val="Compact"/>
                    <w:jc w:val="left"/>
                    <w:jc w:val="center"/>
                  </w:pPr>
                  <w:r>
                    <w:t xml:space="preserve">nan</w:t>
                  </w:r>
                </w:p>
              </w:tc>
            </w:tr>
            <w:tr>
              <w:tc>
                <w:tcPr/>
                <w:p>
                  <w:pPr>
                    <w:pStyle w:val="Compact"/>
                    <w:jc w:val="left"/>
                    <w:jc w:val="center"/>
                  </w:pPr>
                  <w:r>
                    <w:t xml:space="preserve">Sol</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-0.175</w:t>
                  </w:r>
                </w:p>
              </w:tc>
              <w:tc>
                <w:tcPr/>
                <w:p>
                  <w:pPr>
                    <w:pStyle w:val="Compact"/>
                    <w:jc w:val="right"/>
                    <w:jc w:val="center"/>
                  </w:pPr>
                  <w:r>
                    <w:t xml:space="preserve">-41.618</w:t>
                  </w:r>
                </w:p>
              </w:tc>
              <w:tc>
                <w:tcPr/>
                <w:p>
                  <w:pPr>
                    <w:pStyle w:val="Compact"/>
                    <w:jc w:val="right"/>
                    <w:jc w:val="center"/>
                  </w:pPr>
                  <w:r>
                    <w:t xml:space="preserve">-6.197</w:t>
                  </w:r>
                </w:p>
              </w:tc>
              <w:tc>
                <w:tcPr/>
                <w:p>
                  <w:pPr>
                    <w:pStyle w:val="Compact"/>
                    <w:jc w:val="left"/>
                    <w:jc w:val="center"/>
                  </w:pPr>
                  <w:r>
                    <w:t xml:space="preserve">nan</w:t>
                  </w:r>
                </w:p>
              </w:tc>
            </w:tr>
            <w:tr>
              <w:tc>
                <w:tcPr/>
                <w:p>
                  <w:pPr>
                    <w:pStyle w:val="Compact"/>
                    <w:jc w:val="left"/>
                    <w:jc w:val="center"/>
                  </w:pPr>
                  <w:r>
                    <w:t xml:space="preserve">Sol</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-4.129</w:t>
                  </w:r>
                </w:p>
              </w:tc>
              <w:tc>
                <w:tcPr/>
                <w:p>
                  <w:pPr>
                    <w:pStyle w:val="Compact"/>
                    <w:jc w:val="right"/>
                    <w:jc w:val="center"/>
                  </w:pPr>
                  <w:r>
                    <w:t xml:space="preserve">-1.414</w:t>
                  </w:r>
                </w:p>
              </w:tc>
              <w:tc>
                <w:tcPr/>
                <w:p>
                  <w:pPr>
                    <w:pStyle w:val="Compact"/>
                    <w:jc w:val="right"/>
                    <w:jc w:val="center"/>
                  </w:pPr>
                  <w:r>
                    <w:t xml:space="preserve">0.39</w:t>
                  </w:r>
                </w:p>
              </w:tc>
              <w:tc>
                <w:tcPr/>
                <w:p>
                  <w:pPr>
                    <w:pStyle w:val="Compact"/>
                    <w:jc w:val="left"/>
                    <w:jc w:val="center"/>
                  </w:pPr>
                  <w:r>
                    <w:t xml:space="preserve">nan</w:t>
                  </w:r>
                </w:p>
              </w:tc>
            </w:tr>
            <w:tr>
              <w:tc>
                <w:tcPr/>
                <w:p>
                  <w:pPr>
                    <w:pStyle w:val="Compact"/>
                    <w:jc w:val="left"/>
                    <w:jc w:val="center"/>
                  </w:pPr>
                  <w:r>
                    <w:t xml:space="preserve">Sol</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-3.561</w:t>
                  </w:r>
                </w:p>
              </w:tc>
              <w:tc>
                <w:tcPr/>
                <w:p>
                  <w:pPr>
                    <w:pStyle w:val="Compact"/>
                    <w:jc w:val="right"/>
                    <w:jc w:val="center"/>
                  </w:pPr>
                  <w:r>
                    <w:t xml:space="preserve">-2.754</w:t>
                  </w:r>
                </w:p>
              </w:tc>
              <w:tc>
                <w:tcPr/>
                <w:p>
                  <w:pPr>
                    <w:pStyle w:val="Compact"/>
                    <w:jc w:val="right"/>
                    <w:jc w:val="center"/>
                  </w:pPr>
                  <w:r>
                    <w:t xml:space="preserve">0.4</w:t>
                  </w:r>
                </w:p>
              </w:tc>
              <w:tc>
                <w:tcPr/>
                <w:p>
                  <w:pPr>
                    <w:pStyle w:val="Compact"/>
                    <w:jc w:val="left"/>
                    <w:jc w:val="center"/>
                  </w:pPr>
                  <w:r>
                    <w:t xml:space="preserve">nan</w:t>
                  </w:r>
                </w:p>
              </w:tc>
            </w:tr>
            <w:tr>
              <w:tc>
                <w:tcPr/>
                <w:p>
                  <w:pPr>
                    <w:pStyle w:val="Compact"/>
                    <w:jc w:val="left"/>
                    <w:jc w:val="center"/>
                  </w:pPr>
                  <w:r>
                    <w:t xml:space="preserve">TA</w:t>
                  </w:r>
                </w:p>
              </w:tc>
              <w:tc>
                <w:tcPr/>
                <w:p>
                  <w:pPr>
                    <w:pStyle w:val="Compact"/>
                    <w:jc w:val="left"/>
                    <w:jc w:val="center"/>
                  </w:pPr>
                  <w:r>
                    <w:t xml:space="preserve">Origin</w:t>
                  </w:r>
                </w:p>
              </w:tc>
              <w:tc>
                <w:tcPr/>
                <w:p>
                  <w:pPr>
                    <w:pStyle w:val="Compact"/>
                    <w:jc w:val="left"/>
                    <w:jc w:val="center"/>
                  </w:pPr>
                  <w:r>
                    <w:t xml:space="preserve">Tibia</w:t>
                  </w:r>
                </w:p>
              </w:tc>
              <w:tc>
                <w:tcPr/>
                <w:p>
                  <w:pPr>
                    <w:pStyle w:val="Compact"/>
                    <w:jc w:val="right"/>
                    <w:jc w:val="center"/>
                  </w:pPr>
                  <w:r>
                    <w:t xml:space="preserve">-2.308</w:t>
                  </w:r>
                </w:p>
              </w:tc>
              <w:tc>
                <w:tcPr/>
                <w:p>
                  <w:pPr>
                    <w:pStyle w:val="Compact"/>
                    <w:jc w:val="right"/>
                    <w:jc w:val="center"/>
                  </w:pPr>
                  <w:r>
                    <w:t xml:space="preserve">-4.47</w:t>
                  </w:r>
                </w:p>
              </w:tc>
              <w:tc>
                <w:tcPr/>
                <w:p>
                  <w:pPr>
                    <w:pStyle w:val="Compact"/>
                    <w:jc w:val="right"/>
                    <w:jc w:val="center"/>
                  </w:pPr>
                  <w:r>
                    <w:t xml:space="preserve">-3.782</w:t>
                  </w:r>
                </w:p>
              </w:tc>
              <w:tc>
                <w:tcPr/>
                <w:p>
                  <w:pPr>
                    <w:pStyle w:val="Compact"/>
                    <w:jc w:val="left"/>
                    <w:jc w:val="center"/>
                  </w:pPr>
                  <w:r>
                    <w:t xml:space="preserve">nan</w:t>
                  </w:r>
                </w:p>
              </w:tc>
            </w:tr>
            <w:tr>
              <w:tc>
                <w:tcPr/>
                <w:p>
                  <w:pPr>
                    <w:pStyle w:val="Compact"/>
                    <w:jc w:val="left"/>
                    <w:jc w:val="center"/>
                  </w:pPr>
                  <w:r>
                    <w:t xml:space="preserve">TA</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-2.12</w:t>
                  </w:r>
                </w:p>
              </w:tc>
              <w:tc>
                <w:tcPr/>
                <w:p>
                  <w:pPr>
                    <w:pStyle w:val="Compact"/>
                    <w:jc w:val="right"/>
                    <w:jc w:val="center"/>
                  </w:pPr>
                  <w:r>
                    <w:t xml:space="preserve">-14.635</w:t>
                  </w:r>
                </w:p>
              </w:tc>
              <w:tc>
                <w:tcPr/>
                <w:p>
                  <w:pPr>
                    <w:pStyle w:val="Compact"/>
                    <w:jc w:val="right"/>
                    <w:jc w:val="center"/>
                  </w:pPr>
                  <w:r>
                    <w:t xml:space="preserve">-7.924</w:t>
                  </w:r>
                </w:p>
              </w:tc>
              <w:tc>
                <w:tcPr/>
                <w:p>
                  <w:pPr>
                    <w:pStyle w:val="Compact"/>
                    <w:jc w:val="left"/>
                    <w:jc w:val="center"/>
                  </w:pPr>
                  <w:r>
                    <w:t xml:space="preserve">nan</w:t>
                  </w:r>
                </w:p>
              </w:tc>
            </w:tr>
            <w:tr>
              <w:tc>
                <w:tcPr/>
                <w:p>
                  <w:pPr>
                    <w:pStyle w:val="Compact"/>
                    <w:jc w:val="left"/>
                    <w:jc w:val="center"/>
                  </w:pPr>
                  <w:r>
                    <w:t xml:space="preserve">TA</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-1.431</w:t>
                  </w:r>
                </w:p>
              </w:tc>
              <w:tc>
                <w:tcPr/>
                <w:p>
                  <w:pPr>
                    <w:pStyle w:val="Compact"/>
                    <w:jc w:val="right"/>
                    <w:jc w:val="center"/>
                  </w:pPr>
                  <w:r>
                    <w:t xml:space="preserve">-39.204</w:t>
                  </w:r>
                </w:p>
              </w:tc>
              <w:tc>
                <w:tcPr/>
                <w:p>
                  <w:pPr>
                    <w:pStyle w:val="Compact"/>
                    <w:jc w:val="right"/>
                    <w:jc w:val="center"/>
                  </w:pPr>
                  <w:r>
                    <w:t xml:space="preserve">-9.245</w:t>
                  </w:r>
                </w:p>
              </w:tc>
              <w:tc>
                <w:tcPr/>
                <w:p>
                  <w:pPr>
                    <w:pStyle w:val="Compact"/>
                    <w:jc w:val="left"/>
                    <w:jc w:val="center"/>
                  </w:pPr>
                  <w:r>
                    <w:t xml:space="preserve">nan</w:t>
                  </w:r>
                </w:p>
              </w:tc>
            </w:tr>
            <w:tr>
              <w:tc>
                <w:tcPr/>
                <w:p>
                  <w:pPr>
                    <w:pStyle w:val="Compact"/>
                    <w:jc w:val="left"/>
                    <w:jc w:val="center"/>
                  </w:pPr>
                  <w:r>
                    <w:t xml:space="preserve">TA</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4.773</w:t>
                  </w:r>
                </w:p>
              </w:tc>
              <w:tc>
                <w:tcPr/>
                <w:p>
                  <w:pPr>
                    <w:pStyle w:val="Compact"/>
                    <w:jc w:val="right"/>
                    <w:jc w:val="center"/>
                  </w:pPr>
                  <w:r>
                    <w:t xml:space="preserve">-1.062</w:t>
                  </w:r>
                </w:p>
              </w:tc>
              <w:tc>
                <w:tcPr/>
                <w:p>
                  <w:pPr>
                    <w:pStyle w:val="Compact"/>
                    <w:jc w:val="right"/>
                    <w:jc w:val="center"/>
                  </w:pPr>
                  <w:r>
                    <w:t xml:space="preserve">-1.312</w:t>
                  </w:r>
                </w:p>
              </w:tc>
              <w:tc>
                <w:tcPr/>
                <w:p>
                  <w:pPr>
                    <w:pStyle w:val="Compact"/>
                    <w:jc w:val="left"/>
                    <w:jc w:val="center"/>
                  </w:pPr>
                  <w:r>
                    <w:t xml:space="preserve">nan</w:t>
                  </w:r>
                </w:p>
              </w:tc>
            </w:tr>
            <w:tr>
              <w:tc>
                <w:tcPr/>
                <w:p>
                  <w:pPr>
                    <w:pStyle w:val="Compact"/>
                    <w:jc w:val="left"/>
                    <w:jc w:val="center"/>
                  </w:pPr>
                  <w:r>
                    <w:t xml:space="preserve">TA</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7.945</w:t>
                  </w:r>
                </w:p>
              </w:tc>
              <w:tc>
                <w:tcPr/>
                <w:p>
                  <w:pPr>
                    <w:pStyle w:val="Compact"/>
                    <w:jc w:val="right"/>
                    <w:jc w:val="center"/>
                  </w:pPr>
                  <w:r>
                    <w:t xml:space="preserve">-2.944</w:t>
                  </w:r>
                </w:p>
              </w:tc>
              <w:tc>
                <w:tcPr/>
                <w:p>
                  <w:pPr>
                    <w:pStyle w:val="Compact"/>
                    <w:jc w:val="right"/>
                    <w:jc w:val="center"/>
                  </w:pPr>
                  <w:r>
                    <w:t xml:space="preserve">-1.965</w:t>
                  </w:r>
                </w:p>
              </w:tc>
              <w:tc>
                <w:tcPr/>
                <w:p>
                  <w:pPr>
                    <w:pStyle w:val="Compact"/>
                    <w:jc w:val="left"/>
                    <w:jc w:val="center"/>
                  </w:pPr>
                  <w:r>
                    <w:t xml:space="preserve">nan</w:t>
                  </w:r>
                </w:p>
              </w:tc>
            </w:tr>
            <w:tr>
              <w:tc>
                <w:tcPr/>
                <w:p>
                  <w:pPr>
                    <w:pStyle w:val="Compact"/>
                    <w:jc w:val="left"/>
                    <w:jc w:val="center"/>
                  </w:pPr>
                  <w:r>
                    <w:t xml:space="preserve">TP</w:t>
                  </w:r>
                </w:p>
              </w:tc>
              <w:tc>
                <w:tcPr/>
                <w:p>
                  <w:pPr>
                    <w:pStyle w:val="Compact"/>
                    <w:jc w:val="left"/>
                    <w:jc w:val="center"/>
                  </w:pPr>
                  <w:r>
                    <w:t xml:space="preserve">Origin</w:t>
                  </w:r>
                </w:p>
              </w:tc>
              <w:tc>
                <w:tcPr/>
                <w:p>
                  <w:pPr>
                    <w:pStyle w:val="Compact"/>
                    <w:jc w:val="left"/>
                    <w:jc w:val="center"/>
                  </w:pPr>
                  <w:r>
                    <w:t xml:space="preserve">Tibia</w:t>
                  </w:r>
                </w:p>
              </w:tc>
              <w:tc>
                <w:tcPr/>
                <w:p>
                  <w:pPr>
                    <w:pStyle w:val="Compact"/>
                    <w:jc w:val="right"/>
                    <w:jc w:val="center"/>
                  </w:pPr>
                  <w:r>
                    <w:t xml:space="preserve">-1.427</w:t>
                  </w:r>
                </w:p>
              </w:tc>
              <w:tc>
                <w:tcPr/>
                <w:p>
                  <w:pPr>
                    <w:pStyle w:val="Compact"/>
                    <w:jc w:val="right"/>
                    <w:jc w:val="center"/>
                  </w:pPr>
                  <w:r>
                    <w:t xml:space="preserve">-8.55</w:t>
                  </w:r>
                </w:p>
              </w:tc>
              <w:tc>
                <w:tcPr/>
                <w:p>
                  <w:pPr>
                    <w:pStyle w:val="Compact"/>
                    <w:jc w:val="right"/>
                    <w:jc w:val="center"/>
                  </w:pPr>
                  <w:r>
                    <w:t xml:space="preserve">1.871</w:t>
                  </w:r>
                </w:p>
              </w:tc>
              <w:tc>
                <w:tcPr/>
                <w:p>
                  <w:pPr>
                    <w:pStyle w:val="Compact"/>
                    <w:jc w:val="left"/>
                    <w:jc w:val="center"/>
                  </w:pPr>
                  <w:r>
                    <w:t xml:space="preserve">nan</w:t>
                  </w:r>
                </w:p>
              </w:tc>
            </w:tr>
            <w:tr>
              <w:tc>
                <w:tcPr/>
                <w:p>
                  <w:pPr>
                    <w:pStyle w:val="Compact"/>
                    <w:jc w:val="left"/>
                    <w:jc w:val="center"/>
                  </w:pPr>
                  <w:r>
                    <w:t xml:space="preserve">TP</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-1.554</w:t>
                  </w:r>
                </w:p>
              </w:tc>
              <w:tc>
                <w:tcPr/>
                <w:p>
                  <w:pPr>
                    <w:pStyle w:val="Compact"/>
                    <w:jc w:val="right"/>
                    <w:jc w:val="center"/>
                  </w:pPr>
                  <w:r>
                    <w:t xml:space="preserve">-42.19</w:t>
                  </w:r>
                </w:p>
              </w:tc>
              <w:tc>
                <w:tcPr/>
                <w:p>
                  <w:pPr>
                    <w:pStyle w:val="Compact"/>
                    <w:jc w:val="right"/>
                    <w:jc w:val="center"/>
                  </w:pPr>
                  <w:r>
                    <w:t xml:space="preserve">-6.45</w:t>
                  </w:r>
                </w:p>
              </w:tc>
              <w:tc>
                <w:tcPr/>
                <w:p>
                  <w:pPr>
                    <w:pStyle w:val="Compact"/>
                    <w:jc w:val="left"/>
                    <w:jc w:val="center"/>
                  </w:pPr>
                  <w:r>
                    <w:t xml:space="preserve">nan</w:t>
                  </w:r>
                </w:p>
              </w:tc>
            </w:tr>
            <w:tr>
              <w:tc>
                <w:tcPr/>
                <w:p>
                  <w:pPr>
                    <w:pStyle w:val="Compact"/>
                    <w:jc w:val="left"/>
                    <w:jc w:val="center"/>
                  </w:pPr>
                  <w:r>
                    <w:t xml:space="preserve">TP</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-4.358</w:t>
                  </w:r>
                </w:p>
              </w:tc>
              <w:tc>
                <w:tcPr/>
                <w:p>
                  <w:pPr>
                    <w:pStyle w:val="Compact"/>
                    <w:jc w:val="right"/>
                    <w:jc w:val="center"/>
                  </w:pPr>
                  <w:r>
                    <w:t xml:space="preserve">-1.609</w:t>
                  </w:r>
                </w:p>
              </w:tc>
              <w:tc>
                <w:tcPr/>
                <w:p>
                  <w:pPr>
                    <w:pStyle w:val="Compact"/>
                    <w:jc w:val="right"/>
                    <w:jc w:val="center"/>
                  </w:pPr>
                  <w:r>
                    <w:t xml:space="preserve">-0.337</w:t>
                  </w:r>
                </w:p>
              </w:tc>
              <w:tc>
                <w:tcPr/>
                <w:p>
                  <w:pPr>
                    <w:pStyle w:val="Compact"/>
                    <w:jc w:val="left"/>
                    <w:jc w:val="center"/>
                  </w:pPr>
                  <w:r>
                    <w:t xml:space="preserve">nan</w:t>
                  </w:r>
                </w:p>
              </w:tc>
            </w:tr>
            <w:tr>
              <w:tc>
                <w:tcPr/>
                <w:p>
                  <w:pPr>
                    <w:pStyle w:val="Compact"/>
                    <w:jc w:val="left"/>
                    <w:jc w:val="center"/>
                  </w:pPr>
                  <w:r>
                    <w:t xml:space="preserve">TP</w:t>
                  </w:r>
                </w:p>
              </w:tc>
              <w:tc>
                <w:tcPr/>
                <w:p>
                  <w:pPr>
                    <w:pStyle w:val="Compact"/>
                    <w:jc w:val="left"/>
                    <w:jc w:val="center"/>
                  </w:pPr>
                  <w:r>
                    <w:t xml:space="preserve">Via</w:t>
                  </w:r>
                </w:p>
              </w:tc>
              <w:tc>
                <w:tcPr/>
                <w:p>
                  <w:pPr>
                    <w:pStyle w:val="Compact"/>
                    <w:jc w:val="left"/>
                    <w:jc w:val="center"/>
                  </w:pPr>
                  <w:r>
                    <w:t xml:space="preserve">Foot</w:t>
                  </w:r>
                </w:p>
              </w:tc>
              <w:tc>
                <w:tcPr/>
                <w:p>
                  <w:pPr>
                    <w:pStyle w:val="Compact"/>
                    <w:jc w:val="right"/>
                    <w:jc w:val="center"/>
                  </w:pPr>
                  <w:r>
                    <w:t xml:space="preserve">-1.159</w:t>
                  </w:r>
                </w:p>
              </w:tc>
              <w:tc>
                <w:tcPr/>
                <w:p>
                  <w:pPr>
                    <w:pStyle w:val="Compact"/>
                    <w:jc w:val="right"/>
                    <w:jc w:val="center"/>
                  </w:pPr>
                  <w:r>
                    <w:t xml:space="preserve">-3.222</w:t>
                  </w:r>
                </w:p>
              </w:tc>
              <w:tc>
                <w:tcPr/>
                <w:p>
                  <w:pPr>
                    <w:pStyle w:val="Compact"/>
                    <w:jc w:val="right"/>
                    <w:jc w:val="center"/>
                  </w:pPr>
                  <w:r>
                    <w:t xml:space="preserve">-0.103</w:t>
                  </w:r>
                </w:p>
              </w:tc>
              <w:tc>
                <w:tcPr/>
                <w:p>
                  <w:pPr>
                    <w:pStyle w:val="Compact"/>
                    <w:jc w:val="left"/>
                    <w:jc w:val="center"/>
                  </w:pPr>
                  <w:r>
                    <w:t xml:space="preserve">nan</w:t>
                  </w:r>
                </w:p>
              </w:tc>
            </w:tr>
            <w:tr>
              <w:tc>
                <w:tcPr/>
                <w:p>
                  <w:pPr>
                    <w:pStyle w:val="Compact"/>
                    <w:jc w:val="left"/>
                    <w:jc w:val="center"/>
                  </w:pPr>
                  <w:r>
                    <w:t xml:space="preserve">TP</w:t>
                  </w:r>
                </w:p>
              </w:tc>
              <w:tc>
                <w:tcPr/>
                <w:p>
                  <w:pPr>
                    <w:pStyle w:val="Compact"/>
                    <w:jc w:val="left"/>
                    <w:jc w:val="center"/>
                  </w:pPr>
                  <w:r>
                    <w:t xml:space="preserve">Insertion</w:t>
                  </w:r>
                </w:p>
              </w:tc>
              <w:tc>
                <w:tcPr/>
                <w:p>
                  <w:pPr>
                    <w:pStyle w:val="Compact"/>
                    <w:jc w:val="left"/>
                    <w:jc w:val="center"/>
                  </w:pPr>
                  <w:r>
                    <w:t xml:space="preserve">Foot</w:t>
                  </w:r>
                </w:p>
              </w:tc>
              <w:tc>
                <w:tcPr/>
                <w:p>
                  <w:pPr>
                    <w:pStyle w:val="Compact"/>
                    <w:jc w:val="right"/>
                    <w:jc w:val="center"/>
                  </w:pPr>
                  <w:r>
                    <w:t xml:space="preserve">4.296</w:t>
                  </w:r>
                </w:p>
              </w:tc>
              <w:tc>
                <w:tcPr/>
                <w:p>
                  <w:pPr>
                    <w:pStyle w:val="Compact"/>
                    <w:jc w:val="right"/>
                    <w:jc w:val="center"/>
                  </w:pPr>
                  <w:r>
                    <w:t xml:space="preserve">-4.048</w:t>
                  </w:r>
                </w:p>
              </w:tc>
              <w:tc>
                <w:tcPr/>
                <w:p>
                  <w:pPr>
                    <w:pStyle w:val="Compact"/>
                    <w:jc w:val="right"/>
                    <w:jc w:val="center"/>
                  </w:pPr>
                  <w:r>
                    <w:t xml:space="preserve">-1.687</w:t>
                  </w:r>
                </w:p>
              </w:tc>
              <w:tc>
                <w:tcPr/>
                <w:p>
                  <w:pPr>
                    <w:pStyle w:val="Compact"/>
                    <w:jc w:val="left"/>
                    <w:jc w:val="center"/>
                  </w:pPr>
                  <w:r>
                    <w:t xml:space="preserve">nan</w:t>
                  </w:r>
                </w:p>
              </w:tc>
            </w:tr>
            <w:tr>
              <w:tc>
                <w:tcPr/>
                <w:p>
                  <w:pPr>
                    <w:pStyle w:val="Compact"/>
                    <w:jc w:val="left"/>
                    <w:jc w:val="center"/>
                  </w:pPr>
                  <w:r>
                    <w:t xml:space="preserve">Pop</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-13</w:t>
                  </w:r>
                </w:p>
              </w:tc>
              <w:tc>
                <w:tcPr/>
                <w:p>
                  <w:pPr>
                    <w:pStyle w:val="Compact"/>
                    <w:jc w:val="right"/>
                    <w:jc w:val="center"/>
                  </w:pPr>
                  <w:r>
                    <w:t xml:space="preserve">-3.331</w:t>
                  </w:r>
                </w:p>
              </w:tc>
              <w:tc>
                <w:tcPr/>
                <w:p>
                  <w:pPr>
                    <w:pStyle w:val="Compact"/>
                    <w:jc w:val="right"/>
                    <w:jc w:val="center"/>
                  </w:pPr>
                  <w:r>
                    <w:t xml:space="preserve">30.766</w:t>
                  </w:r>
                </w:p>
              </w:tc>
              <w:tc>
                <w:tcPr/>
                <w:p>
                  <w:pPr>
                    <w:pStyle w:val="Compact"/>
                    <w:jc w:val="left"/>
                    <w:jc w:val="center"/>
                  </w:pPr>
                  <w:r>
                    <w:t xml:space="preserve">nan</w:t>
                  </w:r>
                </w:p>
              </w:tc>
            </w:tr>
            <w:tr>
              <w:tc>
                <w:tcPr/>
                <w:p>
                  <w:pPr>
                    <w:pStyle w:val="Compact"/>
                    <w:jc w:val="left"/>
                    <w:jc w:val="center"/>
                  </w:pPr>
                  <w:r>
                    <w:t xml:space="preserve">Pop</w:t>
                  </w:r>
                </w:p>
              </w:tc>
              <w:tc>
                <w:tcPr/>
                <w:p>
                  <w:pPr>
                    <w:pStyle w:val="Compact"/>
                    <w:jc w:val="left"/>
                    <w:jc w:val="center"/>
                  </w:pPr>
                  <w:r>
                    <w:t xml:space="preserve">Via</w:t>
                  </w:r>
                </w:p>
              </w:tc>
              <w:tc>
                <w:tcPr/>
                <w:p>
                  <w:pPr>
                    <w:pStyle w:val="Compact"/>
                    <w:jc w:val="left"/>
                    <w:jc w:val="center"/>
                  </w:pPr>
                  <w:r>
                    <w:t xml:space="preserve">Femur</w:t>
                  </w:r>
                </w:p>
              </w:tc>
              <w:tc>
                <w:tcPr/>
                <w:p>
                  <w:pPr>
                    <w:pStyle w:val="Compact"/>
                    <w:jc w:val="right"/>
                    <w:jc w:val="center"/>
                  </w:pPr>
                  <w:r>
                    <w:t xml:space="preserve">-12.74</w:t>
                  </w:r>
                </w:p>
              </w:tc>
              <w:tc>
                <w:tcPr/>
                <w:p>
                  <w:pPr>
                    <w:pStyle w:val="Compact"/>
                    <w:jc w:val="right"/>
                    <w:jc w:val="center"/>
                  </w:pPr>
                  <w:r>
                    <w:t xml:space="preserve">-5.68</w:t>
                  </w:r>
                </w:p>
              </w:tc>
              <w:tc>
                <w:tcPr/>
                <w:p>
                  <w:pPr>
                    <w:pStyle w:val="Compact"/>
                    <w:jc w:val="right"/>
                    <w:jc w:val="center"/>
                  </w:pPr>
                  <w:r>
                    <w:t xml:space="preserve">29.888</w:t>
                  </w:r>
                </w:p>
              </w:tc>
              <w:tc>
                <w:tcPr/>
                <w:p>
                  <w:pPr>
                    <w:pStyle w:val="Compact"/>
                    <w:jc w:val="left"/>
                    <w:jc w:val="center"/>
                  </w:pPr>
                  <w:r>
                    <w:t xml:space="preserve">nan</w:t>
                  </w:r>
                </w:p>
              </w:tc>
            </w:tr>
            <w:tr>
              <w:tc>
                <w:tcPr/>
                <w:p>
                  <w:pPr>
                    <w:pStyle w:val="Compact"/>
                    <w:jc w:val="left"/>
                    <w:jc w:val="center"/>
                  </w:pPr>
                  <w:r>
                    <w:t xml:space="preserve">Pop</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-0.151</w:t>
                  </w:r>
                </w:p>
              </w:tc>
              <w:tc>
                <w:tcPr/>
                <w:p>
                  <w:pPr>
                    <w:pStyle w:val="Compact"/>
                    <w:jc w:val="right"/>
                    <w:jc w:val="center"/>
                  </w:pPr>
                  <w:r>
                    <w:t xml:space="preserve">-6.323</w:t>
                  </w:r>
                </w:p>
              </w:tc>
              <w:tc>
                <w:tcPr/>
                <w:p>
                  <w:pPr>
                    <w:pStyle w:val="Compact"/>
                    <w:jc w:val="right"/>
                    <w:jc w:val="center"/>
                  </w:pPr>
                  <w:r>
                    <w:t xml:space="preserve">3.876</w:t>
                  </w:r>
                </w:p>
              </w:tc>
              <w:tc>
                <w:tcPr/>
                <w:p>
                  <w:pPr>
                    <w:pStyle w:val="Compact"/>
                    <w:jc w:val="left"/>
                    <w:jc w:val="center"/>
                  </w:pPr>
                  <w:r>
                    <w:t xml:space="preserve">nan</w:t>
                  </w:r>
                </w:p>
              </w:tc>
            </w:tr>
            <w:tr>
              <w:tc>
                <w:tcPr/>
                <w:p>
                  <w:pPr>
                    <w:pStyle w:val="Compact"/>
                    <w:jc w:val="left"/>
                    <w:jc w:val="center"/>
                  </w:pPr>
                  <w:r>
                    <w:t xml:space="preserve">Pop</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-2.611</w:t>
                  </w:r>
                </w:p>
              </w:tc>
              <w:tc>
                <w:tcPr/>
                <w:p>
                  <w:pPr>
                    <w:pStyle w:val="Compact"/>
                    <w:jc w:val="right"/>
                    <w:jc w:val="center"/>
                  </w:pPr>
                  <w:r>
                    <w:t xml:space="preserve">-15.257</w:t>
                  </w:r>
                </w:p>
              </w:tc>
              <w:tc>
                <w:tcPr/>
                <w:p>
                  <w:pPr>
                    <w:pStyle w:val="Compact"/>
                    <w:jc w:val="right"/>
                    <w:jc w:val="center"/>
                  </w:pPr>
                  <w:r>
                    <w:t xml:space="preserve">-3.901</w:t>
                  </w:r>
                </w:p>
              </w:tc>
              <w:tc>
                <w:tcPr/>
                <w:p>
                  <w:pPr>
                    <w:pStyle w:val="Compact"/>
                    <w:jc w:val="left"/>
                    <w:jc w:val="center"/>
                  </w:pPr>
                  <w:r>
                    <w:t xml:space="preserve">nan</w:t>
                  </w:r>
                </w:p>
              </w:tc>
            </w:tr>
            <w:tr>
              <w:tc>
                <w:tcPr/>
                <w:p>
                  <w:pPr>
                    <w:pStyle w:val="Compact"/>
                    <w:jc w:val="left"/>
                    <w:jc w:val="center"/>
                  </w:pPr>
                  <w:r>
                    <w:t xml:space="preserve">SM</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21.909</w:t>
                  </w:r>
                </w:p>
              </w:tc>
              <w:tc>
                <w:tcPr/>
                <w:p>
                  <w:pPr>
                    <w:pStyle w:val="Compact"/>
                    <w:jc w:val="right"/>
                    <w:jc w:val="center"/>
                  </w:pPr>
                  <w:r>
                    <w:t xml:space="preserve">-6</w:t>
                  </w:r>
                </w:p>
              </w:tc>
              <w:tc>
                <w:tcPr/>
                <w:p>
                  <w:pPr>
                    <w:pStyle w:val="Compact"/>
                    <w:jc w:val="right"/>
                    <w:jc w:val="center"/>
                  </w:pPr>
                  <w:r>
                    <w:t xml:space="preserve">3.732</w:t>
                  </w:r>
                </w:p>
              </w:tc>
              <w:tc>
                <w:tcPr/>
                <w:p>
                  <w:pPr>
                    <w:pStyle w:val="Compact"/>
                    <w:jc w:val="left"/>
                    <w:jc w:val="center"/>
                  </w:pPr>
                  <w:r>
                    <w:t xml:space="preserve">nan</w:t>
                  </w:r>
                </w:p>
              </w:tc>
            </w:tr>
            <w:tr>
              <w:tc>
                <w:tcPr/>
                <w:p>
                  <w:pPr>
                    <w:pStyle w:val="Compact"/>
                    <w:jc w:val="left"/>
                    <w:jc w:val="center"/>
                  </w:pPr>
                  <w:r>
                    <w:t xml:space="preserve">SM</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-2.89</w:t>
                  </w:r>
                </w:p>
              </w:tc>
              <w:tc>
                <w:tcPr/>
                <w:p>
                  <w:pPr>
                    <w:pStyle w:val="Compact"/>
                    <w:jc w:val="right"/>
                    <w:jc w:val="center"/>
                  </w:pPr>
                  <w:r>
                    <w:t xml:space="preserve">-6.16</w:t>
                  </w:r>
                </w:p>
              </w:tc>
              <w:tc>
                <w:tcPr/>
                <w:p>
                  <w:pPr>
                    <w:pStyle w:val="Compact"/>
                    <w:jc w:val="right"/>
                    <w:jc w:val="center"/>
                  </w:pPr>
                  <w:r>
                    <w:t xml:space="preserve">-0.318</w:t>
                  </w:r>
                </w:p>
              </w:tc>
              <w:tc>
                <w:tcPr/>
                <w:p>
                  <w:pPr>
                    <w:pStyle w:val="Compact"/>
                    <w:jc w:val="left"/>
                    <w:jc w:val="center"/>
                  </w:pPr>
                  <w:r>
                    <w:t xml:space="preserve">nan</w:t>
                  </w:r>
                </w:p>
              </w:tc>
            </w:tr>
            <w:tr>
              <w:tc>
                <w:tcPr/>
                <w:p>
                  <w:pPr>
                    <w:pStyle w:val="Compact"/>
                    <w:jc w:val="left"/>
                    <w:jc w:val="center"/>
                  </w:pPr>
                  <w:r>
                    <w:t xml:space="preserve">STa</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20.964</w:t>
                  </w:r>
                </w:p>
              </w:tc>
              <w:tc>
                <w:tcPr/>
                <w:p>
                  <w:pPr>
                    <w:pStyle w:val="Compact"/>
                    <w:jc w:val="right"/>
                    <w:jc w:val="center"/>
                  </w:pPr>
                  <w:r>
                    <w:t xml:space="preserve">-1.477</w:t>
                  </w:r>
                </w:p>
              </w:tc>
              <w:tc>
                <w:tcPr/>
                <w:p>
                  <w:pPr>
                    <w:pStyle w:val="Compact"/>
                    <w:jc w:val="right"/>
                    <w:jc w:val="center"/>
                  </w:pPr>
                  <w:r>
                    <w:t xml:space="preserve">-4.803</w:t>
                  </w:r>
                </w:p>
              </w:tc>
              <w:tc>
                <w:tcPr/>
                <w:p>
                  <w:pPr>
                    <w:pStyle w:val="Compact"/>
                    <w:jc w:val="left"/>
                    <w:jc w:val="center"/>
                  </w:pPr>
                  <w:r>
                    <w:t xml:space="preserve">nan</w:t>
                  </w:r>
                </w:p>
              </w:tc>
            </w:tr>
            <w:tr>
              <w:tc>
                <w:tcPr/>
                <w:p>
                  <w:pPr>
                    <w:pStyle w:val="Compact"/>
                    <w:jc w:val="left"/>
                    <w:jc w:val="center"/>
                  </w:pPr>
                  <w:r>
                    <w:t xml:space="preserve">STa</w:t>
                  </w:r>
                </w:p>
              </w:tc>
              <w:tc>
                <w:tcPr/>
                <w:p>
                  <w:pPr>
                    <w:pStyle w:val="Compact"/>
                    <w:jc w:val="left"/>
                    <w:jc w:val="center"/>
                  </w:pPr>
                  <w:r>
                    <w:t xml:space="preserve">Via</w:t>
                  </w:r>
                </w:p>
              </w:tc>
              <w:tc>
                <w:tcPr/>
                <w:p>
                  <w:pPr>
                    <w:pStyle w:val="Compact"/>
                    <w:jc w:val="left"/>
                    <w:jc w:val="center"/>
                  </w:pPr>
                  <w:r>
                    <w:t xml:space="preserve">Pelvis</w:t>
                  </w:r>
                </w:p>
              </w:tc>
              <w:tc>
                <w:tcPr/>
                <w:p>
                  <w:pPr>
                    <w:pStyle w:val="Compact"/>
                    <w:jc w:val="right"/>
                    <w:jc w:val="center"/>
                  </w:pPr>
                  <w:r>
                    <w:t xml:space="preserve">21.042</w:t>
                  </w:r>
                </w:p>
              </w:tc>
              <w:tc>
                <w:tcPr/>
                <w:p>
                  <w:pPr>
                    <w:pStyle w:val="Compact"/>
                    <w:jc w:val="right"/>
                    <w:jc w:val="center"/>
                  </w:pPr>
                  <w:r>
                    <w:t xml:space="preserve">-4.671</w:t>
                  </w:r>
                </w:p>
              </w:tc>
              <w:tc>
                <w:tcPr/>
                <w:p>
                  <w:pPr>
                    <w:pStyle w:val="Compact"/>
                    <w:jc w:val="right"/>
                    <w:jc w:val="center"/>
                  </w:pPr>
                  <w:r>
                    <w:t xml:space="preserve">-2.5</w:t>
                  </w:r>
                </w:p>
              </w:tc>
              <w:tc>
                <w:tcPr/>
                <w:p>
                  <w:pPr>
                    <w:pStyle w:val="Compact"/>
                    <w:jc w:val="left"/>
                    <w:jc w:val="center"/>
                  </w:pPr>
                  <w:r>
                    <w:t xml:space="preserve">nan</w:t>
                  </w:r>
                </w:p>
              </w:tc>
            </w:tr>
            <w:tr>
              <w:tc>
                <w:tcPr/>
                <w:p>
                  <w:pPr>
                    <w:pStyle w:val="Compact"/>
                    <w:jc w:val="left"/>
                    <w:jc w:val="center"/>
                  </w:pPr>
                  <w:r>
                    <w:t xml:space="preserve">STa</w:t>
                  </w:r>
                </w:p>
              </w:tc>
              <w:tc>
                <w:tcPr/>
                <w:p>
                  <w:pPr>
                    <w:pStyle w:val="Compact"/>
                    <w:jc w:val="left"/>
                    <w:jc w:val="center"/>
                  </w:pPr>
                  <w:r>
                    <w:t xml:space="preserve">Via</w:t>
                  </w:r>
                </w:p>
              </w:tc>
              <w:tc>
                <w:tcPr/>
                <w:p>
                  <w:pPr>
                    <w:pStyle w:val="Compact"/>
                    <w:jc w:val="left"/>
                    <w:jc w:val="center"/>
                  </w:pPr>
                  <w:r>
                    <w:t xml:space="preserve">Pelvis</w:t>
                  </w:r>
                </w:p>
              </w:tc>
              <w:tc>
                <w:tcPr/>
                <w:p>
                  <w:pPr>
                    <w:pStyle w:val="Compact"/>
                    <w:jc w:val="right"/>
                    <w:jc w:val="center"/>
                  </w:pPr>
                  <w:r>
                    <w:t xml:space="preserve">21.056</w:t>
                  </w:r>
                </w:p>
              </w:tc>
              <w:tc>
                <w:tcPr/>
                <w:p>
                  <w:pPr>
                    <w:pStyle w:val="Compact"/>
                    <w:jc w:val="right"/>
                    <w:jc w:val="center"/>
                  </w:pPr>
                  <w:r>
                    <w:t xml:space="preserve">-6.303</w:t>
                  </w:r>
                </w:p>
              </w:tc>
              <w:tc>
                <w:tcPr/>
                <w:p>
                  <w:pPr>
                    <w:pStyle w:val="Compact"/>
                    <w:jc w:val="right"/>
                    <w:jc w:val="center"/>
                  </w:pPr>
                  <w:r>
                    <w:t xml:space="preserve">-0.809</w:t>
                  </w:r>
                </w:p>
              </w:tc>
              <w:tc>
                <w:tcPr/>
                <w:p>
                  <w:pPr>
                    <w:pStyle w:val="Compact"/>
                    <w:jc w:val="left"/>
                    <w:jc w:val="center"/>
                  </w:pPr>
                  <w:r>
                    <w:t xml:space="preserve">nan</w:t>
                  </w:r>
                </w:p>
              </w:tc>
            </w:tr>
            <w:tr>
              <w:tc>
                <w:tcPr/>
                <w:p>
                  <w:pPr>
                    <w:pStyle w:val="Compact"/>
                    <w:jc w:val="left"/>
                    <w:jc w:val="center"/>
                  </w:pPr>
                  <w:r>
                    <w:t xml:space="preserve">STa</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-2.449</w:t>
                  </w:r>
                </w:p>
              </w:tc>
              <w:tc>
                <w:tcPr/>
                <w:p>
                  <w:pPr>
                    <w:pStyle w:val="Compact"/>
                    <w:jc w:val="right"/>
                    <w:jc w:val="center"/>
                  </w:pPr>
                  <w:r>
                    <w:t xml:space="preserve">-13.114</w:t>
                  </w:r>
                </w:p>
              </w:tc>
              <w:tc>
                <w:tcPr/>
                <w:p>
                  <w:pPr>
                    <w:pStyle w:val="Compact"/>
                    <w:jc w:val="right"/>
                    <w:jc w:val="center"/>
                  </w:pPr>
                  <w:r>
                    <w:t xml:space="preserve">-3.591</w:t>
                  </w:r>
                </w:p>
              </w:tc>
              <w:tc>
                <w:tcPr/>
                <w:p>
                  <w:pPr>
                    <w:pStyle w:val="Compact"/>
                    <w:jc w:val="left"/>
                    <w:jc w:val="center"/>
                  </w:pPr>
                  <w:r>
                    <w:t xml:space="preserve">ST?</w:t>
                  </w:r>
                </w:p>
              </w:tc>
            </w:tr>
            <w:tr>
              <w:tc>
                <w:tcPr/>
                <w:p>
                  <w:pPr>
                    <w:pStyle w:val="Compact"/>
                    <w:jc w:val="left"/>
                    <w:jc w:val="center"/>
                  </w:pPr>
                  <w:r>
                    <w:t xml:space="preserve">STp</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22.152</w:t>
                  </w:r>
                </w:p>
              </w:tc>
              <w:tc>
                <w:tcPr/>
                <w:p>
                  <w:pPr>
                    <w:pStyle w:val="Compact"/>
                    <w:jc w:val="right"/>
                    <w:jc w:val="center"/>
                  </w:pPr>
                  <w:r>
                    <w:t xml:space="preserve">-5.93</w:t>
                  </w:r>
                </w:p>
              </w:tc>
              <w:tc>
                <w:tcPr/>
                <w:p>
                  <w:pPr>
                    <w:pStyle w:val="Compact"/>
                    <w:jc w:val="right"/>
                    <w:jc w:val="center"/>
                  </w:pPr>
                  <w:r>
                    <w:t xml:space="preserve">0.642</w:t>
                  </w:r>
                </w:p>
              </w:tc>
              <w:tc>
                <w:tcPr/>
                <w:p>
                  <w:pPr>
                    <w:pStyle w:val="Compact"/>
                    <w:jc w:val="left"/>
                    <w:jc w:val="center"/>
                  </w:pPr>
                  <w:r>
                    <w:t xml:space="preserve">nan</w:t>
                  </w:r>
                </w:p>
              </w:tc>
            </w:tr>
            <w:tr>
              <w:tc>
                <w:tcPr/>
                <w:p>
                  <w:pPr>
                    <w:pStyle w:val="Compact"/>
                    <w:jc w:val="left"/>
                    <w:jc w:val="center"/>
                  </w:pPr>
                  <w:r>
                    <w:t xml:space="preserve">STp</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-2.449</w:t>
                  </w:r>
                </w:p>
              </w:tc>
              <w:tc>
                <w:tcPr/>
                <w:p>
                  <w:pPr>
                    <w:pStyle w:val="Compact"/>
                    <w:jc w:val="right"/>
                    <w:jc w:val="center"/>
                  </w:pPr>
                  <w:r>
                    <w:t xml:space="preserve">-13.114</w:t>
                  </w:r>
                </w:p>
              </w:tc>
              <w:tc>
                <w:tcPr/>
                <w:p>
                  <w:pPr>
                    <w:pStyle w:val="Compact"/>
                    <w:jc w:val="right"/>
                    <w:jc w:val="center"/>
                  </w:pPr>
                  <w:r>
                    <w:t xml:space="preserve">-3.591</w:t>
                  </w:r>
                </w:p>
              </w:tc>
              <w:tc>
                <w:tcPr/>
                <w:p>
                  <w:pPr>
                    <w:pStyle w:val="Compact"/>
                    <w:jc w:val="left"/>
                    <w:jc w:val="center"/>
                  </w:pPr>
                  <w:r>
                    <w:t xml:space="preserve">nan</w:t>
                  </w:r>
                </w:p>
              </w:tc>
            </w:tr>
            <w:tr>
              <w:tc>
                <w:tcPr/>
                <w:p>
                  <w:pPr>
                    <w:pStyle w:val="Compact"/>
                    <w:jc w:val="left"/>
                    <w:jc w:val="center"/>
                  </w:pPr>
                  <w:r>
                    <w:t xml:space="preserve">VI</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-9.016</w:t>
                  </w:r>
                </w:p>
              </w:tc>
              <w:tc>
                <w:tcPr/>
                <w:p>
                  <w:pPr>
                    <w:pStyle w:val="Compact"/>
                    <w:jc w:val="right"/>
                    <w:jc w:val="center"/>
                  </w:pPr>
                  <w:r>
                    <w:t xml:space="preserve">-1.543</w:t>
                  </w:r>
                </w:p>
              </w:tc>
              <w:tc>
                <w:tcPr/>
                <w:p>
                  <w:pPr>
                    <w:pStyle w:val="Compact"/>
                    <w:jc w:val="right"/>
                    <w:jc w:val="center"/>
                  </w:pPr>
                  <w:r>
                    <w:t xml:space="preserve">8.885</w:t>
                  </w:r>
                </w:p>
              </w:tc>
              <w:tc>
                <w:tcPr/>
                <w:p>
                  <w:pPr>
                    <w:pStyle w:val="Compact"/>
                    <w:jc w:val="left"/>
                    <w:jc w:val="center"/>
                  </w:pPr>
                  <w:r>
                    <w:t xml:space="preserve">nan</w:t>
                  </w:r>
                </w:p>
              </w:tc>
            </w:tr>
            <w:tr>
              <w:tc>
                <w:tcPr/>
                <w:p>
                  <w:pPr>
                    <w:pStyle w:val="Compact"/>
                    <w:jc w:val="left"/>
                    <w:jc w:val="center"/>
                  </w:pPr>
                  <w:r>
                    <w:t xml:space="preserve">VI</w:t>
                  </w:r>
                </w:p>
              </w:tc>
              <w:tc>
                <w:tcPr/>
                <w:p>
                  <w:pPr>
                    <w:pStyle w:val="Compact"/>
                    <w:jc w:val="left"/>
                    <w:jc w:val="center"/>
                  </w:pPr>
                  <w:r>
                    <w:t xml:space="preserve">Via</w:t>
                  </w:r>
                </w:p>
              </w:tc>
              <w:tc>
                <w:tcPr/>
                <w:p>
                  <w:pPr>
                    <w:pStyle w:val="Compact"/>
                    <w:jc w:val="left"/>
                    <w:jc w:val="center"/>
                  </w:pPr>
                  <w:r>
                    <w:t xml:space="preserve">Femur</w:t>
                  </w:r>
                </w:p>
              </w:tc>
              <w:tc>
                <w:tcPr/>
                <w:p>
                  <w:pPr>
                    <w:pStyle w:val="Compact"/>
                    <w:jc w:val="right"/>
                    <w:jc w:val="center"/>
                  </w:pPr>
                  <w:r>
                    <w:t xml:space="preserve">-12.538</w:t>
                  </w:r>
                </w:p>
              </w:tc>
              <w:tc>
                <w:tcPr/>
                <w:p>
                  <w:pPr>
                    <w:pStyle w:val="Compact"/>
                    <w:jc w:val="right"/>
                    <w:jc w:val="center"/>
                  </w:pPr>
                  <w:r>
                    <w:t xml:space="preserve">-0.655</w:t>
                  </w:r>
                </w:p>
              </w:tc>
              <w:tc>
                <w:tcPr/>
                <w:p>
                  <w:pPr>
                    <w:pStyle w:val="Compact"/>
                    <w:jc w:val="right"/>
                    <w:jc w:val="center"/>
                  </w:pPr>
                  <w:r>
                    <w:t xml:space="preserve">33.545</w:t>
                  </w:r>
                </w:p>
              </w:tc>
              <w:tc>
                <w:tcPr/>
                <w:p>
                  <w:pPr>
                    <w:pStyle w:val="Compact"/>
                    <w:jc w:val="left"/>
                    <w:jc w:val="center"/>
                  </w:pPr>
                  <w:r>
                    <w:t xml:space="preserve">nan</w:t>
                  </w:r>
                </w:p>
              </w:tc>
            </w:tr>
            <w:tr>
              <w:tc>
                <w:tcPr/>
                <w:p>
                  <w:pPr>
                    <w:pStyle w:val="Compact"/>
                    <w:jc w:val="left"/>
                    <w:jc w:val="center"/>
                  </w:pPr>
                  <w:r>
                    <w:t xml:space="preserve">VI</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-0.29</w:t>
                  </w:r>
                </w:p>
              </w:tc>
              <w:tc>
                <w:tcPr/>
                <w:p>
                  <w:pPr>
                    <w:pStyle w:val="Compact"/>
                    <w:jc w:val="right"/>
                    <w:jc w:val="center"/>
                  </w:pPr>
                  <w:r>
                    <w:t xml:space="preserve">0.756</w:t>
                  </w:r>
                </w:p>
              </w:tc>
              <w:tc>
                <w:tcPr/>
                <w:p>
                  <w:pPr>
                    <w:pStyle w:val="Compact"/>
                    <w:jc w:val="right"/>
                    <w:jc w:val="center"/>
                  </w:pPr>
                  <w:r>
                    <w:t xml:space="preserve">-2.082</w:t>
                  </w:r>
                </w:p>
              </w:tc>
              <w:tc>
                <w:tcPr/>
                <w:p>
                  <w:pPr>
                    <w:pStyle w:val="Compact"/>
                    <w:jc w:val="left"/>
                    <w:jc w:val="center"/>
                  </w:pPr>
                  <w:r>
                    <w:t xml:space="preserve">nan</w:t>
                  </w:r>
                </w:p>
              </w:tc>
            </w:tr>
            <w:tr>
              <w:tc>
                <w:tcPr/>
                <w:p>
                  <w:pPr>
                    <w:pStyle w:val="Compact"/>
                    <w:jc w:val="left"/>
                    <w:jc w:val="center"/>
                  </w:pPr>
                  <w:r>
                    <w:t xml:space="preserve">VI</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-0.527</w:t>
                  </w:r>
                </w:p>
              </w:tc>
              <w:tc>
                <w:tcPr/>
                <w:p>
                  <w:pPr>
                    <w:pStyle w:val="Compact"/>
                    <w:jc w:val="right"/>
                    <w:jc w:val="center"/>
                  </w:pPr>
                  <w:r>
                    <w:t xml:space="preserve">-3.598</w:t>
                  </w:r>
                </w:p>
              </w:tc>
              <w:tc>
                <w:tcPr/>
                <w:p>
                  <w:pPr>
                    <w:pStyle w:val="Compact"/>
                    <w:jc w:val="right"/>
                    <w:jc w:val="center"/>
                  </w:pPr>
                  <w:r>
                    <w:t xml:space="preserve">-5</w:t>
                  </w:r>
                </w:p>
              </w:tc>
              <w:tc>
                <w:tcPr/>
                <w:p>
                  <w:pPr>
                    <w:pStyle w:val="Compact"/>
                    <w:jc w:val="left"/>
                    <w:jc w:val="center"/>
                  </w:pPr>
                  <w:r>
                    <w:t xml:space="preserve">Tibial tuberosity</w:t>
                  </w:r>
                </w:p>
              </w:tc>
            </w:tr>
            <w:tr>
              <w:tc>
                <w:tcPr/>
                <w:p>
                  <w:pPr>
                    <w:pStyle w:val="Compact"/>
                    <w:jc w:val="left"/>
                    <w:jc w:val="center"/>
                  </w:pPr>
                  <w:r>
                    <w:t xml:space="preserve">VL</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-8.878</w:t>
                  </w:r>
                </w:p>
              </w:tc>
              <w:tc>
                <w:tcPr/>
                <w:p>
                  <w:pPr>
                    <w:pStyle w:val="Compact"/>
                    <w:jc w:val="right"/>
                    <w:jc w:val="center"/>
                  </w:pPr>
                  <w:r>
                    <w:t xml:space="preserve">-2.021</w:t>
                  </w:r>
                </w:p>
              </w:tc>
              <w:tc>
                <w:tcPr/>
                <w:p>
                  <w:pPr>
                    <w:pStyle w:val="Compact"/>
                    <w:jc w:val="right"/>
                    <w:jc w:val="center"/>
                  </w:pPr>
                  <w:r>
                    <w:t xml:space="preserve">1.648</w:t>
                  </w:r>
                </w:p>
              </w:tc>
              <w:tc>
                <w:tcPr/>
                <w:p>
                  <w:pPr>
                    <w:pStyle w:val="Compact"/>
                    <w:jc w:val="left"/>
                    <w:jc w:val="center"/>
                  </w:pPr>
                  <w:r>
                    <w:t xml:space="preserve">nan</w:t>
                  </w:r>
                </w:p>
              </w:tc>
            </w:tr>
            <w:tr>
              <w:tc>
                <w:tcPr/>
                <w:p>
                  <w:pPr>
                    <w:pStyle w:val="Compact"/>
                    <w:jc w:val="left"/>
                    <w:jc w:val="center"/>
                  </w:pPr>
                  <w:r>
                    <w:t xml:space="preserve">VL</w:t>
                  </w:r>
                </w:p>
              </w:tc>
              <w:tc>
                <w:tcPr/>
                <w:p>
                  <w:pPr>
                    <w:pStyle w:val="Compact"/>
                    <w:jc w:val="left"/>
                    <w:jc w:val="center"/>
                  </w:pPr>
                  <w:r>
                    <w:t xml:space="preserve">Via</w:t>
                  </w:r>
                </w:p>
              </w:tc>
              <w:tc>
                <w:tcPr/>
                <w:p>
                  <w:pPr>
                    <w:pStyle w:val="Compact"/>
                    <w:jc w:val="left"/>
                    <w:jc w:val="center"/>
                  </w:pPr>
                  <w:r>
                    <w:t xml:space="preserve">Femur</w:t>
                  </w:r>
                </w:p>
              </w:tc>
              <w:tc>
                <w:tcPr/>
                <w:p>
                  <w:pPr>
                    <w:pStyle w:val="Compact"/>
                    <w:jc w:val="right"/>
                    <w:jc w:val="center"/>
                  </w:pPr>
                  <w:r>
                    <w:t xml:space="preserve">-12.657</w:t>
                  </w:r>
                </w:p>
              </w:tc>
              <w:tc>
                <w:tcPr/>
                <w:p>
                  <w:pPr>
                    <w:pStyle w:val="Compact"/>
                    <w:jc w:val="right"/>
                    <w:jc w:val="center"/>
                  </w:pPr>
                  <w:r>
                    <w:t xml:space="preserve">-2.802</w:t>
                  </w:r>
                </w:p>
              </w:tc>
              <w:tc>
                <w:tcPr/>
                <w:p>
                  <w:pPr>
                    <w:pStyle w:val="Compact"/>
                    <w:jc w:val="right"/>
                    <w:jc w:val="center"/>
                  </w:pPr>
                  <w:r>
                    <w:t xml:space="preserve">32.316</w:t>
                  </w:r>
                </w:p>
              </w:tc>
              <w:tc>
                <w:tcPr/>
                <w:p>
                  <w:pPr>
                    <w:pStyle w:val="Compact"/>
                    <w:jc w:val="left"/>
                    <w:jc w:val="center"/>
                  </w:pPr>
                  <w:r>
                    <w:t xml:space="preserve">nan</w:t>
                  </w:r>
                </w:p>
              </w:tc>
            </w:tr>
            <w:tr>
              <w:tc>
                <w:tcPr/>
                <w:p>
                  <w:pPr>
                    <w:pStyle w:val="Compact"/>
                    <w:jc w:val="left"/>
                    <w:jc w:val="center"/>
                  </w:pPr>
                  <w:r>
                    <w:t xml:space="preserve">VL</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1.159</w:t>
                  </w:r>
                </w:p>
              </w:tc>
              <w:tc>
                <w:tcPr/>
                <w:p>
                  <w:pPr>
                    <w:pStyle w:val="Compact"/>
                    <w:jc w:val="right"/>
                    <w:jc w:val="center"/>
                  </w:pPr>
                  <w:r>
                    <w:t xml:space="preserve">1.022</w:t>
                  </w:r>
                </w:p>
              </w:tc>
              <w:tc>
                <w:tcPr/>
                <w:p>
                  <w:pPr>
                    <w:pStyle w:val="Compact"/>
                    <w:jc w:val="right"/>
                    <w:jc w:val="center"/>
                  </w:pPr>
                  <w:r>
                    <w:t xml:space="preserve">-1.799</w:t>
                  </w:r>
                </w:p>
              </w:tc>
              <w:tc>
                <w:tcPr/>
                <w:p>
                  <w:pPr>
                    <w:pStyle w:val="Compact"/>
                    <w:jc w:val="left"/>
                    <w:jc w:val="center"/>
                  </w:pPr>
                  <w:r>
                    <w:t xml:space="preserve">nan</w:t>
                  </w:r>
                </w:p>
              </w:tc>
            </w:tr>
            <w:tr>
              <w:tc>
                <w:tcPr/>
                <w:p>
                  <w:pPr>
                    <w:pStyle w:val="Compact"/>
                    <w:jc w:val="left"/>
                    <w:jc w:val="center"/>
                  </w:pPr>
                  <w:r>
                    <w:t xml:space="preserve">VL</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-0.527</w:t>
                  </w:r>
                </w:p>
              </w:tc>
              <w:tc>
                <w:tcPr/>
                <w:p>
                  <w:pPr>
                    <w:pStyle w:val="Compact"/>
                    <w:jc w:val="right"/>
                    <w:jc w:val="center"/>
                  </w:pPr>
                  <w:r>
                    <w:t xml:space="preserve">-3.598</w:t>
                  </w:r>
                </w:p>
              </w:tc>
              <w:tc>
                <w:tcPr/>
                <w:p>
                  <w:pPr>
                    <w:pStyle w:val="Compact"/>
                    <w:jc w:val="right"/>
                    <w:jc w:val="center"/>
                  </w:pPr>
                  <w:r>
                    <w:t xml:space="preserve">-5</w:t>
                  </w:r>
                </w:p>
              </w:tc>
              <w:tc>
                <w:tcPr/>
                <w:p>
                  <w:pPr>
                    <w:pStyle w:val="Compact"/>
                    <w:jc w:val="left"/>
                    <w:jc w:val="center"/>
                  </w:pPr>
                  <w:r>
                    <w:t xml:space="preserve">nan</w:t>
                  </w:r>
                </w:p>
              </w:tc>
            </w:tr>
            <w:tr>
              <w:tc>
                <w:tcPr/>
                <w:p>
                  <w:pPr>
                    <w:pStyle w:val="Compact"/>
                    <w:jc w:val="left"/>
                    <w:jc w:val="center"/>
                  </w:pPr>
                  <w:r>
                    <w:t xml:space="preserve">VM</w:t>
                  </w:r>
                </w:p>
              </w:tc>
              <w:tc>
                <w:tcPr/>
                <w:p>
                  <w:pPr>
                    <w:pStyle w:val="Compact"/>
                    <w:jc w:val="left"/>
                    <w:jc w:val="center"/>
                  </w:pPr>
                  <w:r>
                    <w:t xml:space="preserve">Origin</w:t>
                  </w:r>
                </w:p>
              </w:tc>
              <w:tc>
                <w:tcPr/>
                <w:p>
                  <w:pPr>
                    <w:pStyle w:val="Compact"/>
                    <w:jc w:val="left"/>
                    <w:jc w:val="center"/>
                  </w:pPr>
                  <w:r>
                    <w:t xml:space="preserve">Femur</w:t>
                  </w:r>
                </w:p>
              </w:tc>
              <w:tc>
                <w:tcPr/>
                <w:p>
                  <w:pPr>
                    <w:pStyle w:val="Compact"/>
                    <w:jc w:val="right"/>
                    <w:jc w:val="center"/>
                  </w:pPr>
                  <w:r>
                    <w:t xml:space="preserve">-4</w:t>
                  </w:r>
                </w:p>
              </w:tc>
              <w:tc>
                <w:tcPr/>
                <w:p>
                  <w:pPr>
                    <w:pStyle w:val="Compact"/>
                    <w:jc w:val="right"/>
                    <w:jc w:val="center"/>
                  </w:pPr>
                  <w:r>
                    <w:t xml:space="preserve">-1.169</w:t>
                  </w:r>
                </w:p>
              </w:tc>
              <w:tc>
                <w:tcPr/>
                <w:p>
                  <w:pPr>
                    <w:pStyle w:val="Compact"/>
                    <w:jc w:val="right"/>
                    <w:jc w:val="center"/>
                  </w:pPr>
                  <w:r>
                    <w:t xml:space="preserve">4.662</w:t>
                  </w:r>
                </w:p>
              </w:tc>
              <w:tc>
                <w:tcPr/>
                <w:p>
                  <w:pPr>
                    <w:pStyle w:val="Compact"/>
                    <w:jc w:val="left"/>
                    <w:jc w:val="center"/>
                  </w:pPr>
                  <w:r>
                    <w:t xml:space="preserve">nan</w:t>
                  </w:r>
                </w:p>
              </w:tc>
            </w:tr>
            <w:tr>
              <w:tc>
                <w:tcPr/>
                <w:p>
                  <w:pPr>
                    <w:pStyle w:val="Compact"/>
                    <w:jc w:val="left"/>
                    <w:jc w:val="center"/>
                  </w:pPr>
                  <w:r>
                    <w:t xml:space="preserve">VM</w:t>
                  </w:r>
                </w:p>
              </w:tc>
              <w:tc>
                <w:tcPr/>
                <w:p>
                  <w:pPr>
                    <w:pStyle w:val="Compact"/>
                    <w:jc w:val="left"/>
                    <w:jc w:val="center"/>
                  </w:pPr>
                  <w:r>
                    <w:t xml:space="preserve">Via</w:t>
                  </w:r>
                </w:p>
              </w:tc>
              <w:tc>
                <w:tcPr/>
                <w:p>
                  <w:pPr>
                    <w:pStyle w:val="Compact"/>
                    <w:jc w:val="left"/>
                    <w:jc w:val="center"/>
                  </w:pPr>
                  <w:r>
                    <w:t xml:space="preserve">Femur</w:t>
                  </w:r>
                </w:p>
              </w:tc>
              <w:tc>
                <w:tcPr/>
                <w:p>
                  <w:pPr>
                    <w:pStyle w:val="Compact"/>
                    <w:jc w:val="right"/>
                    <w:jc w:val="center"/>
                  </w:pPr>
                  <w:r>
                    <w:t xml:space="preserve">-7.386</w:t>
                  </w:r>
                </w:p>
              </w:tc>
              <w:tc>
                <w:tcPr/>
                <w:p>
                  <w:pPr>
                    <w:pStyle w:val="Compact"/>
                    <w:jc w:val="right"/>
                    <w:jc w:val="center"/>
                  </w:pPr>
                  <w:r>
                    <w:t xml:space="preserve">0.036067</w:t>
                  </w:r>
                </w:p>
              </w:tc>
              <w:tc>
                <w:tcPr/>
                <w:p>
                  <w:pPr>
                    <w:pStyle w:val="Compact"/>
                    <w:jc w:val="right"/>
                    <w:jc w:val="center"/>
                  </w:pPr>
                  <w:r>
                    <w:t xml:space="preserve">33.844</w:t>
                  </w:r>
                </w:p>
              </w:tc>
              <w:tc>
                <w:tcPr/>
                <w:p>
                  <w:pPr>
                    <w:pStyle w:val="Compact"/>
                    <w:jc w:val="left"/>
                    <w:jc w:val="center"/>
                  </w:pPr>
                  <w:r>
                    <w:t xml:space="preserve">nan</w:t>
                  </w:r>
                </w:p>
              </w:tc>
            </w:tr>
            <w:tr>
              <w:tc>
                <w:tcPr/>
                <w:p>
                  <w:pPr>
                    <w:pStyle w:val="Compact"/>
                    <w:jc w:val="left"/>
                    <w:jc w:val="center"/>
                  </w:pPr>
                  <w:r>
                    <w:t xml:space="preserve">VM</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-3.916</w:t>
                  </w:r>
                </w:p>
              </w:tc>
              <w:tc>
                <w:tcPr/>
                <w:p>
                  <w:pPr>
                    <w:pStyle w:val="Compact"/>
                    <w:jc w:val="right"/>
                    <w:jc w:val="center"/>
                  </w:pPr>
                  <w:r>
                    <w:t xml:space="preserve">0.713</w:t>
                  </w:r>
                </w:p>
              </w:tc>
              <w:tc>
                <w:tcPr/>
                <w:p>
                  <w:pPr>
                    <w:pStyle w:val="Compact"/>
                    <w:jc w:val="right"/>
                    <w:jc w:val="center"/>
                  </w:pPr>
                  <w:r>
                    <w:t xml:space="preserve">-2.615</w:t>
                  </w:r>
                </w:p>
              </w:tc>
              <w:tc>
                <w:tcPr/>
                <w:p>
                  <w:pPr>
                    <w:pStyle w:val="Compact"/>
                    <w:jc w:val="left"/>
                    <w:jc w:val="center"/>
                  </w:pPr>
                  <w:r>
                    <w:t xml:space="preserve">nan</w:t>
                  </w:r>
                </w:p>
              </w:tc>
            </w:tr>
            <w:tr>
              <w:tc>
                <w:tcPr/>
                <w:p>
                  <w:pPr>
                    <w:pStyle w:val="Compact"/>
                    <w:jc w:val="left"/>
                    <w:jc w:val="center"/>
                  </w:pPr>
                  <w:r>
                    <w:t xml:space="preserve">VM</w:t>
                  </w:r>
                </w:p>
              </w:tc>
              <w:tc>
                <w:tcPr/>
                <w:p>
                  <w:pPr>
                    <w:pStyle w:val="Compact"/>
                    <w:jc w:val="left"/>
                    <w:jc w:val="center"/>
                  </w:pPr>
                  <w:r>
                    <w:t xml:space="preserve">Insertion</w:t>
                  </w:r>
                </w:p>
              </w:tc>
              <w:tc>
                <w:tcPr/>
                <w:p>
                  <w:pPr>
                    <w:pStyle w:val="Compact"/>
                    <w:jc w:val="left"/>
                    <w:jc w:val="center"/>
                  </w:pPr>
                  <w:r>
                    <w:t xml:space="preserve">Tibia</w:t>
                  </w:r>
                </w:p>
              </w:tc>
              <w:tc>
                <w:tcPr/>
                <w:p>
                  <w:pPr>
                    <w:pStyle w:val="Compact"/>
                    <w:jc w:val="right"/>
                    <w:jc w:val="center"/>
                  </w:pPr>
                  <w:r>
                    <w:t xml:space="preserve">-0.527</w:t>
                  </w:r>
                </w:p>
              </w:tc>
              <w:tc>
                <w:tcPr/>
                <w:p>
                  <w:pPr>
                    <w:pStyle w:val="Compact"/>
                    <w:jc w:val="right"/>
                    <w:jc w:val="center"/>
                  </w:pPr>
                  <w:r>
                    <w:t xml:space="preserve">-3.598</w:t>
                  </w:r>
                </w:p>
              </w:tc>
              <w:tc>
                <w:tcPr/>
                <w:p>
                  <w:pPr>
                    <w:pStyle w:val="Compact"/>
                    <w:jc w:val="right"/>
                    <w:jc w:val="center"/>
                  </w:pPr>
                  <w:r>
                    <w:t xml:space="preserve">-5</w:t>
                  </w:r>
                </w:p>
              </w:tc>
              <w:tc>
                <w:tcPr/>
                <w:p>
                  <w:pPr>
                    <w:pStyle w:val="Compact"/>
                    <w:jc w:val="left"/>
                    <w:jc w:val="center"/>
                  </w:pPr>
                  <w:r>
                    <w:t xml:space="preserve">nan</w:t>
                  </w:r>
                </w:p>
              </w:tc>
            </w:tr>
            <w:tr>
              <w:tc>
                <w:tcPr/>
                <w:p>
                  <w:pPr>
                    <w:pStyle w:val="Compact"/>
                    <w:jc w:val="left"/>
                    <w:jc w:val="center"/>
                  </w:pPr>
                  <w:r>
                    <w:t xml:space="preserve">OE</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15.777</w:t>
                  </w:r>
                </w:p>
              </w:tc>
              <w:tc>
                <w:tcPr/>
                <w:p>
                  <w:pPr>
                    <w:pStyle w:val="Compact"/>
                    <w:jc w:val="right"/>
                    <w:jc w:val="center"/>
                  </w:pPr>
                  <w:r>
                    <w:t xml:space="preserve">-6.5</w:t>
                  </w:r>
                </w:p>
              </w:tc>
              <w:tc>
                <w:tcPr/>
                <w:p>
                  <w:pPr>
                    <w:pStyle w:val="Compact"/>
                    <w:jc w:val="right"/>
                    <w:jc w:val="center"/>
                  </w:pPr>
                  <w:r>
                    <w:t xml:space="preserve">4.619</w:t>
                  </w:r>
                </w:p>
              </w:tc>
              <w:tc>
                <w:tcPr/>
                <w:p>
                  <w:pPr>
                    <w:pStyle w:val="Compact"/>
                    <w:jc w:val="left"/>
                    <w:jc w:val="center"/>
                  </w:pPr>
                  <w:r>
                    <w:t xml:space="preserve">nan</w:t>
                  </w:r>
                </w:p>
              </w:tc>
            </w:tr>
            <w:tr>
              <w:tc>
                <w:tcPr/>
                <w:p>
                  <w:pPr>
                    <w:pStyle w:val="Compact"/>
                    <w:jc w:val="left"/>
                    <w:jc w:val="center"/>
                  </w:pPr>
                  <w:r>
                    <w:t xml:space="preserve">OE</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-2.809</w:t>
                  </w:r>
                </w:p>
              </w:tc>
              <w:tc>
                <w:tcPr/>
                <w:p>
                  <w:pPr>
                    <w:pStyle w:val="Compact"/>
                    <w:jc w:val="right"/>
                    <w:jc w:val="center"/>
                  </w:pPr>
                  <w:r>
                    <w:t xml:space="preserve">-2.8</w:t>
                  </w:r>
                </w:p>
              </w:tc>
              <w:tc>
                <w:tcPr/>
                <w:p>
                  <w:pPr>
                    <w:pStyle w:val="Compact"/>
                    <w:jc w:val="right"/>
                    <w:jc w:val="center"/>
                  </w:pPr>
                  <w:r>
                    <w:t xml:space="preserve">0.605</w:t>
                  </w:r>
                </w:p>
              </w:tc>
              <w:tc>
                <w:tcPr/>
                <w:p>
                  <w:pPr>
                    <w:pStyle w:val="Compact"/>
                    <w:jc w:val="left"/>
                    <w:jc w:val="center"/>
                  </w:pPr>
                  <w:r>
                    <w:t xml:space="preserve">nan</w:t>
                  </w:r>
                </w:p>
              </w:tc>
            </w:tr>
            <w:tr>
              <w:tc>
                <w:tcPr/>
                <w:p>
                  <w:pPr>
                    <w:pStyle w:val="Compact"/>
                    <w:jc w:val="left"/>
                    <w:jc w:val="center"/>
                  </w:pPr>
                  <w:r>
                    <w:t xml:space="preserve">OI</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19.884</w:t>
                  </w:r>
                </w:p>
              </w:tc>
              <w:tc>
                <w:tcPr/>
                <w:p>
                  <w:pPr>
                    <w:pStyle w:val="Compact"/>
                    <w:jc w:val="right"/>
                    <w:jc w:val="center"/>
                  </w:pPr>
                  <w:r>
                    <w:t xml:space="preserve">-6.8</w:t>
                  </w:r>
                </w:p>
              </w:tc>
              <w:tc>
                <w:tcPr/>
                <w:p>
                  <w:pPr>
                    <w:pStyle w:val="Compact"/>
                    <w:jc w:val="right"/>
                    <w:jc w:val="center"/>
                  </w:pPr>
                  <w:r>
                    <w:t xml:space="preserve">3.25</w:t>
                  </w:r>
                </w:p>
              </w:tc>
              <w:tc>
                <w:tcPr/>
                <w:p>
                  <w:pPr>
                    <w:pStyle w:val="Compact"/>
                    <w:jc w:val="left"/>
                    <w:jc w:val="center"/>
                  </w:pPr>
                  <w:r>
                    <w:t xml:space="preserve">nan</w:t>
                  </w:r>
                </w:p>
              </w:tc>
            </w:tr>
            <w:tr>
              <w:tc>
                <w:tcPr/>
                <w:p>
                  <w:pPr>
                    <w:pStyle w:val="Compact"/>
                    <w:jc w:val="left"/>
                    <w:jc w:val="center"/>
                  </w:pPr>
                  <w:r>
                    <w:t xml:space="preserve">OI</w:t>
                  </w:r>
                </w:p>
              </w:tc>
              <w:tc>
                <w:tcPr/>
                <w:p>
                  <w:pPr>
                    <w:pStyle w:val="Compact"/>
                    <w:jc w:val="left"/>
                    <w:jc w:val="center"/>
                  </w:pPr>
                  <w:r>
                    <w:t xml:space="preserve">Via</w:t>
                  </w:r>
                </w:p>
              </w:tc>
              <w:tc>
                <w:tcPr/>
                <w:p>
                  <w:pPr>
                    <w:pStyle w:val="Compact"/>
                    <w:jc w:val="left"/>
                    <w:jc w:val="center"/>
                  </w:pPr>
                  <w:r>
                    <w:t xml:space="preserve">Femur</w:t>
                  </w:r>
                </w:p>
              </w:tc>
              <w:tc>
                <w:tcPr/>
                <w:p>
                  <w:pPr>
                    <w:pStyle w:val="Compact"/>
                    <w:jc w:val="right"/>
                    <w:jc w:val="center"/>
                  </w:pPr>
                  <w:r>
                    <w:t xml:space="preserve">-4.066</w:t>
                  </w:r>
                </w:p>
              </w:tc>
              <w:tc>
                <w:tcPr/>
                <w:p>
                  <w:pPr>
                    <w:pStyle w:val="Compact"/>
                    <w:jc w:val="right"/>
                    <w:jc w:val="center"/>
                  </w:pPr>
                  <w:r>
                    <w:t xml:space="preserve">-1.597</w:t>
                  </w:r>
                </w:p>
              </w:tc>
              <w:tc>
                <w:tcPr/>
                <w:p>
                  <w:pPr>
                    <w:pStyle w:val="Compact"/>
                    <w:jc w:val="right"/>
                    <w:jc w:val="center"/>
                  </w:pPr>
                  <w:r>
                    <w:t xml:space="preserve">-1.22</w:t>
                  </w:r>
                </w:p>
              </w:tc>
              <w:tc>
                <w:tcPr/>
                <w:p>
                  <w:pPr>
                    <w:pStyle w:val="Compact"/>
                    <w:jc w:val="left"/>
                    <w:jc w:val="center"/>
                  </w:pPr>
                  <w:r>
                    <w:t xml:space="preserve">nan</w:t>
                  </w:r>
                </w:p>
              </w:tc>
            </w:tr>
            <w:tr>
              <w:tc>
                <w:tcPr/>
                <w:p>
                  <w:pPr>
                    <w:pStyle w:val="Compact"/>
                    <w:jc w:val="left"/>
                    <w:jc w:val="center"/>
                  </w:pPr>
                  <w:r>
                    <w:t xml:space="preserve">Pec</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20.879</w:t>
                  </w:r>
                </w:p>
              </w:tc>
              <w:tc>
                <w:tcPr/>
                <w:p>
                  <w:pPr>
                    <w:pStyle w:val="Compact"/>
                    <w:jc w:val="right"/>
                    <w:jc w:val="center"/>
                  </w:pPr>
                  <w:r>
                    <w:t xml:space="preserve">-3.121</w:t>
                  </w:r>
                </w:p>
              </w:tc>
              <w:tc>
                <w:tcPr/>
                <w:p>
                  <w:pPr>
                    <w:pStyle w:val="Compact"/>
                    <w:jc w:val="right"/>
                    <w:jc w:val="center"/>
                  </w:pPr>
                  <w:r>
                    <w:t xml:space="preserve">12.704</w:t>
                  </w:r>
                </w:p>
              </w:tc>
              <w:tc>
                <w:tcPr/>
                <w:p>
                  <w:pPr>
                    <w:pStyle w:val="Compact"/>
                    <w:jc w:val="left"/>
                    <w:jc w:val="center"/>
                  </w:pPr>
                  <w:r>
                    <w:t xml:space="preserve">nan</w:t>
                  </w:r>
                </w:p>
              </w:tc>
            </w:tr>
            <w:tr>
              <w:tc>
                <w:tcPr/>
                <w:p>
                  <w:pPr>
                    <w:pStyle w:val="Compact"/>
                    <w:jc w:val="left"/>
                    <w:jc w:val="center"/>
                  </w:pPr>
                  <w:r>
                    <w:t xml:space="preserve">Pec</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-7.5</w:t>
                  </w:r>
                </w:p>
              </w:tc>
              <w:tc>
                <w:tcPr/>
                <w:p>
                  <w:pPr>
                    <w:pStyle w:val="Compact"/>
                    <w:jc w:val="right"/>
                    <w:jc w:val="center"/>
                  </w:pPr>
                  <w:r>
                    <w:t xml:space="preserve">-4.5</w:t>
                  </w:r>
                </w:p>
              </w:tc>
              <w:tc>
                <w:tcPr/>
                <w:p>
                  <w:pPr>
                    <w:pStyle w:val="Compact"/>
                    <w:jc w:val="right"/>
                    <w:jc w:val="center"/>
                  </w:pPr>
                  <w:r>
                    <w:t xml:space="preserve">9.344</w:t>
                  </w:r>
                </w:p>
              </w:tc>
              <w:tc>
                <w:tcPr/>
                <w:p>
                  <w:pPr>
                    <w:pStyle w:val="Compact"/>
                    <w:jc w:val="left"/>
                    <w:jc w:val="center"/>
                  </w:pPr>
                  <w:r>
                    <w:t xml:space="preserve">nan</w:t>
                  </w:r>
                </w:p>
              </w:tc>
            </w:tr>
            <w:tr>
              <w:tc>
                <w:tcPr/>
                <w:p>
                  <w:pPr>
                    <w:pStyle w:val="Compact"/>
                    <w:jc w:val="left"/>
                    <w:jc w:val="center"/>
                  </w:pPr>
                  <w:r>
                    <w:t xml:space="preserve">Pir</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-5.732</w:t>
                  </w:r>
                </w:p>
              </w:tc>
              <w:tc>
                <w:tcPr/>
                <w:p>
                  <w:pPr>
                    <w:pStyle w:val="Compact"/>
                    <w:jc w:val="right"/>
                    <w:jc w:val="center"/>
                  </w:pPr>
                  <w:r>
                    <w:t xml:space="preserve">-10.422</w:t>
                  </w:r>
                </w:p>
              </w:tc>
              <w:tc>
                <w:tcPr/>
                <w:p>
                  <w:pPr>
                    <w:pStyle w:val="Compact"/>
                    <w:jc w:val="right"/>
                    <w:jc w:val="center"/>
                  </w:pPr>
                  <w:r>
                    <w:t xml:space="preserve">-3.162</w:t>
                  </w:r>
                </w:p>
              </w:tc>
              <w:tc>
                <w:tcPr/>
                <w:p>
                  <w:pPr>
                    <w:pStyle w:val="Compact"/>
                    <w:jc w:val="left"/>
                    <w:jc w:val="center"/>
                  </w:pPr>
                  <w:r>
                    <w:t xml:space="preserve">nan</w:t>
                  </w:r>
                </w:p>
              </w:tc>
            </w:tr>
            <w:tr>
              <w:tc>
                <w:tcPr/>
                <w:p>
                  <w:pPr>
                    <w:pStyle w:val="Compact"/>
                    <w:jc w:val="left"/>
                    <w:jc w:val="center"/>
                  </w:pPr>
                  <w:r>
                    <w:t xml:space="preserve">Pir</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-6.145</w:t>
                  </w:r>
                </w:p>
              </w:tc>
              <w:tc>
                <w:tcPr/>
                <w:p>
                  <w:pPr>
                    <w:pStyle w:val="Compact"/>
                    <w:jc w:val="right"/>
                    <w:jc w:val="center"/>
                  </w:pPr>
                  <w:r>
                    <w:t xml:space="preserve">1.521</w:t>
                  </w:r>
                </w:p>
              </w:tc>
              <w:tc>
                <w:tcPr/>
                <w:p>
                  <w:pPr>
                    <w:pStyle w:val="Compact"/>
                    <w:jc w:val="right"/>
                    <w:jc w:val="center"/>
                  </w:pPr>
                  <w:r>
                    <w:t xml:space="preserve">-3.3</w:t>
                  </w:r>
                </w:p>
              </w:tc>
              <w:tc>
                <w:tcPr/>
                <w:p>
                  <w:pPr>
                    <w:pStyle w:val="Compact"/>
                    <w:jc w:val="left"/>
                    <w:jc w:val="center"/>
                  </w:pPr>
                  <w:r>
                    <w:t xml:space="preserve">nan</w:t>
                  </w:r>
                </w:p>
              </w:tc>
            </w:tr>
            <w:tr>
              <w:tc>
                <w:tcPr/>
                <w:p>
                  <w:pPr>
                    <w:pStyle w:val="Compact"/>
                    <w:jc w:val="left"/>
                    <w:jc w:val="center"/>
                  </w:pPr>
                  <w:r>
                    <w:t xml:space="preserve">QF</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20.123</w:t>
                  </w:r>
                </w:p>
              </w:tc>
              <w:tc>
                <w:tcPr/>
                <w:p>
                  <w:pPr>
                    <w:pStyle w:val="Compact"/>
                    <w:jc w:val="right"/>
                    <w:jc w:val="center"/>
                  </w:pPr>
                  <w:r>
                    <w:t xml:space="preserve">-6</w:t>
                  </w:r>
                </w:p>
              </w:tc>
              <w:tc>
                <w:tcPr/>
                <w:p>
                  <w:pPr>
                    <w:pStyle w:val="Compact"/>
                    <w:jc w:val="right"/>
                    <w:jc w:val="center"/>
                  </w:pPr>
                  <w:r>
                    <w:t xml:space="preserve">6</w:t>
                  </w:r>
                </w:p>
              </w:tc>
              <w:tc>
                <w:tcPr/>
                <w:p>
                  <w:pPr>
                    <w:pStyle w:val="Compact"/>
                    <w:jc w:val="left"/>
                    <w:jc w:val="center"/>
                  </w:pPr>
                  <w:r>
                    <w:t xml:space="preserve">nan</w:t>
                  </w:r>
                </w:p>
              </w:tc>
            </w:tr>
            <w:tr>
              <w:tc>
                <w:tcPr/>
                <w:p>
                  <w:pPr>
                    <w:pStyle w:val="Compact"/>
                    <w:jc w:val="left"/>
                    <w:jc w:val="center"/>
                  </w:pPr>
                  <w:r>
                    <w:t xml:space="preserve">QF</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-6.201</w:t>
                  </w:r>
                </w:p>
              </w:tc>
              <w:tc>
                <w:tcPr/>
                <w:p>
                  <w:pPr>
                    <w:pStyle w:val="Compact"/>
                    <w:jc w:val="right"/>
                    <w:jc w:val="center"/>
                  </w:pPr>
                  <w:r>
                    <w:t xml:space="preserve">-3.976</w:t>
                  </w:r>
                </w:p>
              </w:tc>
              <w:tc>
                <w:tcPr/>
                <w:p>
                  <w:pPr>
                    <w:pStyle w:val="Compact"/>
                    <w:jc w:val="right"/>
                    <w:jc w:val="center"/>
                  </w:pPr>
                  <w:r>
                    <w:t xml:space="preserve">-0.436</w:t>
                  </w:r>
                </w:p>
              </w:tc>
              <w:tc>
                <w:tcPr/>
                <w:p>
                  <w:pPr>
                    <w:pStyle w:val="Compact"/>
                    <w:jc w:val="left"/>
                    <w:jc w:val="center"/>
                  </w:pPr>
                  <w:r>
                    <w:t xml:space="preserve">nan</w:t>
                  </w:r>
                </w:p>
              </w:tc>
            </w:tr>
            <w:tr>
              <w:tc>
                <w:tcPr/>
                <w:p>
                  <w:pPr>
                    <w:pStyle w:val="Compact"/>
                    <w:jc w:val="left"/>
                    <w:jc w:val="center"/>
                  </w:pPr>
                  <w:r>
                    <w:t xml:space="preserve">RF</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2.081</w:t>
                  </w:r>
                </w:p>
              </w:tc>
              <w:tc>
                <w:tcPr/>
                <w:p>
                  <w:pPr>
                    <w:pStyle w:val="Compact"/>
                    <w:jc w:val="right"/>
                    <w:jc w:val="center"/>
                  </w:pPr>
                  <w:r>
                    <w:t xml:space="preserve">-12</w:t>
                  </w:r>
                </w:p>
              </w:tc>
              <w:tc>
                <w:tcPr/>
                <w:p>
                  <w:pPr>
                    <w:pStyle w:val="Compact"/>
                    <w:jc w:val="right"/>
                    <w:jc w:val="center"/>
                  </w:pPr>
                  <w:r>
                    <w:t xml:space="preserve">1</w:t>
                  </w:r>
                </w:p>
              </w:tc>
              <w:tc>
                <w:tcPr/>
                <w:p>
                  <w:pPr>
                    <w:pStyle w:val="Compact"/>
                    <w:jc w:val="left"/>
                    <w:jc w:val="center"/>
                  </w:pPr>
                  <w:r>
                    <w:t xml:space="preserve">nan</w:t>
                  </w:r>
                </w:p>
              </w:tc>
            </w:tr>
            <w:tr>
              <w:tc>
                <w:tcPr/>
                <w:p>
                  <w:pPr>
                    <w:pStyle w:val="Compact"/>
                    <w:jc w:val="left"/>
                    <w:jc w:val="center"/>
                  </w:pPr>
                  <w:r>
                    <w:t xml:space="preserve">RF</w:t>
                  </w:r>
                </w:p>
              </w:tc>
              <w:tc>
                <w:tcPr/>
                <w:p>
                  <w:pPr>
                    <w:pStyle w:val="Compact"/>
                    <w:jc w:val="left"/>
                    <w:jc w:val="center"/>
                  </w:pPr>
                  <w:r>
                    <w:t xml:space="preserve">Via</w:t>
                  </w:r>
                </w:p>
              </w:tc>
              <w:tc>
                <w:tcPr/>
                <w:p>
                  <w:pPr>
                    <w:pStyle w:val="Compact"/>
                    <w:jc w:val="left"/>
                    <w:jc w:val="center"/>
                  </w:pPr>
                  <w:r>
                    <w:t xml:space="preserve">Femur</w:t>
                  </w:r>
                </w:p>
              </w:tc>
              <w:tc>
                <w:tcPr/>
                <w:p>
                  <w:pPr>
                    <w:pStyle w:val="Compact"/>
                    <w:jc w:val="right"/>
                    <w:jc w:val="center"/>
                  </w:pPr>
                  <w:r>
                    <w:t xml:space="preserve">-9.664</w:t>
                  </w:r>
                </w:p>
              </w:tc>
              <w:tc>
                <w:tcPr/>
                <w:p>
                  <w:pPr>
                    <w:pStyle w:val="Compact"/>
                    <w:jc w:val="right"/>
                    <w:jc w:val="center"/>
                  </w:pPr>
                  <w:r>
                    <w:t xml:space="preserve">0.916</w:t>
                  </w:r>
                </w:p>
              </w:tc>
              <w:tc>
                <w:tcPr/>
                <w:p>
                  <w:pPr>
                    <w:pStyle w:val="Compact"/>
                    <w:jc w:val="right"/>
                    <w:jc w:val="center"/>
                  </w:pPr>
                  <w:r>
                    <w:t xml:space="preserve">33.229</w:t>
                  </w:r>
                </w:p>
              </w:tc>
              <w:tc>
                <w:tcPr/>
                <w:p>
                  <w:pPr>
                    <w:pStyle w:val="Compact"/>
                    <w:jc w:val="left"/>
                    <w:jc w:val="center"/>
                  </w:pPr>
                  <w:r>
                    <w:t xml:space="preserve">nan</w:t>
                  </w:r>
                </w:p>
              </w:tc>
            </w:tr>
            <w:tr>
              <w:tc>
                <w:tcPr/>
                <w:p>
                  <w:pPr>
                    <w:pStyle w:val="Compact"/>
                    <w:jc w:val="left"/>
                    <w:jc w:val="center"/>
                  </w:pPr>
                  <w:r>
                    <w:t xml:space="preserve">RF</w:t>
                  </w:r>
                </w:p>
              </w:tc>
              <w:tc>
                <w:tcPr/>
                <w:p>
                  <w:pPr>
                    <w:pStyle w:val="Compact"/>
                    <w:jc w:val="left"/>
                    <w:jc w:val="center"/>
                  </w:pPr>
                  <w:r>
                    <w:t xml:space="preserve">Via</w:t>
                  </w:r>
                </w:p>
              </w:tc>
              <w:tc>
                <w:tcPr/>
                <w:p>
                  <w:pPr>
                    <w:pStyle w:val="Compact"/>
                    <w:jc w:val="left"/>
                    <w:jc w:val="center"/>
                  </w:pPr>
                  <w:r>
                    <w:t xml:space="preserve">Tibia</w:t>
                  </w:r>
                </w:p>
              </w:tc>
              <w:tc>
                <w:tcPr/>
                <w:p>
                  <w:pPr>
                    <w:pStyle w:val="Compact"/>
                    <w:jc w:val="right"/>
                    <w:jc w:val="center"/>
                  </w:pPr>
                  <w:r>
                    <w:t xml:space="preserve">-1.716</w:t>
                  </w:r>
                </w:p>
              </w:tc>
              <w:tc>
                <w:tcPr/>
                <w:p>
                  <w:pPr>
                    <w:pStyle w:val="Compact"/>
                    <w:jc w:val="right"/>
                    <w:jc w:val="center"/>
                  </w:pPr>
                  <w:r>
                    <w:t xml:space="preserve">0.815</w:t>
                  </w:r>
                </w:p>
              </w:tc>
              <w:tc>
                <w:tcPr/>
                <w:p>
                  <w:pPr>
                    <w:pStyle w:val="Compact"/>
                    <w:jc w:val="right"/>
                    <w:jc w:val="center"/>
                  </w:pPr>
                  <w:r>
                    <w:t xml:space="preserve">-2.518</w:t>
                  </w:r>
                </w:p>
              </w:tc>
              <w:tc>
                <w:tcPr/>
                <w:p>
                  <w:pPr>
                    <w:pStyle w:val="Compact"/>
                    <w:jc w:val="left"/>
                    <w:jc w:val="center"/>
                  </w:pPr>
                  <w:r>
                    <w:t xml:space="preserve">nan</w:t>
                  </w:r>
                </w:p>
              </w:tc>
            </w:tr>
            <w:tr>
              <w:tc>
                <w:tcPr/>
                <w:p>
                  <w:pPr>
                    <w:pStyle w:val="Compact"/>
                    <w:jc w:val="left"/>
                    <w:jc w:val="center"/>
                  </w:pPr>
                  <w:r>
                    <w:t xml:space="preserve">TFL</w:t>
                  </w:r>
                </w:p>
              </w:tc>
              <w:tc>
                <w:tcPr/>
                <w:p>
                  <w:pPr>
                    <w:pStyle w:val="Compact"/>
                    <w:jc w:val="left"/>
                    <w:jc w:val="center"/>
                  </w:pPr>
                  <w:r>
                    <w:t xml:space="preserve">Origin</w:t>
                  </w:r>
                </w:p>
              </w:tc>
              <w:tc>
                <w:tcPr/>
                <w:p>
                  <w:pPr>
                    <w:pStyle w:val="Compact"/>
                    <w:jc w:val="left"/>
                    <w:jc w:val="center"/>
                  </w:pPr>
                  <w:r>
                    <w:t xml:space="preserve">Pelvis</w:t>
                  </w:r>
                </w:p>
              </w:tc>
              <w:tc>
                <w:tcPr/>
                <w:p>
                  <w:pPr>
                    <w:pStyle w:val="Compact"/>
                    <w:jc w:val="right"/>
                    <w:jc w:val="center"/>
                  </w:pPr>
                  <w:r>
                    <w:t xml:space="preserve">-9.594</w:t>
                  </w:r>
                </w:p>
              </w:tc>
              <w:tc>
                <w:tcPr/>
                <w:p>
                  <w:pPr>
                    <w:pStyle w:val="Compact"/>
                    <w:jc w:val="right"/>
                    <w:jc w:val="center"/>
                  </w:pPr>
                  <w:r>
                    <w:t xml:space="preserve">-9.968</w:t>
                  </w:r>
                </w:p>
              </w:tc>
              <w:tc>
                <w:tcPr/>
                <w:p>
                  <w:pPr>
                    <w:pStyle w:val="Compact"/>
                    <w:jc w:val="right"/>
                    <w:jc w:val="center"/>
                  </w:pPr>
                  <w:r>
                    <w:t xml:space="preserve">-0.533</w:t>
                  </w:r>
                </w:p>
              </w:tc>
              <w:tc>
                <w:tcPr/>
                <w:p>
                  <w:pPr>
                    <w:pStyle w:val="Compact"/>
                    <w:jc w:val="left"/>
                    <w:jc w:val="center"/>
                  </w:pPr>
                  <w:r>
                    <w:t xml:space="preserve">nan</w:t>
                  </w:r>
                </w:p>
              </w:tc>
            </w:tr>
            <w:tr>
              <w:tc>
                <w:tcPr/>
                <w:p>
                  <w:pPr>
                    <w:pStyle w:val="Compact"/>
                    <w:jc w:val="left"/>
                    <w:jc w:val="center"/>
                  </w:pPr>
                  <w:r>
                    <w:t xml:space="preserve">TFL</w:t>
                  </w:r>
                </w:p>
              </w:tc>
              <w:tc>
                <w:tcPr/>
                <w:p>
                  <w:pPr>
                    <w:pStyle w:val="Compact"/>
                    <w:jc w:val="left"/>
                    <w:jc w:val="center"/>
                  </w:pPr>
                  <w:r>
                    <w:t xml:space="preserve">Insertion</w:t>
                  </w:r>
                </w:p>
              </w:tc>
              <w:tc>
                <w:tcPr/>
                <w:p>
                  <w:pPr>
                    <w:pStyle w:val="Compact"/>
                    <w:jc w:val="left"/>
                    <w:jc w:val="center"/>
                  </w:pPr>
                  <w:r>
                    <w:t xml:space="preserve">Femur</w:t>
                  </w:r>
                </w:p>
              </w:tc>
              <w:tc>
                <w:tcPr/>
                <w:p>
                  <w:pPr>
                    <w:pStyle w:val="Compact"/>
                    <w:jc w:val="right"/>
                    <w:jc w:val="center"/>
                  </w:pPr>
                  <w:r>
                    <w:t xml:space="preserve">-9.139</w:t>
                  </w:r>
                </w:p>
              </w:tc>
              <w:tc>
                <w:tcPr/>
                <w:p>
                  <w:pPr>
                    <w:pStyle w:val="Compact"/>
                    <w:jc w:val="right"/>
                    <w:jc w:val="center"/>
                  </w:pPr>
                  <w:r>
                    <w:t xml:space="preserve">-0.491</w:t>
                  </w:r>
                </w:p>
              </w:tc>
              <w:tc>
                <w:tcPr/>
                <w:p>
                  <w:pPr>
                    <w:pStyle w:val="Compact"/>
                    <w:jc w:val="right"/>
                    <w:jc w:val="center"/>
                  </w:pPr>
                  <w:r>
                    <w:t xml:space="preserve">20.484</w:t>
                  </w:r>
                </w:p>
              </w:tc>
              <w:tc>
                <w:tcPr/>
                <w:p>
                  <w:pPr>
                    <w:pStyle w:val="Compact"/>
                    <w:jc w:val="left"/>
                    <w:jc w:val="center"/>
                  </w:pPr>
                  <w:r>
                    <w:t xml:space="preserve">nan</w:t>
                  </w:r>
                </w:p>
              </w:tc>
            </w:tr>
          </w:tbl>
          <w:bookmarkEnd w:id="205"/>
          <w:p/>
        </w:tc>
      </w:tr>
    </w:tbl>
    <w:bookmarkEnd w:id="206"/>
    <w:bookmarkStart w:id="211" w:name="sec-rajagopal-mtl"/>
    <w:p>
      <w:pPr>
        <w:pStyle w:val="Heading1"/>
      </w:pPr>
      <w:r>
        <w:t xml:space="preserve">Appendix B: Rajagopal Model Muscle-Tendon Lengths Across Joint Configurations</w:t>
      </w:r>
    </w:p>
    <w:tbl>
      <w:tblPr>
        <w:tblStyle w:val="Table"/>
        <w:tblW w:type="pct" w:w="5000"/>
        <w:tblLayout w:type="fixed"/>
        <w:tblLook w:firstRow="0" w:lastRow="0" w:firstColumn="0" w:lastColumn="0" w:noHBand="0" w:noVBand="0" w:val="0000"/>
      </w:tblPr>
      <w:tblGrid>
        <w:gridCol w:w="7920"/>
      </w:tblGrid>
      <w:tr>
        <w:tc>
          <w:tcPr/>
          <w:bookmarkStart w:id="210" w:name="fig-tsl-coord-dependence"/>
          <w:p>
            <w:pPr>
              <w:pStyle w:val="Compact"/>
              <w:jc w:val="center"/>
            </w:pPr>
            <w:r>
              <w:drawing>
                <wp:inline>
                  <wp:extent cx="5334000" cy="3548049"/>
                  <wp:effectExtent b="0" l="0" r="0" t="0"/>
                  <wp:docPr descr="" title="" id="208" name="Picture"/>
                  <a:graphic>
                    <a:graphicData uri="http://schemas.openxmlformats.org/drawingml/2006/picture">
                      <pic:pic>
                        <pic:nvPicPr>
                          <pic:cNvPr descr="appendices/../images/mt_length_coordinate_relationships.png" id="209" name="Picture"/>
                          <pic:cNvPicPr>
                            <a:picLocks noChangeArrowheads="1" noChangeAspect="1"/>
                          </pic:cNvPicPr>
                        </pic:nvPicPr>
                        <pic:blipFill>
                          <a:blip r:embed="rId207"/>
                          <a:stretch>
                            <a:fillRect/>
                          </a:stretch>
                        </pic:blipFill>
                        <pic:spPr bwMode="auto">
                          <a:xfrm>
                            <a:off x="0" y="0"/>
                            <a:ext cx="5334000" cy="3548049"/>
                          </a:xfrm>
                          <a:prstGeom prst="rect">
                            <a:avLst/>
                          </a:prstGeom>
                          <a:noFill/>
                          <a:ln w="9525">
                            <a:noFill/>
                            <a:headEnd/>
                            <a:tailEnd/>
                          </a:ln>
                        </pic:spPr>
                      </pic:pic>
                    </a:graphicData>
                  </a:graphic>
                </wp:inline>
              </w:drawing>
            </w:r>
          </w:p>
          <w:p>
            <w:pPr>
              <w:jc w:val="center"/>
            </w:pPr>
            <w:pPr>
              <w:jc w:val="left"/>
              <w:spacing w:before="200"/>
              <w:pStyle w:val="ImageCaption"/>
            </w:pPr>
            <w:r>
              <w:t xml:space="preserve">Figure 7.1: Musculotendon length dependence on joint coordinates for gaslat, bflh, and soleus. Color indicates musculotendon length, with stronger coordinate coupling visible for ankle angle in soleus and hip flexion in bflh.</w:t>
            </w:r>
          </w:p>
          <w:bookmarkEnd w:id="210"/>
        </w:tc>
      </w:tr>
    </w:tbl>
    <w:bookmarkEnd w:id="211"/>
    <w:bookmarkStart w:id="212" w:name="sec-movedb"/>
    <w:p>
      <w:pPr>
        <w:pStyle w:val="Heading1"/>
      </w:pPr>
      <w:r>
        <w:t xml:space="preserve">Appendix C: MoveDB</w:t>
      </w:r>
    </w:p>
    <w:bookmarkEnd w:id="2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6" Target="media/rId136.png" /><Relationship Type="http://schemas.openxmlformats.org/officeDocument/2006/relationships/image" Id="rId207" Target="media/rId207.png" /><Relationship Type="http://schemas.openxmlformats.org/officeDocument/2006/relationships/image" Id="rId156" Target="media/rId156.png" /><Relationship Type="http://schemas.openxmlformats.org/officeDocument/2006/relationships/image" Id="rId152" Target="media/rId152.png" /><Relationship Type="http://schemas.openxmlformats.org/officeDocument/2006/relationships/image" Id="rId160" Target="media/rId160.png" /><Relationship Type="http://schemas.openxmlformats.org/officeDocument/2006/relationships/image" Id="rId101" Target="media/rId101.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18" Target="media/rId18.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hyperlink" Id="rId111" Target="http://www.open3d.org/" TargetMode="External" /><Relationship Type="http://schemas.openxmlformats.org/officeDocument/2006/relationships/hyperlink" Id="rId183" Target="https://doi.org/10.1007/978-3-319-22979-9_21" TargetMode="External" /><Relationship Type="http://schemas.openxmlformats.org/officeDocument/2006/relationships/hyperlink" Id="rId197" Target="https://doi.org/10.1007/978-3-319-95972-6_57" TargetMode="External" /><Relationship Type="http://schemas.openxmlformats.org/officeDocument/2006/relationships/hyperlink" Id="rId185" Target="https://doi.org/10.1016/j.jbiomech.2007.10.004" TargetMode="External" /><Relationship Type="http://schemas.openxmlformats.org/officeDocument/2006/relationships/hyperlink" Id="rId193" Target="https://doi.org/10.1038/s41592-019-0686-2" TargetMode="External" /><Relationship Type="http://schemas.openxmlformats.org/officeDocument/2006/relationships/hyperlink" Id="rId187" Target="https://doi.org/10.1109/TBME.2011.2106784" TargetMode="External" /><Relationship Type="http://schemas.openxmlformats.org/officeDocument/2006/relationships/hyperlink" Id="rId191" Target="https://doi.org/10.1109/TBME.2016.2586891" TargetMode="External" /><Relationship Type="http://schemas.openxmlformats.org/officeDocument/2006/relationships/hyperlink" Id="rId189" Target="https://doi.org/10.1123/jab.20.2.195" TargetMode="External" /><Relationship Type="http://schemas.openxmlformats.org/officeDocument/2006/relationships/hyperlink" Id="rId195" Target="https://doi.org/10.1123/jab.28.6.665" TargetMode="External" /><Relationship Type="http://schemas.openxmlformats.org/officeDocument/2006/relationships/hyperlink" Id="rId181" Target="https://doi.org/10.1371/journal.pone.0147669" TargetMode="External" /><Relationship Type="http://schemas.openxmlformats.org/officeDocument/2006/relationships/hyperlink" Id="rId199" Target="https://doi.org/10.3390/biomimetics4010010" TargetMode="External" /><Relationship Type="http://schemas.openxmlformats.org/officeDocument/2006/relationships/hyperlink" Id="rId201" Target="https://doi.org/10.48550/arXiv.1801.09847" TargetMode="External" /><Relationship Type="http://schemas.openxmlformats.org/officeDocument/2006/relationships/hyperlink" Id="rId139" Target="https://github.com/hudsonburke/ASB2025-TSL-Optimization" TargetMode="External" /><Relationship Type="http://schemas.openxmlformats.org/officeDocument/2006/relationships/hyperlink" Id="rId107" Target="https://github.com/hudsonburke/osimpy" TargetMode="External" /><Relationship Type="http://schemas.openxmlformats.org/officeDocument/2006/relationships/hyperlink" Id="rId97" Target="https://github.com/hudsonburke/rat-hindlimb-model" TargetMode="External" /><Relationship Type="http://schemas.openxmlformats.org/officeDocument/2006/relationships/hyperlink" Id="rId108" Target="https://github.com/opensim-org/opensim-core/blob/f9cd558ec3ea99dda206e5e412e62e23cf19bd7e/OpenSim/Simulation/Wrap/WrapCylinder.cpp#L668" TargetMode="External" /><Relationship Type="http://schemas.openxmlformats.org/officeDocument/2006/relationships/hyperlink" Id="rId96" Target="https://simtk.org/projects/rat_hlimb_model" TargetMode="External" /><Relationship Type="http://schemas.openxmlformats.org/officeDocument/2006/relationships/hyperlink" Id="rId110" Target="https://www.animatlab.com/" TargetMode="External" /></Relationships>
</file>

<file path=word/_rels/footnotes.xml.rels><?xml version="1.0" encoding="UTF-8"?><Relationships xmlns="http://schemas.openxmlformats.org/package/2006/relationships"><Relationship Type="http://schemas.openxmlformats.org/officeDocument/2006/relationships/hyperlink" Id="rId111" Target="http://www.open3d.org/" TargetMode="External" /><Relationship Type="http://schemas.openxmlformats.org/officeDocument/2006/relationships/hyperlink" Id="rId183" Target="https://doi.org/10.1007/978-3-319-22979-9_21" TargetMode="External" /><Relationship Type="http://schemas.openxmlformats.org/officeDocument/2006/relationships/hyperlink" Id="rId197" Target="https://doi.org/10.1007/978-3-319-95972-6_57" TargetMode="External" /><Relationship Type="http://schemas.openxmlformats.org/officeDocument/2006/relationships/hyperlink" Id="rId185" Target="https://doi.org/10.1016/j.jbiomech.2007.10.004" TargetMode="External" /><Relationship Type="http://schemas.openxmlformats.org/officeDocument/2006/relationships/hyperlink" Id="rId193" Target="https://doi.org/10.1038/s41592-019-0686-2" TargetMode="External" /><Relationship Type="http://schemas.openxmlformats.org/officeDocument/2006/relationships/hyperlink" Id="rId187" Target="https://doi.org/10.1109/TBME.2011.2106784" TargetMode="External" /><Relationship Type="http://schemas.openxmlformats.org/officeDocument/2006/relationships/hyperlink" Id="rId191" Target="https://doi.org/10.1109/TBME.2016.2586891" TargetMode="External" /><Relationship Type="http://schemas.openxmlformats.org/officeDocument/2006/relationships/hyperlink" Id="rId189" Target="https://doi.org/10.1123/jab.20.2.195" TargetMode="External" /><Relationship Type="http://schemas.openxmlformats.org/officeDocument/2006/relationships/hyperlink" Id="rId195" Target="https://doi.org/10.1123/jab.28.6.665" TargetMode="External" /><Relationship Type="http://schemas.openxmlformats.org/officeDocument/2006/relationships/hyperlink" Id="rId181" Target="https://doi.org/10.1371/journal.pone.0147669" TargetMode="External" /><Relationship Type="http://schemas.openxmlformats.org/officeDocument/2006/relationships/hyperlink" Id="rId199" Target="https://doi.org/10.3390/biomimetics4010010" TargetMode="External" /><Relationship Type="http://schemas.openxmlformats.org/officeDocument/2006/relationships/hyperlink" Id="rId201" Target="https://doi.org/10.48550/arXiv.1801.09847" TargetMode="External" /><Relationship Type="http://schemas.openxmlformats.org/officeDocument/2006/relationships/hyperlink" Id="rId139" Target="https://github.com/hudsonburke/ASB2025-TSL-Optimization" TargetMode="External" /><Relationship Type="http://schemas.openxmlformats.org/officeDocument/2006/relationships/hyperlink" Id="rId107" Target="https://github.com/hudsonburke/osimpy" TargetMode="External" /><Relationship Type="http://schemas.openxmlformats.org/officeDocument/2006/relationships/hyperlink" Id="rId97" Target="https://github.com/hudsonburke/rat-hindlimb-model" TargetMode="External" /><Relationship Type="http://schemas.openxmlformats.org/officeDocument/2006/relationships/hyperlink" Id="rId108" Target="https://github.com/opensim-org/opensim-core/blob/f9cd558ec3ea99dda206e5e412e62e23cf19bd7e/OpenSim/Simulation/Wrap/WrapCylinder.cpp#L668" TargetMode="External" /><Relationship Type="http://schemas.openxmlformats.org/officeDocument/2006/relationships/hyperlink" Id="rId96" Target="https://simtk.org/projects/rat_hlimb_model" TargetMode="External" /><Relationship Type="http://schemas.openxmlformats.org/officeDocument/2006/relationships/hyperlink" Id="rId110" Target="https://www.animatla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of Musculoskeletal Rodent Models for Investigating Neuromuscular Injury and Rehabilation</dc:title>
  <dc:creator>Hudson Burke</dc:creator>
  <cp:keywords/>
  <dcterms:created xsi:type="dcterms:W3CDTF">2026-03-12T02:43:46Z</dcterms:created>
  <dcterms:modified xsi:type="dcterms:W3CDTF">2026-03-12T02:43:46Z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mments">
    <vt:lpwstr/>
  </property>
  <property fmtid="{D5CDD505-2E9C-101B-9397-08002B2CF9AE}" pid="8" name="crossref">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