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Стратегия и бизнес-модель</w:t>
      </w:r>
    </w:p>
    <w:p>
      <w:pPr>
        <w:pStyle w:val="Heading1"/>
      </w:pPr>
      <w:r>
        <w:t>1. Итоговое решение</w:t>
      </w:r>
    </w:p>
    <w:p>
      <w:r/>
      <w:r>
        <w:rPr>
          <w:b/>
        </w:rPr>
        <w:t>Capexly — сервис управления документами и сроками исполнения строительного договора.</w:t>
      </w:r>
      <w:r>
        <w:t xml:space="preserve"> Он помогает подготовить проверенный проект документа, провести его через согласованный канал и сохранить цепочку подтверждений. ИИ — инструмент извлечения и подготовки текста, а не самостоятельный юрист или гарантия взыскания.</w:t>
      </w:r>
    </w:p>
    <w:p>
      <w:r>
        <w:t xml:space="preserve">Главный результат исследования — не список из 57 сервисов. Это повторяющийся рабочий процесс: </w:t>
      </w:r>
      <w:r>
        <w:rPr>
          <w:b/>
        </w:rPr>
        <w:t>событие → проверка договора → документ → одобрение → отправка → подтверждения → следующий срок</w:t>
      </w:r>
      <w:r>
        <w:t>. Именно этот процесс следует продавать и улучшать.</w:t>
      </w:r>
    </w:p>
    <w:p>
      <w:pPr>
        <w:pStyle w:val="Heading2"/>
      </w:pPr>
      <w:r>
        <w:t>Что запускать первым</w:t>
      </w:r>
    </w:p>
    <w:p>
      <w:pPr>
        <w:pStyle w:val="ListBullet"/>
      </w:pPr>
      <w:r>
        <w:t>Основной сценарий W1: защита оплаты и фиксация препятствий у субподрядчика. Первый пользователь — директор или руководитель ПТО, который сейчас вручную собирает договор, акты, письма и доказательства.</w:t>
      </w:r>
    </w:p>
    <w:p>
      <w:pPr>
        <w:pStyle w:val="ListBullet"/>
      </w:pPr>
      <w:r>
        <w:t>Внутри W1: профиль договора, журнал событий, уведомление о готовности, проект претензии, проверяемый расчёт требований, контролируемая отправка и экспорт досье. Приостановку работ и спорные правовые действия утверждает юрист.</w:t>
      </w:r>
    </w:p>
    <w:p>
      <w:pPr>
        <w:pStyle w:val="ListBullet"/>
      </w:pPr>
      <w:r>
        <w:t>W2 «сверка КС-2 принимающей стороной» — следующий кандидат. Сначала ручной платный эксперимент на парах документов, а не автоматическая блокировка оплаты.</w:t>
      </w:r>
    </w:p>
    <w:p>
      <w:pPr>
        <w:pStyle w:val="ListBullet"/>
      </w:pPr>
      <w:r>
        <w:t>W3 «уведомление СРО» — потенциальный канал входа через партнёра, после проверки применимости нормы и форм конкретной СРО.</w:t>
      </w:r>
    </w:p>
    <w:p>
      <w:pPr>
        <w:pStyle w:val="Heading2"/>
      </w:pPr>
      <w:r>
        <w:t>Что изменено относительно последней версии</w:t>
      </w:r>
    </w:p>
    <w:p>
      <w:r>
        <w:t>Не обещать 30 готовых сервисов за месяц, 100% каталога через год или скидку по проценту готовности. Архив не содержит результатов технической приёмки, клиентских интервью и оплаченных пилотов, достаточных для таких обещаний. Все 57 исходных ID сохранены в книге, но разделены на продукт, платформу и GTM.</w:t>
      </w:r>
    </w:p>
    <w:p>
      <w:r/>
      <w:r>
        <w:rPr>
          <w:b/>
        </w:rPr>
        <w:t>Решение об инвестициях:</w:t>
      </w:r>
      <w:r>
        <w:t xml:space="preserve"> финансировать ограниченный W1 и измерение спроса. Расширять набор только после повторяемой оплаты, качества и экономической состоятельности. Исследование полезно как карта гипотез; оно ещё не является доказательством product–market fit.</w:t>
      </w:r>
    </w:p>
    <w:p>
      <w:r>
        <w:t>Опора: итерации 2–6 и бизнес-план v2. Полный журнал оговорок — «Тезисы F1» в рабочей книге.</w:t>
      </w:r>
    </w:p>
    <w:p>
      <w:pPr>
        <w:pStyle w:val="Heading1"/>
        <w:pageBreakBefore/>
      </w:pPr>
      <w:r>
        <w:t>2. Покупатель, конкуренция и размер рынка</w:t>
      </w:r>
    </w:p>
    <w:p>
      <w:pPr>
        <w:pStyle w:val="Heading2"/>
      </w:pPr>
      <w:r>
        <w:t>Первичный профиль клиента</w:t>
      </w:r>
    </w:p>
    <w:p>
      <w:r>
        <w:t>Субподрядная организация с повторяющимися строительными договорами, отдельными актами приёмки и регулярной перепиской по оплате или препятствиям. Это критерии отбора для интервью, не измеренный сегмент рынка. Нужен один ответственный за документы и возможность предоставить обезличенный реальный комплект.</w:t>
      </w:r>
    </w:p>
    <w:p>
      <w:r>
        <w:t>Триггер — конкретный эпизод исполнения, а не абстрактный интерес к ИИ. Покупатель платит за меньшее время сбора пакета, прозрачность сроков и отсутствие пропущенных обязательных шагов. Полученные деньги или отменённый штраф — возможный исход, но не результат, который ПО может обещать самостоятельно.</w:t>
      </w:r>
    </w:p>
    <w:p>
      <w:pPr>
        <w:pStyle w:val="Heading2"/>
      </w:pPr>
      <w:r>
        <w:t>Почему не универсальный чат-бот</w:t>
      </w:r>
    </w:p>
    <w:p>
      <w:r>
        <w:t>Система хранит подтверждённые реквизиты, привязывает события к договору, рассчитывает сроки по версии правила, управляет доступом и сохраняет первичные подтверждения. Разница должна быть доказана на документе клиента: одинаковый кейс, одинаковые исходные данные, время и число ошибок.</w:t>
      </w:r>
    </w:p>
    <w:p>
      <w:r>
        <w:t>Из архива следует наличие пересекающихся альтернатив: AIARM, Контур.Фокус, ПТО-ИИ, Exon, Адепт, Техзор и другие отраслевые системы; также юрист или ПТО на аутсорсе. Их текущие функции и цены в этом комплекте не признаны перепроверенными. Формула «аналогов нет» исключена.</w:t>
      </w:r>
    </w:p>
    <w:p>
      <w:pPr>
        <w:pStyle w:val="Heading2"/>
      </w:pPr>
      <w:r>
        <w:t>Что может стать защитой продукта</w:t>
      </w:r>
    </w:p>
    <w:p>
      <w:pPr>
        <w:pStyle w:val="ListBullet"/>
      </w:pPr>
      <w:r>
        <w:t>Утверждённые отраслевые правила и формы с версиями и правами использования.</w:t>
      </w:r>
    </w:p>
    <w:p>
      <w:pPr>
        <w:pStyle w:val="ListBullet"/>
      </w:pPr>
      <w:r>
        <w:t>Набор реальных обезличенных тестовых кейсов с экспертной разметкой и воспроизводимыми метриками.</w:t>
      </w:r>
    </w:p>
    <w:p>
      <w:pPr>
        <w:pStyle w:val="ListBullet"/>
      </w:pPr>
      <w:r>
        <w:t>История событий, действий и исправлений клиента; интеграции, которые реально работают, а не перечислены в презентации.</w:t>
      </w:r>
    </w:p>
    <w:p>
      <w:pPr>
        <w:pStyle w:val="ListBullet"/>
      </w:pPr>
      <w:r>
        <w:t>Партнёрская дистрибуция с понятной ролью юриста/ПТО и стоимостью сопровождения.</w:t>
      </w:r>
    </w:p>
    <w:p>
      <w:pPr>
        <w:pStyle w:val="Heading2"/>
      </w:pPr>
      <w:r>
        <w:t>Как считать рынок</w:t>
      </w:r>
    </w:p>
    <w:p>
      <w:r>
        <w:t>Членство в СРО — ориентир доступной базы, не готовый SAM. Разные роли одной организации не превращают её в нескольких покупателей. Считать по уникальному ИНН, юридическому лицу, числу подходящих договоров и бюджету на выбранный процесс.</w:t>
      </w:r>
    </w:p>
    <w:p>
      <w:r>
        <w:t>Формула: число подходящих организаций × доля активных покупателей × реализованный годовой ARPU. Для W1 и W2 нужны отдельные профили; пересекающиеся организации исключать при агрегировании. Перенос международных сделок показывает существование категории, но не подтверждает российскую конверсию, применимость права или оценку Capexly.</w:t>
      </w:r>
    </w:p>
    <w:p>
      <w:pPr>
        <w:pStyle w:val="Heading1"/>
        <w:pageBreakBefore/>
      </w:pPr>
      <w:r>
        <w:t>3. Офферы и правила монетизации</w:t>
      </w:r>
    </w:p>
    <w:p>
      <w:pPr>
        <w:pStyle w:val="Heading2"/>
      </w:pPr>
      <w:r>
        <w:t>Лестница предложения — гипотезы для теста</w:t>
      </w:r>
    </w:p>
    <w:p>
      <w:r/>
      <w:r>
        <w:rPr>
          <w:b/>
        </w:rPr>
        <w:t>Диагностика:</w:t>
      </w:r>
      <w:r>
        <w:t xml:space="preserve"> один обезличенный эпизод, карта недостающих документов и демонстрация процесса. Не бесплатное сопровождение взыскания и не три неограниченных юридических документа.</w:t>
      </w:r>
    </w:p>
    <w:p>
      <w:r/>
      <w:r>
        <w:rPr>
          <w:b/>
        </w:rPr>
        <w:t>Платный пилот:</w:t>
      </w:r>
      <w:r>
        <w:t xml:space="preserve"> ограниченный процесс, один объект, фиксированное число событий, явный лимит экспертных часов и решение о продолжении. Ценовой ориентир из архива — 49–99 тыс. руб. за 60–90 дней; это не доказанная готовность платить. На первом цикле допустим более короткий пилот с отдельной согласованной ценой.</w:t>
      </w:r>
    </w:p>
    <w:p>
      <w:r/>
      <w:r>
        <w:rPr>
          <w:b/>
        </w:rPr>
        <w:t>Подписка:</w:t>
      </w:r>
      <w:r>
        <w:t xml:space="preserve"> ограниченное число договоров, пользователей, событий и экспертных проверок; срок ответа поддержки; стоимость превышения лимитов. Тарифные якоря 9 900 / 24 900 / 59 900 руб. из архива сохранить как варианты исследования, но не публиковать единый «всё включено» до измерения затрат.</w:t>
      </w:r>
    </w:p>
    <w:p>
      <w:r/>
      <w:r>
        <w:rPr>
          <w:b/>
        </w:rPr>
        <w:t>Разовый документ:</w:t>
      </w:r>
      <w:r>
        <w:t xml:space="preserve"> оплачивается отдельно; заранее определяется, входит ли юридическая/инженерная проверка и доставка. Подготовка черновика и полноценное сопровождение не должны иметь одинаковую цену.</w:t>
      </w:r>
    </w:p>
    <w:p>
      <w:pPr>
        <w:pStyle w:val="Heading2"/>
      </w:pPr>
      <w:r>
        <w:t>От чего отказаться на старте</w:t>
      </w:r>
    </w:p>
    <w:p>
      <w:pPr>
        <w:pStyle w:val="ListBullet"/>
      </w:pPr>
      <w:r>
        <w:t>«Любые условия», неограниченная бесплатная работа и обещание результата независимо от поведения заказчика.</w:t>
      </w:r>
    </w:p>
    <w:p>
      <w:pPr>
        <w:pStyle w:val="ListBullet"/>
      </w:pPr>
      <w:r>
        <w:t>Фиксация скидки на два года по числу функций. Процент каталога не отражает полезность, риски и стоимость поддержки.</w:t>
      </w:r>
    </w:p>
    <w:p>
      <w:pPr>
        <w:pStyle w:val="ListBullet"/>
      </w:pPr>
      <w:r>
        <w:t>Outcome 2% как основа прогнозной выручки. Сначала нужны правила атрибуции оплаты, доступа к данным, вознаграждения и конфликтов интересов.</w:t>
      </w:r>
    </w:p>
    <w:p>
      <w:pPr>
        <w:pStyle w:val="ListBullet"/>
      </w:pPr>
      <w:r>
        <w:t>Бесплатная доработка уникального процесса заказчика без оценки и оплаченного scope.</w:t>
      </w:r>
    </w:p>
    <w:p>
      <w:pPr>
        <w:pStyle w:val="Heading2"/>
      </w:pPr>
      <w:r>
        <w:t>Цена и себестоимость</w:t>
      </w:r>
    </w:p>
    <w:p>
      <w:r>
        <w:t>Цена должна покрывать модель/OCR, все повторные попытки, экспертную проверку, поддержку, хранение, продажи и партнёрские комиссии. Подпись и доставка — отдельные подтверждённые тарифы поставщика: оплачиваются клиентом напрямую либо по прозрачному перевыставлению. В финмодели они оплачиваются напрямую и не создают фиктивную выручку.</w:t>
      </w:r>
    </w:p>
    <w:p>
      <w:r>
        <w:t xml:space="preserve">До пилотов считать </w:t>
      </w:r>
      <w:r>
        <w:rPr>
          <w:b/>
        </w:rPr>
        <w:t>вклад на клиента</w:t>
      </w:r>
      <w:r>
        <w:t>, а не заявлять 80–85% маржи. Основатель не бесплатен: показывать фактические выплаты и экономическую стоимость его труда отдельно. LTV из формулы ARPU/churn не использовать для инвестиционных обещаний без стабильных когорт.</w:t>
      </w:r>
    </w:p>
    <w:p>
      <w:r>
        <w:t>Источники офферов: бизнес-план v2, §7 и итерация 5, пилоты. Новая редакция делает ограничения частью продукта, а не мелким шрифтом.</w:t>
      </w:r>
    </w:p>
    <w:p>
      <w:pPr>
        <w:pStyle w:val="Heading1"/>
        <w:pageBreakBefore/>
      </w:pPr>
      <w:r>
        <w:t>4. Деньги, риски и стратегия расширения</w:t>
      </w:r>
    </w:p>
    <w:p>
      <w:pPr>
        <w:pStyle w:val="Heading2"/>
      </w:pPr>
      <w:r>
        <w:t>Финансовое правило</w:t>
      </w:r>
    </w:p>
    <w:p>
      <w:r>
        <w:t>Единственный действующий расчёт — «04_Capexly_Workbook.xlsx». Старые значения из исследований не являются обязательными целями. Новые сценарии — явные гипотезы с формулами, а не продолжение оптимистичной версии v2.</w:t>
      </w:r>
    </w:p>
    <w:p>
      <w:r>
        <w:t>Книга разделяет MRR на конец месяца, начисленную подписку по средним активным клиентам, разовые платежи, поступления и расходы. Задержанная дебиторская задолженность не считается кассой. Пилот нельзя одновременно включать в подписку. Экономический результат с учётом неоплаченного труда не называется EBITDA.</w:t>
      </w:r>
    </w:p>
    <w:p>
      <w:r>
        <w:t>Начальный буфер 150 тыс. руб. — утверждение из архива, которое нужно подтвердить фактическим остатком. По умолчанию новые гранты и инвестиции равны нулю. Личные расходы основателя отдельно: нулевые выплаты в модели не означают нулевую потребность в средствах для жизни.</w:t>
      </w:r>
    </w:p>
    <w:p>
      <w:pPr>
        <w:pStyle w:val="Heading2"/>
      </w:pPr>
      <w:r>
        <w:t>Финансирование и найм</w:t>
      </w:r>
    </w:p>
    <w:p>
      <w:r>
        <w:t>ФСИ, Сколково и акселераторы — варианты, а не календарь гарантированных поступлений. Проверить действующую программу, возраст юрлица, целевые статьи, софинансирование, права на результаты и сроки отчётности. Целевой R&amp;D-грант не превращается автоматически в деньги на продажи.</w:t>
      </w:r>
    </w:p>
    <w:p>
      <w:r>
        <w:t>Не нанимать по будущему MRR из презентации. Перед наймом проверить денежный резерв, маржинальный вклад и фактическую загрузку. Эксперт с лимитом часов и согласованной ответственностью нужен раньше массового расширения разработки.</w:t>
      </w:r>
    </w:p>
    <w:p>
      <w:pPr>
        <w:pStyle w:val="Heading2"/>
      </w:pPr>
      <w:r>
        <w:t>Приоритетные риски</w:t>
      </w:r>
    </w:p>
    <w:p>
      <w:pPr>
        <w:pStyle w:val="ListBullet"/>
      </w:pPr>
      <w:r>
        <w:t>Ошибка права или срока: версионированные правила, обязательная экспертиза рискованных действий, запрет автоматической отправки.</w:t>
      </w:r>
    </w:p>
    <w:p>
      <w:pPr>
        <w:pStyle w:val="ListBullet"/>
      </w:pPr>
      <w:r>
        <w:t>Неполные исходные документы: прозрачный список пробелов, запрет уверенного заключения по неполному комплекту.</w:t>
      </w:r>
    </w:p>
    <w:p>
      <w:pPr>
        <w:pStyle w:val="ListBullet"/>
      </w:pPr>
      <w:r>
        <w:t>Данные и интеграции: утверждённый контур, договор с поставщиком, тест получения квитанции и запасной маршрут.</w:t>
      </w:r>
    </w:p>
    <w:p>
      <w:pPr>
        <w:pStyle w:val="ListBullet"/>
      </w:pPr>
      <w:r>
        <w:t>Канал продаж: согласие на рекламную коммуникацию или другой допустимый режим, входящие обращения и партнёры вместо обещания бесплатных массовых рассылок.</w:t>
      </w:r>
    </w:p>
    <w:p>
      <w:pPr>
        <w:pStyle w:val="ListBullet"/>
      </w:pPr>
      <w:r>
        <w:t>Кассовый разрыв: еженедельный контроль обязательств, аванс пилота, уменьшение scope и отказ от неподтверждённых наймов.</w:t>
      </w:r>
    </w:p>
    <w:p>
      <w:pPr>
        <w:pStyle w:val="Heading2"/>
      </w:pPr>
      <w:r>
        <w:t>Последовательность расширения</w:t>
      </w:r>
    </w:p>
    <w:p>
      <w:r>
        <w:t>W1 → подтверждённые платные повторения → ручной W2 или W3 → отдельная приёмка → масштабирование лучшего процесса. ГСН, регресс, допуск персонала, казначейство, ППР и маркировка — разные компетенции и риски; они не входят автоматически в первую подписку.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Консолидированный рабочий комплект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D7A75"/>
        <w:sz w:val="18"/>
      </w:rPr>
      <w:t>CAPEXLY  /  F1  / 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color w:val="2C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57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57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23578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Capexly — Стратегия и бизнес-модель</dc:title>
  <dc:subject>Консолидация исследования и рабочая редакция F1</dc:subject>
  <dc:creator>Capexly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