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Продукт и спецификация MVP</w:t>
      </w:r>
    </w:p>
    <w:p>
      <w:pPr>
        <w:pStyle w:val="Heading1"/>
      </w:pPr>
      <w:r>
        <w:t>1. Границы продукта и статус готовности</w:t>
      </w:r>
    </w:p>
    <w:p>
      <w:r/>
      <w:r>
        <w:rPr>
          <w:b/>
        </w:rPr>
        <w:t>Единица продукта — завершённый рабочий сценарий, а не экран, шаблон или обещанная интеграция.</w:t>
      </w:r>
      <w:r>
        <w:t xml:space="preserve"> MVP обслуживает один тип строительных договоров и ограниченный набор событий оплаты/препятствий. Конкретная юрисдикция, регион, тип заказчика и договорные исключения фиксируются при начале пилота.</w:t>
      </w:r>
    </w:p>
    <w:p>
      <w:pPr>
        <w:pStyle w:val="Heading2"/>
      </w:pPr>
      <w:r>
        <w:t>Что входит</w:t>
      </w:r>
    </w:p>
    <w:p>
      <w:r>
        <w:t>Профиль договора с подтверждением человеком; журнал событий; подготовка проекта письма/претензии; контролируемый расчёт; согласование ответственным; экспорт/отправка по доступному согласованному каналу; журнал версий; таймер следующего действия; выгрузка досье.</w:t>
      </w:r>
    </w:p>
    <w:p>
      <w:r>
        <w:t>Что не входит: автоматическое взыскание, подача иска, автоматическая приостановка работ или блокировка платежей, выпуск юридических заключений без эксперта, проектирование безопасных работ, медицинские данные и всеобъемлющая проверка ИД.</w:t>
      </w:r>
    </w:p>
    <w:p>
      <w:pPr>
        <w:pStyle w:val="Heading2"/>
      </w:pPr>
      <w:r>
        <w:t>Три состояния результата</w:t>
      </w:r>
    </w:p>
    <w:p>
      <w:r/>
      <w:r>
        <w:rPr>
          <w:b/>
        </w:rPr>
        <w:t>Черновик:</w:t>
      </w:r>
      <w:r>
        <w:t xml:space="preserve"> модель обработала входы; факты и право не подтверждены. </w:t>
      </w:r>
      <w:r>
        <w:rPr>
          <w:b/>
        </w:rPr>
        <w:t>Проверен:</w:t>
      </w:r>
      <w:r>
        <w:t xml:space="preserve"> человек утвердил реквизиты, расчёты, применимое правило и текст. </w:t>
      </w:r>
      <w:r>
        <w:rPr>
          <w:b/>
        </w:rPr>
        <w:t>Одобрен к отправке:</w:t>
      </w:r>
      <w:r>
        <w:t xml:space="preserve"> уполномоченное лицо подтвердило адрес, канал, версию и подпись. Статус «отправлен» не равен «вручён».</w:t>
      </w:r>
    </w:p>
    <w:p>
      <w:pPr>
        <w:pStyle w:val="Heading2"/>
      </w:pPr>
      <w:r>
        <w:t>Готовность сценария</w:t>
      </w:r>
    </w:p>
    <w:p>
      <w:pPr>
        <w:pStyle w:val="ListBullet"/>
      </w:pPr>
      <w:r>
        <w:t>Draft: есть спецификация, ещё нет пригодного результата.</w:t>
      </w:r>
    </w:p>
    <w:p>
      <w:pPr>
        <w:pStyle w:val="ListBullet"/>
      </w:pPr>
      <w:r>
        <w:t>Assisted beta: результат выпускается с ручными действиями и полной экспертной проверкой; ограничения видны клиенту.</w:t>
      </w:r>
    </w:p>
    <w:p>
      <w:pPr>
        <w:pStyle w:val="ListBullet"/>
      </w:pPr>
      <w:r>
        <w:t>Pilot ready: пройдены тесты, контроль доступа, экспорт и тестовый маршрут доставки; назначен ответственный и SLA пилота.</w:t>
      </w:r>
    </w:p>
    <w:p>
      <w:pPr>
        <w:pStyle w:val="ListBullet"/>
      </w:pPr>
      <w:r>
        <w:t>Production: есть результаты пилота, процесс инцидентов, устойчивость и коммерческие условия. Это решение по evidence, не дата в роадмапе.</w:t>
      </w:r>
    </w:p>
    <w:p>
      <w:pPr>
        <w:pStyle w:val="Heading2"/>
      </w:pPr>
      <w:r>
        <w:t>Связь с исходным каталогом</w:t>
      </w:r>
    </w:p>
    <w:p>
      <w:r>
        <w:t>Сохранены S-01–S-57: 41 клиентская запись, 11 платформенных и 5 GTM. Часть записей — родительский конвейер и его шаги. S-53–S-57 не входят в индекс готовности; S-01 не суммируется со своими дочерними документами как независимая услуга.</w:t>
      </w:r>
    </w:p>
    <w:p>
      <w:r>
        <w:t>В «Каталог F1» сохранены описания и блокеры исходника, но они явно помечены как исследовательские, не обещания клиента. Решения MVP / после пилотов / эксперимент / HOLD относятся к новой редакции; они не означают фактическую готовность к эксплуатации.</w:t>
      </w:r>
    </w:p>
    <w:p>
      <w:pPr>
        <w:pStyle w:val="Heading1"/>
        <w:pageBreakBefore/>
      </w:pPr>
      <w:r>
        <w:t>2. W1: оплата и фиксация препятствий</w:t>
      </w:r>
    </w:p>
    <w:p>
      <w:pPr>
        <w:pStyle w:val="Heading2"/>
      </w:pPr>
      <w:r>
        <w:t>Входы и обязательная сверка</w:t>
      </w:r>
    </w:p>
    <w:p>
      <w:r>
        <w:t>Договор и дополнения; сведения о сторонах; обязательства и сроки; КС-2/КС-3 либо применимые акты; подтверждение передачи и приёмки; платёжные документы; относящаяся к этапу ИД; переписка; полномочия подписанта. Неизвестное поле сохраняется как «не установлено», а не дополняется моделью.</w:t>
      </w:r>
    </w:p>
    <w:p>
      <w:r>
        <w:t>Система показывает оригинальный фрагмент для каждого извлечённого реквизита. Пользователь подтверждает сумму, период, вид обязательства, адреса, канал и дату события. Если нет доказательств передачи/выполнения, результат — список пробелов, а не уверенное требование оплаты.</w:t>
      </w:r>
    </w:p>
    <w:p>
      <w:pPr>
        <w:pStyle w:val="Heading2"/>
      </w:pPr>
      <w:r>
        <w:t>Ветка A — готовность и приёмка</w:t>
      </w:r>
    </w:p>
    <w:p>
      <w:r>
        <w:t>Проект уведомления о готовности → согласование даты, места и предмета → отправка → фиксация подтверждений → событие явки/неявки или возражений → проект следующего действия. Односторонний акт — отдельный юридически проверяемый результат; отсутствие ответа само по себе не решает спор.</w:t>
      </w:r>
    </w:p>
    <w:p>
      <w:pPr>
        <w:pStyle w:val="Heading2"/>
      </w:pPr>
      <w:r>
        <w:t>Ветка B — неоплаченный этап</w:t>
      </w:r>
    </w:p>
    <w:p>
      <w:r>
        <w:t>Сверка основания долга и срока оплаты → расчёт по утверждённому правилу → проект претензии с приложениями → проверка требований и канала → одобрение → отправка → таймер досудебного/договорного шага. Срок и точка его отсчёта выбираются из закона и договора, не универсального «30 дней от вручения».</w:t>
      </w:r>
    </w:p>
    <w:p>
      <w:pPr>
        <w:pStyle w:val="Heading2"/>
      </w:pPr>
      <w:r>
        <w:t>Ветка C — препятствие исполнению</w:t>
      </w:r>
    </w:p>
    <w:p>
      <w:r>
        <w:t>Фото/акт/письмо о препятствии → связь с обязательством стороны → предлагаемая квалификация → уведомление с доказательствами и запросом действия → ручная экспертиза → отправка. Правовая квалификация 716/718/719/406 не является автоматическим юридическим выводом.</w:t>
      </w:r>
    </w:p>
    <w:p>
      <w:pPr>
        <w:pStyle w:val="Heading2"/>
      </w:pPr>
      <w:r>
        <w:t>Выход</w:t>
      </w:r>
    </w:p>
    <w:p>
      <w:r>
        <w:t>Версионный документ, расчёт с входами и формулой, список приложений, журнал проверок, маршрут и статус отправки, оригиналы квитанций, следующий срок с объяснением. Досье должно оставаться доступным клиенту после прекращения подписки по согласованной процедуре экспорта.</w:t>
      </w:r>
    </w:p>
    <w:p>
      <w:r>
        <w:t>Случаи автоматической эскалации эксперту: спор о факте работ; просрочка самого подрядчика; госзаказ; банкротство; необычная оговорка о канале; одновременные проценты и неустойка; спорные допработы; спор о полномочиях; неполный комплект.</w:t>
      </w:r>
    </w:p>
    <w:p>
      <w:pPr>
        <w:pStyle w:val="Heading1"/>
        <w:pageBreakBefore/>
      </w:pPr>
      <w:r>
        <w:t>3. Следующие процессы: W2 и W3</w:t>
      </w:r>
    </w:p>
    <w:p>
      <w:pPr>
        <w:pStyle w:val="Heading2"/>
      </w:pPr>
      <w:r>
        <w:t>W2 — сверка КС-2 принимающей стороной</w:t>
      </w:r>
    </w:p>
    <w:p>
      <w:r/>
      <w:r>
        <w:rPr>
          <w:b/>
        </w:rPr>
        <w:t>Плательщик:</w:t>
      </w:r>
      <w:r>
        <w:t xml:space="preserve"> генподрядчик или техзаказчик. </w:t>
      </w:r>
      <w:r>
        <w:rPr>
          <w:b/>
        </w:rPr>
        <w:t>Входы:</w:t>
      </w:r>
      <w:r>
        <w:t xml:space="preserve"> договорная ведомость/смета, изменения, акт, предыдущие акты, подтверждение фактических объёмов и состав ИД.</w:t>
      </w:r>
    </w:p>
    <w:p>
      <w:r>
        <w:t>Проверки: дублирование строки; арифметика; несогласованная цена/объём; превышение накопительного объёма; единицы измерения; отсутствие документального соответствия. Семантическое совпадение названий — подсказка с уверенностью и ссылкой, не доказанный факт.</w:t>
      </w:r>
    </w:p>
    <w:p>
      <w:r/>
      <w:r>
        <w:rPr>
          <w:b/>
        </w:rPr>
        <w:t>Выход:</w:t>
      </w:r>
      <w:r>
        <w:t xml:space="preserve"> таблица соответствий и расхождений с привязкой к ячейкам/страницам и категории «не установлено». Решение о приёмке, мотивированном отказе или оплате подтверждает ПТО/юрист. Не превращать отсутствие ИД в универсальную автоматическую причину не платить.</w:t>
      </w:r>
    </w:p>
    <w:p>
      <w:r>
        <w:t>Дешёвый тест: несколько обезличенных пар, двойная экспертная разметка, проверка ложных срабатываний и пропущенных ошибок. Интервью → ручной платный кейс → спецификация форматов → разработка. Полная автоматизация не предшествует доступу к реальным данным.</w:t>
      </w:r>
    </w:p>
    <w:p>
      <w:pPr>
        <w:pStyle w:val="Heading2"/>
      </w:pPr>
      <w:r>
        <w:t>W3 — уведомление СРО</w:t>
      </w:r>
    </w:p>
    <w:p>
      <w:r/>
      <w:r>
        <w:rPr>
          <w:b/>
        </w:rPr>
        <w:t>Плательщик:</w:t>
      </w:r>
      <w:r>
        <w:t xml:space="preserve"> член СРО либо СРО-партнёр. </w:t>
      </w:r>
      <w:r>
        <w:rPr>
          <w:b/>
        </w:rPr>
        <w:t>Входы:</w:t>
      </w:r>
      <w:r>
        <w:t xml:space="preserve"> событие договора, реквизиты, применимость к виду работ/членству, форма СРО, внутренний порядок и календарь.</w:t>
      </w:r>
    </w:p>
    <w:p>
      <w:r>
        <w:t>Из прочитанного разъяснения СРО подтверждается ориентир «три рабочих дня со дня, следующего за событием» и ссылка на приказ 655/пр. Для строительной СРО правило, события, состав сведений, форма и санкции утверждаются отдельно; источником правила служит актуальный первичный акт и применимые внутренние документы.</w:t>
      </w:r>
    </w:p>
    <w:p>
      <w:r/>
      <w:r>
        <w:rPr>
          <w:b/>
        </w:rPr>
        <w:t>Выход:</w:t>
      </w:r>
      <w:r>
        <w:t xml:space="preserve"> проверенный проект формы, контроль комплектности, напоминание, согласование и подтверждение принятия доступным каналом. Автоматическая подача возможна только после договора/доступа и теста с конкретной СРО.</w:t>
      </w:r>
    </w:p>
    <w:p>
      <w:pPr>
        <w:pStyle w:val="Heading2"/>
      </w:pPr>
      <w:r>
        <w:t>Что остаётся вне MVP</w:t>
      </w:r>
    </w:p>
    <w:p>
      <w:r>
        <w:t>ГСН и судебные жалобы требуют отдельной правовой методологии. Гарантийный регресс — отдельного доказательства причин и связи с работами. ППР/наряд-допуск — инженерной ответственности. Допуск работников — модели ПДн. ИСУП, банки, 1С и ЭДО — проверенных интеграций. ЧЗ и М-29 — разных карт применимости. Казначейство — отдельного платёжного режима.</w:t>
      </w:r>
    </w:p>
    <w:p>
      <w:r>
        <w:t>Все эти идеи сохранены, но «общий LLM-конвейер» не устраняет их специфику. У каждой следующей возможности свой платный триггер, эксперт, входные данные и критерий остановки.</w:t>
      </w:r>
    </w:p>
    <w:p>
      <w:pPr>
        <w:pStyle w:val="Heading1"/>
        <w:pageBreakBefore/>
      </w:pPr>
      <w:r>
        <w:t>4. Архитектура, данные и доказательства</w:t>
      </w:r>
    </w:p>
    <w:p>
      <w:pPr>
        <w:pStyle w:val="Heading2"/>
      </w:pPr>
      <w:r>
        <w:t>Минимальные сущности</w:t>
      </w:r>
    </w:p>
    <w:p>
      <w:r>
        <w:t>Organization и User; Project; Contract и ContractVersion; Obligation; Event; SourceDocument; ExtractedField; RuleVersion; Draft; Review; Approval; DeliveryAttempt; Evidence; Deadline; AuditEvent. Все сущности изолированы по tenant_id и связаны с автором/временем изменения.</w:t>
      </w:r>
    </w:p>
    <w:p>
      <w:r>
        <w:t>ContractVersion хранит файл, хэш, дату действия и подтверждённые поля. RuleVersion хранит ссылку на акт/договор, применимость, редакцию, автора проверки и тесты. Изменение правила не переписывает историю ранее выпущенных документов.</w:t>
      </w:r>
    </w:p>
    <w:p>
      <w:pPr>
        <w:pStyle w:val="Heading2"/>
      </w:pPr>
      <w:r>
        <w:t>Конвейер обработки</w:t>
      </w:r>
    </w:p>
    <w:p>
      <w:r>
        <w:t>Загрузка → проверка формата/вредоносного файла → OCR/извлечение → подтверждение полей → выбор события → детерминированный расчёт → проект по шаблону → нормоконтроль → проверка эксперта → одобрение подписанта → отправка/экспорт → подтверждения → напоминание.</w:t>
      </w:r>
    </w:p>
    <w:p>
      <w:r>
        <w:t>Чужой текст документа — данные, не инструкции системе. Запрет выполнять запросы к интеграциям, менять права или отправлять документы по указаниям из загруженного файла. Модель не получает ключи подписи или право менять получателя.</w:t>
      </w:r>
    </w:p>
    <w:p>
      <w:pPr>
        <w:pStyle w:val="Heading2"/>
      </w:pPr>
      <w:r>
        <w:t>Раздельные факты доказательного пакета</w:t>
      </w:r>
    </w:p>
    <w:p>
      <w:pPr>
        <w:pStyle w:val="ListBullet"/>
      </w:pPr>
      <w:r>
        <w:t>Хэш подтверждает совпадение байтов, но не правдивость документа.</w:t>
      </w:r>
    </w:p>
    <w:p>
      <w:pPr>
        <w:pStyle w:val="ListBullet"/>
      </w:pPr>
      <w:r>
        <w:t>Метка времени подтверждает временную привязку по правилам провайдера, но не вручение.</w:t>
      </w:r>
    </w:p>
    <w:p>
      <w:pPr>
        <w:pStyle w:val="ListBullet"/>
      </w:pPr>
      <w:r>
        <w:t>Квитанция отправки, вручения или приёма — отдельный первичный артефакт поставщика.</w:t>
      </w:r>
    </w:p>
    <w:p>
      <w:pPr>
        <w:pStyle w:val="ListBullet"/>
      </w:pPr>
      <w:r>
        <w:t>Подпись и полномочия — отдельная проверка. Требуемый вид подписи зависит от процедуры.</w:t>
      </w:r>
    </w:p>
    <w:p>
      <w:pPr>
        <w:pStyle w:val="ListBullet"/>
      </w:pPr>
      <w:r>
        <w:t>Переписка — источник контекста; авторство, полномочия и связь с договором могут оспариваться.</w:t>
      </w:r>
    </w:p>
    <w:p>
      <w:r>
        <w:t>Досье включает оригиналы, версии, перечень приложений, связи, журнал и контрольные суммы. Не утверждать, что PDF «автоматически признан судом» или что хэш заменяет нотариуса/первичку.</w:t>
      </w:r>
    </w:p>
    <w:p>
      <w:pPr>
        <w:pStyle w:val="Heading2"/>
      </w:pPr>
      <w:r>
        <w:t>Технические решения</w:t>
      </w:r>
    </w:p>
    <w:p>
      <w:r>
        <w:t>На старте достаточно модульного приложения, БД, очереди и файлового хранилища, а не 57 микросервисов. РФ-контур выбран как внутренняя политика обработки; конкретный облачный провайдер сам по себе не доказывает соответствие закону. Интеграции через адаптеры; повторная отправка идемпотентна; ручной экспорт — штатный резервный путь.</w:t>
      </w:r>
    </w:p>
    <w:p>
      <w:pPr>
        <w:pStyle w:val="Heading1"/>
        <w:pageBreakBefore/>
      </w:pPr>
      <w:r>
        <w:t>5. Правила безопасности и валидаторы</w:t>
      </w:r>
    </w:p>
    <w:p>
      <w:pPr>
        <w:pStyle w:val="Heading2"/>
      </w:pPr>
      <w:r>
        <w:t>Блокирующие проверки перед выпуском</w:t>
      </w:r>
    </w:p>
    <w:p>
      <w:r>
        <w:t>Подтверждены стороны, суммы, предмет, версия договора и адресат; нет неподтверждённых ссылок на нормы; расчёт воспроизводим; приложены названные файлы; подписант и канал проверены; отправляемая версия совпадает с одобренной. Неизвестные сведения не маскируются уверенным текстом.</w:t>
      </w:r>
    </w:p>
    <w:p>
      <w:r>
        <w:t>Сроки параметризуются: календарные/рабочие дни, исключаемые даты, часовой пояс, событие начала, перенос, договорное исключение и основание. Производственный календарь версионирован. Изменение даты вручения должно пересчитать только зависимые таймеры с журналом причины.</w:t>
      </w:r>
    </w:p>
    <w:p>
      <w:pPr>
        <w:pStyle w:val="Heading2"/>
      </w:pPr>
      <w:r>
        <w:t>Исправления к юридическим правилам архива</w:t>
      </w:r>
    </w:p>
    <w:p>
      <w:r>
        <w:t>Не кодировать «ст.406 автоматически переносит срок», «отказ без перечня всегда ничтожен», «все уведомления после срока невозможны», «уклонение всегда означает вручение через 30 дней». Это неоднозначные правовые квалификации. Система выявляет риск и отправляет кейс эксперту; решение и исключение протоколируются.</w:t>
      </w:r>
    </w:p>
    <w:p>
      <w:r>
        <w:t>Не рассчитывать неустойку и проценты двойным взысканием по умолчанию. Фиксировать основание, период, ставку, её источник и совместимость требований. Использование определённого судебного дела требует проверки полного текста, инстанции, даты и фактического контекста, а не только пересказа блога.</w:t>
      </w:r>
    </w:p>
    <w:p>
      <w:pPr>
        <w:pStyle w:val="Heading2"/>
      </w:pPr>
      <w:r>
        <w:t>Персональные данные и доступ</w:t>
      </w:r>
    </w:p>
    <w:p>
      <w:r>
        <w:t>Минимизация входов; правовое основание и распределение ролей оператора/обработчика; договор поручения; локализация и оценка передач; разграничение доступа; сроки хранения, удаление и экспорт; журнал действий; защищённые секреты, резервные копии и план инцидентов.</w:t>
      </w:r>
    </w:p>
    <w:p>
      <w:r>
        <w:t>На R&amp;D-видеокарте — только обезличенные/синтетические данные. Это проектное ограничение, а не утверждение, что любой домашний сервер автоматически незаконен. Внешний API разрешается только после оценки фактического маршрута данных и договорных условий.</w:t>
      </w:r>
    </w:p>
    <w:p>
      <w:r>
        <w:t>Допуск работников пока HOLD. Даже «допущен/не допущен» может раскрывать здоровье и остаётся сведением о человеке. Отказ от скана медосмотра не устраняет правовой риск автоматически.</w:t>
      </w:r>
    </w:p>
    <w:p>
      <w:r>
        <w:t>Копирование СП/ГОСТ и коммерческих справочных баз в RAG требует проверки прав и условий лицензии. Модель, OCR, API и библиотека подписания проверяются отдельно. Исключение собственных криптографических функций из MVP не заменяет правовую оценку лицензирования реальной архитектуры.</w:t>
      </w:r>
    </w:p>
    <w:p>
      <w:pPr>
        <w:pStyle w:val="Heading1"/>
        <w:pageBreakBefore/>
      </w:pPr>
      <w:r>
        <w:t>6. Приёмка, тесты и эксплуатация</w:t>
      </w:r>
    </w:p>
    <w:p>
      <w:r/>
      <w:r>
        <w:rPr>
          <w:b/>
        </w:rPr>
        <w:t>Предлагаемые пороги ниже — критерии решения команды, а не уже достигнутые метрики.</w:t>
      </w:r>
      <w:r>
        <w:t xml:space="preserve"> Первую версию можно выпускать как assisted beta: все рискованные документы проверяются экспертом, ручные шаги открыто описаны.</w:t>
      </w:r>
    </w:p>
    <w:p>
      <w:pPr>
        <w:pStyle w:val="Heading2"/>
      </w:pPr>
      <w:r>
        <w:t>Набор обязательных тестов</w:t>
      </w:r>
    </w:p>
    <w:p>
      <w:pPr>
        <w:pStyle w:val="ListBullet"/>
      </w:pPr>
      <w:r>
        <w:t>Извлечение: печатный договор, сложная таблица, несколько дополнений, конфликт дат, скан, повреждённый файл, рукопись. Последняя не объявляется поддержанной без отдельного теста.</w:t>
      </w:r>
    </w:p>
    <w:p>
      <w:pPr>
        <w:pStyle w:val="ListBullet"/>
      </w:pPr>
      <w:r>
        <w:t>Право и сроки: рабочие/календарные дни, праздники, разные точки отсчёта, отдельный порядок по договору, истёкший срок, неизвестная применимость.</w:t>
      </w:r>
    </w:p>
    <w:p>
      <w:pPr>
        <w:pStyle w:val="ListBullet"/>
      </w:pPr>
      <w:r>
        <w:t>Отправка: смена адреса, неподтверждённый канал, отказ/тайм-аут провайдера, повтор задачи, отмена согласования, несовпадение файлов.</w:t>
      </w:r>
    </w:p>
    <w:p>
      <w:pPr>
        <w:pStyle w:val="ListBullet"/>
      </w:pPr>
      <w:r>
        <w:t>Безопасность: чужой tenant, отозванная роль, файл с prompt injection, утечка в логи, восстановление бэкапа, экспорт/удаление.</w:t>
      </w:r>
    </w:p>
    <w:p>
      <w:pPr>
        <w:pStyle w:val="ListBullet"/>
      </w:pPr>
      <w:r>
        <w:t>Качество: отсутствующая норма, выдуманный пункт договора, ошибочная сумма, неизвестный факт, пропущенное приложение. Во всех случаях выпуск блокируется или явно требует эксперта.</w:t>
      </w:r>
    </w:p>
    <w:p>
      <w:pPr>
        <w:pStyle w:val="Heading2"/>
      </w:pPr>
      <w:r>
        <w:t>Ворота assisted beta</w:t>
      </w:r>
    </w:p>
    <w:p>
      <w:r>
        <w:t>В ограниченном тест-сете нет выпуска с критической ошибкой реквизитов, права, суммы или адресата; каждое блокирующее правило имеет негативный тест; проверены минимум два полных маршрута; права доступа и восстановление работают; назначены эксперт и ответственный за инцидент. Нулевые ошибки в малом тест-сете не являются доказательством абсолютной безопасности.</w:t>
      </w:r>
    </w:p>
    <w:p>
      <w:r>
        <w:t>Целевой стартовый корпус — 30 разнообразных комплектов W1, согласованно обезличенных и размеченных. Отдельно хранить разметку, происхождение, разрешение на использование и дату. Измерять точность критических полей, число пропусков, время эксперта и причины доработки.</w:t>
      </w:r>
    </w:p>
    <w:p>
      <w:pPr>
        <w:pStyle w:val="Heading2"/>
      </w:pPr>
      <w:r>
        <w:t>Метрики эксплуатации</w:t>
      </w:r>
    </w:p>
    <w:p>
      <w:r>
        <w:t>Медиана и P90 от полного комплекта до одобренного документа; активные минуты человека; доля документов с существенной/косметической правкой; критические ошибки; доля событий с полным доказательством; доля неустановленных полей; себестоимость события; обращения поддержки; попытки отправки и вручение — раздельно.</w:t>
      </w:r>
    </w:p>
    <w:p>
      <w:r>
        <w:t>Перед расширением лимитов проверять не только красивый демо-кейс, но и сложные документы, ложные срабатывания и неуспешные маршруты. Критический инцидент → остановка соответствующего сценария → сохранение доказательств → уведомление по процедуре → исправление → регрессионный тест.</w:t>
      </w:r>
    </w:p>
    <w:p>
      <w:r>
        <w:t>Backlog ведётся в книге; публичная дорожная карта показывает Draft / beta / pilot / production, блокер и подтверждённый следующий шаг. Не публиковать фиктивный процент готовности.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Консолидированный рабочий комплект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D7A75"/>
        <w:sz w:val="18"/>
      </w:rPr>
      <w:t>CAPEXLY  /  F1  /  14.10.2026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Arial" w:hAnsi="Arial"/>
      <w:color w:val="2C2C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357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578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235781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0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Capexly — Продукт и спецификация MVP</dc:title>
  <dc:subject>Консолидация исследования и рабочая редакция F1</dc:subject>
  <dc:creator>Capexly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