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Аудит исследования</w:t>
      </w:r>
    </w:p>
    <w:p>
      <w:pPr>
        <w:pStyle w:val="Heading1"/>
      </w:pPr>
      <w:r>
        <w:t>1. Что разобрано и как убраны дубли</w:t>
      </w:r>
    </w:p>
    <w:p>
      <w:r>
        <w:t xml:space="preserve">Проанализирован приложенный capexly_research.zip: </w:t>
      </w:r>
      <w:r>
        <w:rPr>
          <w:b/>
        </w:rPr>
        <w:t>144 содержательных файла после исключения __MACOSX и .DS_Store</w:t>
      </w:r>
      <w:r>
        <w:t>. Внутри — шесть итераций исследования, два бизнес-плана, Excel-книги, накопительные заметки, табличные фрагменты, генераторы и отдельный прототип лендинга.</w:t>
      </w:r>
    </w:p>
    <w:p>
      <w:pPr>
        <w:pStyle w:val="Heading2"/>
      </w:pPr>
      <w:r>
        <w:t>Дубли и версионность</w:t>
      </w:r>
    </w:p>
    <w:p>
      <w:r>
        <w:t>Восемь основных текстов существуют парами Markdown/DOCX. Это два представления документа, не два независимых доказательства. Финальный комплект использует один редактируемый формат DOCX; полные Markdown/PDF-копии не добавлены.</w:t>
      </w:r>
    </w:p>
    <w:p>
      <w:r>
        <w:t>Из 90 файлов табличных фрагментов 89 найдены как точные текстовые включения в основные отчёты. Оставшийся _iter4_sources_table.md сохранён в анализе источников, но не превращён в отдельный финальный документ. Старые версии не включены как «итоговые».</w:t>
      </w:r>
    </w:p>
    <w:p>
      <w:r>
        <w:t xml:space="preserve">Excel v2 содержит </w:t>
      </w:r>
      <w:r>
        <w:rPr>
          <w:b/>
        </w:rPr>
        <w:t>23 листа и ноль формул</w:t>
      </w:r>
      <w:r>
        <w:t>, хотя текст бизнес-плана описывает книгу как 24-листовую. Статические цифры не являются работающей моделью чувствительности. Создана одна новая книга с формулами, входами, проверками и реестрами.</w:t>
      </w:r>
    </w:p>
    <w:p>
      <w:pPr>
        <w:pStyle w:val="Heading2"/>
      </w:pPr>
      <w:r>
        <w:t>Что сохранено без потери следа</w:t>
      </w:r>
    </w:p>
    <w:p>
      <w:pPr>
        <w:pStyle w:val="ListBullet"/>
      </w:pPr>
      <w:r>
        <w:t>Все 57 исходных ID каталога с блокерами и новыми решениями. Счёт: 41 клиентская запись + 11 платформенных + 5 GTM; клиентские записи также могут перекрываться как конвейер и шаг.</w:t>
      </w:r>
    </w:p>
    <w:p>
      <w:pPr>
        <w:pStyle w:val="ListBullet"/>
      </w:pPr>
      <w:r>
        <w:t>Все 125 ID внешних сигналов в том виде, в котором их пересказывает итерация 6. Их флаги [Ф] не повышены до «перепроверено».</w:t>
      </w:r>
    </w:p>
    <w:p>
      <w:pPr>
        <w:pStyle w:val="ListBullet"/>
      </w:pPr>
      <w:r>
        <w:t>Отказы от продуктовых зон, источники, критические тезисы и карта каждого оригинального файла → итоговое решение.</w:t>
      </w:r>
    </w:p>
    <w:p>
      <w:pPr>
        <w:pStyle w:val="ListBullet"/>
      </w:pPr>
      <w:r>
        <w:t>Полезные спецификации входов, форм, каналов и доказательств, но без опасных универсальных юридических выводов.</w:t>
      </w:r>
    </w:p>
    <w:p>
      <w:r>
        <w:t>Оригинальный архив не изменён и не удалён. Исполняемые генераторы из архива не запускались. Лендинг не отправлен в финальный набор: он остаётся маркетинговым черновиком с неподтверждёнными обещаниями, а не доказательством работающего продукта.</w:t>
      </w:r>
    </w:p>
    <w:p>
      <w:r>
        <w:t>Итоговый набор — четыре самостоятельных документа, одна книга и короткий навигатор. Каждая тема имеет единственное место владения; детали не размножены по всем файлам.</w:t>
      </w:r>
    </w:p>
    <w:p>
      <w:pPr>
        <w:pStyle w:val="Heading1"/>
        <w:pageBreakBefore/>
      </w:pPr>
      <w:r>
        <w:t>2. Существенные противоречия исследования</w:t>
      </w:r>
    </w:p>
    <w:p>
      <w:pPr>
        <w:pStyle w:val="Heading2"/>
      </w:pPr>
      <w:r>
        <w:t>Высокие баллы ≠ рыночное подтверждение</w:t>
      </w:r>
    </w:p>
    <w:p>
      <w:r>
        <w:t>Рост 101,5 → 109/120 показывает изменение внутреннего чек-листа. Это не вероятность успеха, не измеренная клиентская ценность и не независимый рейтинг. Оценка не включена в итоговое позиционирование.</w:t>
      </w:r>
    </w:p>
    <w:p>
      <w:r>
        <w:t>Исследование говорит о независимом внешнем пакете, но в присланном архиве отсутствуют notes_raw.md, signals_registry.md, iteration2_niches.md и iteration3_selection.md. Есть производный маппинг и пересказы. Нельзя проверенно утверждать независимость авторов, полноту источников и отсутствие взаимного влияния.</w:t>
      </w:r>
    </w:p>
    <w:p>
      <w:pPr>
        <w:pStyle w:val="Heading2"/>
      </w:pPr>
      <w:r>
        <w:t>Статистика требует одинаковых оснований</w:t>
      </w:r>
    </w:p>
    <w:p>
      <w:r>
        <w:t>Повторяется комбинация «100 424 спора, &gt;424 млрд руб., средний иск 9,4 млн». При сопоставимых основаниях 424 млрд / 100 424 ≈ 4,22 млн; знак «больше» не даёт точного среднего. Значение 9,4 млн может относиться к другому набору или сумме, но архив не объясняет это. Кроме того, подряд в целом нельзя автоматически считать строительным подрядом.</w:t>
      </w:r>
    </w:p>
    <w:p>
      <w:r>
        <w:t>Общее число членов СРО, вакансий и доменных упоминаний не подтверждает число покупателей конкретного W1. Добавление четырёх ролей плательщика не означает четыре непересекающихся рынка.</w:t>
      </w:r>
    </w:p>
    <w:p>
      <w:pPr>
        <w:pStyle w:val="Heading2"/>
      </w:pPr>
      <w:r>
        <w:t>Финансовый оптимизм возник из смены модели</w:t>
      </w:r>
    </w:p>
    <w:p>
      <w:r>
        <w:t>Итерация 5 учитывает дорогую команду и потребность в миллионах капитала; бизнес-план v2 переходит к ускоренной разработке, меньшей команде, высокой конверсии и низкому CAC. Это разные сценарии, а не постепенное доказательство самофинансирования.</w:t>
      </w:r>
    </w:p>
    <w:p>
      <w:r>
        <w:t>Утверждение «касса положительна во всех сценариях» конфликтует с собственной чувствительностью v2, где один вариант содержит −48 тыс. руб. Нулевой денежный CAC скрывает работу основателя; 80–85% маржи нельзя подтверждать одной ценой токенов.</w:t>
      </w:r>
    </w:p>
    <w:p>
      <w:pPr>
        <w:pStyle w:val="Heading2"/>
      </w:pPr>
      <w:r>
        <w:t>Продуктовые обещания опережают приёмку</w:t>
      </w:r>
    </w:p>
    <w:p>
      <w:r>
        <w:t>Нет основания считать 57 записей независимыми готовыми услугами. В списке есть бесплатный оффер, пилот, outcome, лидогенерация и white-label. Количество и проценты готовности смешивают разработку, методологию, партнёрские доступы и продажи.</w:t>
      </w:r>
    </w:p>
    <w:p>
      <w:r>
        <w:t>Перенос зарубежных аналогов полезен для поиска механики, но сделки других компаний и цены аутсорса не доказывают российский ARPU, конверсию или оценку проекта.</w:t>
      </w:r>
    </w:p>
    <w:p>
      <w:pPr>
        <w:pStyle w:val="Heading1"/>
        <w:pageBreakBefore/>
      </w:pPr>
      <w:r>
        <w:t>3. Правовые тезисы: что проверено, что нет</w:t>
      </w:r>
    </w:p>
    <w:p>
      <w:r>
        <w:t xml:space="preserve">В этой редакции выполнена </w:t>
      </w:r>
      <w:r>
        <w:rPr>
          <w:b/>
        </w:rPr>
        <w:t>точечная</w:t>
      </w:r>
      <w:r>
        <w:t>, а не полная правовая проверка. Она не заменяет заключение строительного юриста и бухгалтерскую оценку. Полный журнал из 22 тезисов с действиями — «Тезисы F1».</w:t>
      </w:r>
    </w:p>
    <w:p>
      <w:pPr>
        <w:pStyle w:val="Heading2"/>
      </w:pPr>
      <w:r>
        <w:t>Проверенные направления и границы</w:t>
      </w:r>
    </w:p>
    <w:p>
      <w:r/>
      <w:r>
        <w:rPr>
          <w:b/>
        </w:rPr>
        <w:t>Рекламные сообщения:</w:t>
      </w:r>
      <w:r>
        <w:t xml:space="preserve"> официальное разъяснение УФАС подтверждает необходимость предварительного согласия адресата. Это опровергает упрощение v2 «открытый корпоративный адрес + отписка достаточно». Разделение информационного и рекламного сообщения требует анализа содержания и контекста.</w:t>
      </w:r>
    </w:p>
    <w:p>
      <w:r/>
      <w:r>
        <w:rPr>
          <w:b/>
        </w:rPr>
        <w:t>СРО:</w:t>
      </w:r>
      <w:r>
        <w:t xml:space="preserve"> прочитано разъяснение Ассоциации «Инженер — Проектировщик»: уведомление в течение трёх рабочих дней со следующего дня после события; ссылка на приказ 655/пр. Оно не подтверждает автоматически все события, формы и санкции для каждой строительной СРО.</w:t>
      </w:r>
    </w:p>
    <w:p>
      <w:r/>
      <w:r>
        <w:rPr>
          <w:b/>
        </w:rPr>
        <w:t>243-ФЗ:</w:t>
      </w:r>
      <w:r>
        <w:t xml:space="preserve"> прочитана правовая аналитика ГАРАНТ от 12.10.2026. Она различает первоначальный законопроект и принятый рамочный закон; тезис об универсальной обязанности автора маркировать любой ИИ-текст не подтверждён. Перед релизом сверить принятый текст и применимость к архитектуре Capexly.</w:t>
      </w:r>
    </w:p>
    <w:p>
      <w:r/>
      <w:r>
        <w:rPr>
          <w:b/>
        </w:rPr>
        <w:t>Маркировка материалов:</w:t>
      </w:r>
      <w:r>
        <w:t xml:space="preserve"> поисковые извлечения публикаций подтверждают дату 01.12.2026 для определённых товарных групп/ролей оборота. Это не доказательство обязанности любого подрядчика и не эквивалент форме М-29.</w:t>
      </w:r>
    </w:p>
    <w:p>
      <w:pPr>
        <w:pStyle w:val="Heading2"/>
      </w:pPr>
      <w:r>
        <w:t>Правила, которые нельзя без проверки переносить в код</w:t>
      </w:r>
    </w:p>
    <w:p>
      <w:r>
        <w:t>Хэш/TSP ≠ вручение. Отсутствие ИД ≠ безусловное право не платить. Ст.406 ≠ автоматическое изменение договора. Отказ без перечня ≠ универсальная ничтожность. Дата отправки, вручение/фикция доставки и старт процессуального срока — разные события.</w:t>
      </w:r>
    </w:p>
    <w:p>
      <w:r>
        <w:t>Медицинские данные не исключаются гарантированно заменой на статус допуска. Хостинг в РФ не подтверждает весь периметр 152-ФЗ; отсутствие собственного СКЗИ не является единственным условием правомерной архитектуры. Грантовые, налоговые и лицензионные режимы проверяются по фактическому субъекту и деятельности.</w:t>
      </w:r>
    </w:p>
    <w:p>
      <w:pPr>
        <w:pStyle w:val="Heading2"/>
      </w:pPr>
      <w:r>
        <w:t>Ссылки точечной проверки</w:t>
      </w:r>
    </w:p>
    <w:p>
      <w:r>
        <w:t>ГАРАНТ: https://www.garant.ru/ia/opinion/author/novickaya-marina/2184668/</w:t>
      </w:r>
    </w:p>
    <w:p>
      <w:r>
        <w:t>СРО: ipsro.ru → новость о 309-ФЗ; полный адрес — в реестре источников.</w:t>
      </w:r>
    </w:p>
    <w:p>
      <w:r>
        <w:t>УФАС: https://krasnodar.fas.gov.ru/publications/11003</w:t>
      </w:r>
    </w:p>
    <w:p>
      <w:r>
        <w:t>Маркировка: муниципальная PDF-публикация, полный адрес и степень проверки — в реестре.</w:t>
      </w:r>
    </w:p>
    <w:p>
      <w:r>
        <w:t>Остальные судебные дела, цены, льготы, интеграции и регуляторные даты из архива не объявлены перепроверенными. До использования в продукте нужны первичный документ, актуальная редакция и экспертная применимость.</w:t>
      </w:r>
    </w:p>
    <w:p>
      <w:pPr>
        <w:pStyle w:val="Heading1"/>
        <w:pageBreakBefore/>
      </w:pPr>
      <w:r>
        <w:t>4. Как пользоваться итоговой рабочей книгой</w:t>
      </w:r>
    </w:p>
    <w:p>
      <w:pPr>
        <w:pStyle w:val="Heading2"/>
      </w:pPr>
      <w:r>
        <w:t>Единственные места владения</w:t>
      </w:r>
    </w:p>
    <w:p>
      <w:r>
        <w:t>Стратегия и офферы — документ 01. Поведение продукта и приёмка — документ 02. Интервью, пилот и 90-дневный цикл — документ 03. Расчёты, каталог, источники и детальный журнал — книга 04. Метод и существенные исправления — этот документ.</w:t>
      </w:r>
    </w:p>
    <w:p>
      <w:r>
        <w:t>В книге суффикс F1 обозначает итоговую редакцию. «Обзор F1» показывает сценарные результаты; «Допущения F1» и «План месяцев F1» — редактируемые входы; три сценарных листа — формульный расчёт; «Проверки Checks» — мосты и контроль. Остальные листы — продуктовые и доказательные реестры.</w:t>
      </w:r>
    </w:p>
    <w:p>
      <w:pPr>
        <w:pStyle w:val="Heading2"/>
      </w:pPr>
      <w:r>
        <w:t>Как читать расчёт</w:t>
      </w:r>
    </w:p>
    <w:p>
      <w:r>
        <w:t>MRR — подписка на конец месяца. Начисленная выручка подписки считается по средним активным клиентам; пилоты и разовые документы — отдельные строки. Доля платежей переносится в следующий месяц. Денежная касса не равна сумме выручки или экономическому результату.</w:t>
      </w:r>
    </w:p>
    <w:p>
      <w:r>
        <w:t>Клиенты в сценарии — дробные математические ожидания, не реальные компании. Налоги — упрощённый денежный резерв УСН; НДС, смена режима, льготы и взносы не моделируются отдельно и требуют уточнения бухгалтером. Постоянные выплаты должны вводиться полной стоимостью с применимыми взносами.</w:t>
      </w:r>
    </w:p>
    <w:p>
      <w:r>
        <w:t>Труд основателя показан как экономическая стоимость; фактическая выплата по умолчанию ноль. Если нужны деньги на жизнь, введите выплату. Экспертные затраты зависят от документов, доли ручной проверки, времени и ставки. Стоимость отдельного пилота в модели задана упрощённо: доля его выручки на сопровождение; замените фактической сметой.</w:t>
      </w:r>
    </w:p>
    <w:p>
      <w:r>
        <w:t>По умолчанию новые партнёрские клиенты, отдельные пилоты, разовые продажи и подтверждённое финансирование нулевые. Их отсутствие не означает, что они невозможны; оно исключает скрытые источники роста. Сценарная воронка относится к контактам с законным основанием, а не к массовой холодной рассылке.</w:t>
      </w:r>
    </w:p>
    <w:p>
      <w:pPr>
        <w:pStyle w:val="Heading2"/>
      </w:pPr>
      <w:r>
        <w:t>Границы реестра источников</w:t>
      </w:r>
    </w:p>
    <w:p>
      <w:r>
        <w:t>URL на материал, голый домен и повторение тезиса в другой версии — не одно и то же доказательство. Реестр хранит место происхождения и статус; запись «из архива» не означает, что страница прочитана сейчас. Служебные веб-адреса и собственный лендинг не считаются независимым источником.</w:t>
      </w:r>
    </w:p>
    <w:p>
      <w:r>
        <w:t>Сохранены исследовательские пересказы и ID для проверки, но не выданы за первичные данные. «Карта файлов F1» позволяет найти, чем заменён каждый оригинальный файл. При новом факте менять соответствующий реестр и правило; не создавать очередной «итоговый v2-final-final».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Консолидированный рабочий комплект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7D7A75"/>
        <w:sz w:val="18"/>
      </w:rPr>
      <w:t>CAPEXLY  /  F1  /  14.10.2026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Arial" w:hAnsi="Arial"/>
      <w:color w:val="2C2C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3578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3578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235781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auto" w:after="10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00" w:lineRule="auto" w:after="10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Capexly — Аудит исследования</dc:title>
  <dc:subject>Консолидация исследования и рабочая редакция F1</dc:subject>
  <dc:creator>Capexly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