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5352" w:type="dxa"/>
        <w:tblInd w:w="-572" w:type="dxa"/>
        <w:tblLayout w:type="fixed"/>
        <w:tblLook w:val="04A0" w:firstRow="1" w:lastRow="0" w:firstColumn="1" w:lastColumn="0" w:noHBand="0" w:noVBand="1"/>
      </w:tblPr>
      <w:tblGrid>
        <w:gridCol w:w="709"/>
        <w:gridCol w:w="1559"/>
        <w:gridCol w:w="6139"/>
        <w:gridCol w:w="6945"/>
      </w:tblGrid>
      <w:tr w:rsidR="003A0BB1" w:rsidRPr="00356A1F" w14:paraId="7A092BCD" w14:textId="77777777" w:rsidTr="00B75556">
        <w:trPr>
          <w:tblHeader/>
        </w:trPr>
        <w:tc>
          <w:tcPr>
            <w:tcW w:w="709" w:type="dxa"/>
            <w:tcBorders>
              <w:top w:val="single" w:sz="4" w:space="0" w:color="auto"/>
              <w:left w:val="single" w:sz="4" w:space="0" w:color="auto"/>
              <w:bottom w:val="single" w:sz="4" w:space="0" w:color="auto"/>
              <w:right w:val="single" w:sz="4" w:space="0" w:color="auto"/>
            </w:tcBorders>
            <w:shd w:val="clear" w:color="auto" w:fill="FFC000"/>
          </w:tcPr>
          <w:p w14:paraId="6DDC59B2" w14:textId="29F0326B" w:rsidR="003A0BB1" w:rsidRPr="00356A1F" w:rsidRDefault="003A0BB1" w:rsidP="00356A1F">
            <w:pPr>
              <w:spacing w:line="276" w:lineRule="auto"/>
              <w:rPr>
                <w:rFonts w:ascii="Arial" w:hAnsi="Arial" w:cs="Arial"/>
                <w:sz w:val="22"/>
                <w:szCs w:val="22"/>
              </w:rPr>
            </w:pPr>
            <w:r w:rsidRPr="00356A1F">
              <w:rPr>
                <w:rFonts w:ascii="Arial" w:eastAsia="Malgun Gothic" w:hAnsi="Arial" w:cs="Arial"/>
                <w:b/>
                <w:bCs/>
                <w:color w:val="000000"/>
                <w:sz w:val="22"/>
                <w:szCs w:val="22"/>
              </w:rPr>
              <w:t>NO</w:t>
            </w:r>
          </w:p>
        </w:tc>
        <w:tc>
          <w:tcPr>
            <w:tcW w:w="1559" w:type="dxa"/>
            <w:tcBorders>
              <w:top w:val="single" w:sz="4" w:space="0" w:color="auto"/>
              <w:left w:val="nil"/>
              <w:bottom w:val="single" w:sz="4" w:space="0" w:color="auto"/>
              <w:right w:val="single" w:sz="4" w:space="0" w:color="auto"/>
            </w:tcBorders>
            <w:shd w:val="clear" w:color="auto" w:fill="FFC000"/>
          </w:tcPr>
          <w:p w14:paraId="396A06AA" w14:textId="7ECB0C1B" w:rsidR="003A0BB1" w:rsidRPr="00356A1F" w:rsidRDefault="003A0BB1" w:rsidP="00356A1F">
            <w:pPr>
              <w:spacing w:line="276" w:lineRule="auto"/>
              <w:rPr>
                <w:rFonts w:ascii="Arial" w:hAnsi="Arial" w:cs="Arial"/>
                <w:sz w:val="22"/>
                <w:szCs w:val="22"/>
              </w:rPr>
            </w:pPr>
            <w:r w:rsidRPr="00356A1F">
              <w:rPr>
                <w:rFonts w:ascii="Arial" w:eastAsia="Malgun Gothic" w:hAnsi="Arial" w:cs="Arial"/>
                <w:b/>
                <w:bCs/>
                <w:color w:val="000000"/>
                <w:sz w:val="22"/>
                <w:szCs w:val="22"/>
              </w:rPr>
              <w:t>DATE</w:t>
            </w:r>
          </w:p>
        </w:tc>
        <w:tc>
          <w:tcPr>
            <w:tcW w:w="6139" w:type="dxa"/>
            <w:tcBorders>
              <w:top w:val="single" w:sz="4" w:space="0" w:color="auto"/>
              <w:left w:val="nil"/>
              <w:bottom w:val="single" w:sz="4" w:space="0" w:color="auto"/>
              <w:right w:val="single" w:sz="4" w:space="0" w:color="auto"/>
            </w:tcBorders>
            <w:shd w:val="clear" w:color="auto" w:fill="FFC000"/>
          </w:tcPr>
          <w:p w14:paraId="338E6B1F" w14:textId="4E9C74D3" w:rsidR="003A0BB1" w:rsidRPr="00356A1F" w:rsidRDefault="003A0BB1" w:rsidP="00356A1F">
            <w:pPr>
              <w:spacing w:line="276" w:lineRule="auto"/>
              <w:jc w:val="both"/>
              <w:rPr>
                <w:rFonts w:ascii="Arial" w:hAnsi="Arial" w:cs="Arial"/>
                <w:sz w:val="22"/>
                <w:szCs w:val="22"/>
              </w:rPr>
            </w:pPr>
            <w:r w:rsidRPr="00356A1F">
              <w:rPr>
                <w:rFonts w:ascii="Arial" w:eastAsia="Malgun Gothic" w:hAnsi="Arial" w:cs="Arial"/>
                <w:b/>
                <w:bCs/>
                <w:color w:val="000000"/>
                <w:sz w:val="22"/>
                <w:szCs w:val="22"/>
              </w:rPr>
              <w:t>ENQUIRY</w:t>
            </w:r>
          </w:p>
        </w:tc>
        <w:tc>
          <w:tcPr>
            <w:tcW w:w="6945" w:type="dxa"/>
            <w:tcBorders>
              <w:top w:val="single" w:sz="4" w:space="0" w:color="auto"/>
              <w:left w:val="nil"/>
              <w:bottom w:val="single" w:sz="4" w:space="0" w:color="auto"/>
              <w:right w:val="single" w:sz="4" w:space="0" w:color="auto"/>
            </w:tcBorders>
            <w:shd w:val="clear" w:color="auto" w:fill="FFC000"/>
          </w:tcPr>
          <w:p w14:paraId="79B0430C" w14:textId="633A96CC" w:rsidR="003A0BB1" w:rsidRPr="00356A1F" w:rsidRDefault="003A0BB1" w:rsidP="00356A1F">
            <w:pPr>
              <w:spacing w:line="276" w:lineRule="auto"/>
              <w:jc w:val="both"/>
              <w:rPr>
                <w:rFonts w:ascii="Arial" w:hAnsi="Arial" w:cs="Arial"/>
                <w:sz w:val="22"/>
                <w:szCs w:val="22"/>
              </w:rPr>
            </w:pPr>
            <w:r w:rsidRPr="00356A1F">
              <w:rPr>
                <w:rFonts w:ascii="Arial" w:eastAsia="Malgun Gothic" w:hAnsi="Arial" w:cs="Arial"/>
                <w:b/>
                <w:bCs/>
                <w:color w:val="000000"/>
                <w:sz w:val="22"/>
                <w:szCs w:val="22"/>
              </w:rPr>
              <w:t>RESPONSE FROM TEAM</w:t>
            </w:r>
          </w:p>
        </w:tc>
      </w:tr>
      <w:tr w:rsidR="00B71ADD" w:rsidRPr="00356A1F" w14:paraId="243338CF" w14:textId="77777777" w:rsidTr="00B75556">
        <w:tc>
          <w:tcPr>
            <w:tcW w:w="709" w:type="dxa"/>
            <w:tcBorders>
              <w:top w:val="single" w:sz="4" w:space="0" w:color="auto"/>
              <w:left w:val="single" w:sz="4" w:space="0" w:color="auto"/>
              <w:bottom w:val="single" w:sz="4" w:space="0" w:color="auto"/>
              <w:right w:val="single" w:sz="4" w:space="0" w:color="auto"/>
            </w:tcBorders>
            <w:shd w:val="clear" w:color="auto" w:fill="auto"/>
          </w:tcPr>
          <w:p w14:paraId="12066341" w14:textId="77777777" w:rsidR="00B71ADD" w:rsidRPr="00356A1F" w:rsidRDefault="00B71ADD" w:rsidP="00356A1F">
            <w:pPr>
              <w:pStyle w:val="ListParagraph"/>
              <w:numPr>
                <w:ilvl w:val="0"/>
                <w:numId w:val="1"/>
              </w:numPr>
              <w:spacing w:line="276" w:lineRule="auto"/>
              <w:rPr>
                <w:rFonts w:ascii="Arial"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1A1A66E5" w14:textId="1CB19741" w:rsidR="00B71ADD" w:rsidRDefault="00B71ADD" w:rsidP="00356A1F">
            <w:pPr>
              <w:spacing w:line="276" w:lineRule="auto"/>
              <w:rPr>
                <w:rFonts w:ascii="Arial" w:eastAsia="Malgun Gothic" w:hAnsi="Arial" w:cs="Arial"/>
                <w:color w:val="000000"/>
                <w:sz w:val="22"/>
                <w:szCs w:val="22"/>
              </w:rPr>
            </w:pPr>
            <w:r>
              <w:rPr>
                <w:rFonts w:ascii="Arial" w:eastAsia="Malgun Gothic" w:hAnsi="Arial" w:cs="Arial"/>
                <w:color w:val="000000"/>
                <w:sz w:val="22"/>
                <w:szCs w:val="22"/>
              </w:rPr>
              <w:t>21 April 2025</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7229F2AB" w14:textId="12760DB4" w:rsidR="00B71ADD" w:rsidRDefault="00B71ADD" w:rsidP="00B71ADD">
            <w:pPr>
              <w:spacing w:line="276" w:lineRule="auto"/>
              <w:jc w:val="both"/>
              <w:rPr>
                <w:rFonts w:ascii="Arial" w:eastAsia="Malgun Gothic" w:hAnsi="Arial" w:cs="Arial"/>
                <w:color w:val="000000"/>
                <w:sz w:val="22"/>
                <w:szCs w:val="22"/>
              </w:rPr>
            </w:pPr>
            <w:r>
              <w:rPr>
                <w:rFonts w:ascii="Arial" w:eastAsia="Malgun Gothic" w:hAnsi="Arial" w:cs="Arial"/>
                <w:color w:val="000000"/>
                <w:sz w:val="22"/>
                <w:szCs w:val="22"/>
              </w:rPr>
              <w:t>(Continuation from query submitted on 9 April 2025)</w:t>
            </w:r>
          </w:p>
          <w:p w14:paraId="5C12E88E" w14:textId="77777777" w:rsidR="00B71ADD" w:rsidRDefault="00B71ADD" w:rsidP="00B71ADD">
            <w:pPr>
              <w:spacing w:line="276" w:lineRule="auto"/>
              <w:jc w:val="both"/>
              <w:rPr>
                <w:rFonts w:ascii="Arial" w:eastAsia="Malgun Gothic" w:hAnsi="Arial" w:cs="Arial"/>
                <w:color w:val="000000"/>
                <w:sz w:val="22"/>
                <w:szCs w:val="22"/>
              </w:rPr>
            </w:pPr>
          </w:p>
          <w:p w14:paraId="2E10DF2D" w14:textId="4E4F87A0"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Thank you for your response dated 21.4.2025, which I have noted with appreciation.</w:t>
            </w:r>
          </w:p>
          <w:p w14:paraId="584E9005" w14:textId="77777777" w:rsidR="00B71ADD" w:rsidRPr="00B71ADD" w:rsidRDefault="00B71ADD" w:rsidP="00B71ADD">
            <w:pPr>
              <w:spacing w:line="276" w:lineRule="auto"/>
              <w:jc w:val="both"/>
              <w:rPr>
                <w:rFonts w:ascii="Arial" w:eastAsia="Malgun Gothic" w:hAnsi="Arial" w:cs="Arial"/>
                <w:color w:val="000000"/>
                <w:sz w:val="22"/>
                <w:szCs w:val="22"/>
              </w:rPr>
            </w:pPr>
          </w:p>
          <w:p w14:paraId="58F80561"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Regarding the “falsified survey plan,” I confirm that I reported this issue, supported by relevant drawings, to the Sabah Surveyors Board over two years ago. Additionally, I have lodged a complaint with the Board of Architects Malaysia (LAM), which is currently under investigation.</w:t>
            </w:r>
          </w:p>
          <w:p w14:paraId="3DF333DA" w14:textId="77777777" w:rsidR="00B71ADD" w:rsidRPr="00B71ADD" w:rsidRDefault="00B71ADD" w:rsidP="00B71ADD">
            <w:pPr>
              <w:spacing w:line="276" w:lineRule="auto"/>
              <w:jc w:val="both"/>
              <w:rPr>
                <w:rFonts w:ascii="Arial" w:eastAsia="Malgun Gothic" w:hAnsi="Arial" w:cs="Arial"/>
                <w:color w:val="000000"/>
                <w:sz w:val="22"/>
                <w:szCs w:val="22"/>
              </w:rPr>
            </w:pPr>
          </w:p>
          <w:p w14:paraId="36191554"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I understand that your response is provided as general clarification. In this context, I have one general question: Is the amended development plan typically prepared before or after the completion of the final as-built survey?</w:t>
            </w:r>
          </w:p>
          <w:p w14:paraId="01EA0E1A" w14:textId="55F871C7" w:rsidR="00B71ADD" w:rsidRPr="00723317" w:rsidRDefault="00B71ADD" w:rsidP="00B71ADD">
            <w:pPr>
              <w:spacing w:line="276" w:lineRule="auto"/>
              <w:jc w:val="both"/>
              <w:rPr>
                <w:rFonts w:ascii="Arial" w:eastAsia="Malgun Gothic" w:hAnsi="Arial" w:cs="Arial"/>
                <w:color w:val="000000"/>
                <w:sz w:val="22"/>
                <w:szCs w:val="22"/>
              </w:rPr>
            </w:pP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0B2BA3AF" w14:textId="77777777" w:rsidR="00B71ADD" w:rsidRPr="00B71ADD" w:rsidRDefault="00B71ADD" w:rsidP="00B71ADD">
            <w:pPr>
              <w:spacing w:line="276" w:lineRule="auto"/>
              <w:jc w:val="both"/>
              <w:rPr>
                <w:rFonts w:ascii="Arial" w:eastAsia="Malgun Gothic" w:hAnsi="Arial" w:cs="Arial"/>
                <w:color w:val="000000"/>
                <w:sz w:val="22"/>
                <w:szCs w:val="22"/>
              </w:rPr>
            </w:pPr>
          </w:p>
        </w:tc>
      </w:tr>
      <w:tr w:rsidR="00723317" w:rsidRPr="00356A1F" w14:paraId="52CAD177" w14:textId="77777777" w:rsidTr="00B75556">
        <w:tc>
          <w:tcPr>
            <w:tcW w:w="709" w:type="dxa"/>
            <w:tcBorders>
              <w:top w:val="single" w:sz="4" w:space="0" w:color="auto"/>
              <w:left w:val="single" w:sz="4" w:space="0" w:color="auto"/>
              <w:bottom w:val="single" w:sz="4" w:space="0" w:color="auto"/>
              <w:right w:val="single" w:sz="4" w:space="0" w:color="auto"/>
            </w:tcBorders>
            <w:shd w:val="clear" w:color="auto" w:fill="auto"/>
          </w:tcPr>
          <w:p w14:paraId="71D32D53" w14:textId="77777777" w:rsidR="00723317" w:rsidRPr="00356A1F" w:rsidRDefault="00723317" w:rsidP="00356A1F">
            <w:pPr>
              <w:pStyle w:val="ListParagraph"/>
              <w:numPr>
                <w:ilvl w:val="0"/>
                <w:numId w:val="1"/>
              </w:numPr>
              <w:spacing w:line="276" w:lineRule="auto"/>
              <w:rPr>
                <w:rFonts w:ascii="Arial" w:hAnsi="Arial" w:cs="Arial"/>
                <w:sz w:val="22"/>
                <w:szCs w:val="22"/>
              </w:rPr>
            </w:pPr>
          </w:p>
        </w:tc>
        <w:tc>
          <w:tcPr>
            <w:tcW w:w="1559" w:type="dxa"/>
            <w:tcBorders>
              <w:top w:val="single" w:sz="4" w:space="0" w:color="auto"/>
              <w:left w:val="single" w:sz="4" w:space="0" w:color="auto"/>
              <w:bottom w:val="single" w:sz="4" w:space="0" w:color="auto"/>
              <w:right w:val="single" w:sz="4" w:space="0" w:color="auto"/>
            </w:tcBorders>
            <w:shd w:val="clear" w:color="auto" w:fill="auto"/>
          </w:tcPr>
          <w:p w14:paraId="4D7EB3A0" w14:textId="4C1B39C8" w:rsidR="00723317" w:rsidRDefault="00723317" w:rsidP="00356A1F">
            <w:pPr>
              <w:spacing w:line="276" w:lineRule="auto"/>
              <w:rPr>
                <w:rFonts w:ascii="Arial" w:eastAsia="Malgun Gothic" w:hAnsi="Arial" w:cs="Arial"/>
                <w:color w:val="000000"/>
                <w:sz w:val="22"/>
                <w:szCs w:val="22"/>
              </w:rPr>
            </w:pPr>
            <w:r>
              <w:rPr>
                <w:rFonts w:ascii="Arial" w:eastAsia="Malgun Gothic" w:hAnsi="Arial" w:cs="Arial"/>
                <w:color w:val="000000"/>
                <w:sz w:val="22"/>
                <w:szCs w:val="22"/>
              </w:rPr>
              <w:t>9 April 2025</w:t>
            </w:r>
          </w:p>
        </w:tc>
        <w:tc>
          <w:tcPr>
            <w:tcW w:w="6139" w:type="dxa"/>
            <w:tcBorders>
              <w:top w:val="single" w:sz="4" w:space="0" w:color="auto"/>
              <w:left w:val="single" w:sz="4" w:space="0" w:color="auto"/>
              <w:bottom w:val="single" w:sz="4" w:space="0" w:color="auto"/>
              <w:right w:val="single" w:sz="4" w:space="0" w:color="auto"/>
            </w:tcBorders>
            <w:shd w:val="clear" w:color="auto" w:fill="auto"/>
          </w:tcPr>
          <w:p w14:paraId="5765F4E7" w14:textId="7E779D11" w:rsidR="00723317" w:rsidRP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Sir, is an architect as the Principal Submitting Person</w:t>
            </w:r>
            <w:r>
              <w:rPr>
                <w:rFonts w:ascii="Arial" w:eastAsia="Malgun Gothic" w:hAnsi="Arial" w:cs="Arial"/>
                <w:color w:val="000000"/>
                <w:sz w:val="22"/>
                <w:szCs w:val="22"/>
              </w:rPr>
              <w:t xml:space="preserve"> </w:t>
            </w:r>
            <w:r w:rsidRPr="00723317">
              <w:rPr>
                <w:rFonts w:ascii="Arial" w:eastAsia="Malgun Gothic" w:hAnsi="Arial" w:cs="Arial"/>
                <w:color w:val="000000"/>
                <w:sz w:val="22"/>
                <w:szCs w:val="22"/>
              </w:rPr>
              <w:t>responsible for submitting a falsified as-built survey, given to</w:t>
            </w:r>
          </w:p>
          <w:p w14:paraId="35786878" w14:textId="1F4C2455"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him by the surveyor, to the authorities, </w:t>
            </w:r>
            <w:r>
              <w:rPr>
                <w:rFonts w:ascii="Arial" w:eastAsia="Malgun Gothic" w:hAnsi="Arial" w:cs="Arial"/>
                <w:color w:val="000000"/>
                <w:sz w:val="22"/>
                <w:szCs w:val="22"/>
              </w:rPr>
              <w:t>DBKK</w:t>
            </w:r>
            <w:r w:rsidRPr="00723317">
              <w:rPr>
                <w:rFonts w:ascii="Arial" w:eastAsia="Malgun Gothic" w:hAnsi="Arial" w:cs="Arial"/>
                <w:color w:val="000000"/>
                <w:sz w:val="22"/>
                <w:szCs w:val="22"/>
              </w:rPr>
              <w:t>?</w:t>
            </w:r>
          </w:p>
          <w:p w14:paraId="78ECD2F9" w14:textId="77777777" w:rsidR="00723317" w:rsidRDefault="00723317" w:rsidP="00723317">
            <w:pPr>
              <w:spacing w:line="276" w:lineRule="auto"/>
              <w:jc w:val="both"/>
              <w:rPr>
                <w:rFonts w:ascii="Arial" w:eastAsia="Malgun Gothic" w:hAnsi="Arial" w:cs="Arial"/>
                <w:color w:val="000000"/>
                <w:sz w:val="22"/>
                <w:szCs w:val="22"/>
              </w:rPr>
            </w:pPr>
          </w:p>
          <w:p w14:paraId="70CAB50E" w14:textId="7CA7C37E"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I am writing to seek clarification regarding the responsibilities of architects under the building regulations applicable in Sabah in 2019, particularly in relation to the Occupancy Certificate (OC) issued for </w:t>
            </w:r>
            <w:r>
              <w:rPr>
                <w:rFonts w:ascii="Arial" w:eastAsia="Malgun Gothic" w:hAnsi="Arial" w:cs="Arial"/>
                <w:color w:val="000000"/>
                <w:sz w:val="22"/>
                <w:szCs w:val="22"/>
              </w:rPr>
              <w:t>Project A</w:t>
            </w:r>
            <w:r w:rsidRPr="00723317">
              <w:rPr>
                <w:rFonts w:ascii="Arial" w:eastAsia="Malgun Gothic" w:hAnsi="Arial" w:cs="Arial"/>
                <w:color w:val="000000"/>
                <w:sz w:val="22"/>
                <w:szCs w:val="22"/>
              </w:rPr>
              <w:t xml:space="preserve"> on October 2, 2019. The building regulations in Sabah at that time</w:t>
            </w:r>
            <w:r>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likely the Sabah Building By-Laws 1964 or its amendments</w:t>
            </w:r>
            <w:r>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 xml:space="preserve">governed the process, outlining architects’ responsibilities in plan submission and compliance certification. These by-laws were tailored to Sabah’s local context but shared similarities with </w:t>
            </w:r>
            <w:r w:rsidRPr="00723317">
              <w:rPr>
                <w:rFonts w:ascii="Arial" w:eastAsia="Malgun Gothic" w:hAnsi="Arial" w:cs="Arial"/>
                <w:color w:val="000000"/>
                <w:sz w:val="22"/>
                <w:szCs w:val="22"/>
              </w:rPr>
              <w:lastRenderedPageBreak/>
              <w:t xml:space="preserve">the Uniform Building By-Laws 1984 in terms of professional duties.  </w:t>
            </w:r>
          </w:p>
          <w:p w14:paraId="6A7CEDBD" w14:textId="77777777" w:rsidR="00723317" w:rsidRPr="00723317" w:rsidRDefault="00723317" w:rsidP="00723317">
            <w:pPr>
              <w:spacing w:line="276" w:lineRule="auto"/>
              <w:jc w:val="both"/>
              <w:rPr>
                <w:rFonts w:ascii="Arial" w:eastAsia="Malgun Gothic" w:hAnsi="Arial" w:cs="Arial"/>
                <w:color w:val="000000"/>
                <w:sz w:val="22"/>
                <w:szCs w:val="22"/>
              </w:rPr>
            </w:pPr>
          </w:p>
          <w:p w14:paraId="2B90DDE3" w14:textId="77777777"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In your email to me dated 14.10.2022, you stated, ‘We have also been led to understand that there is a current, legal dispute between yourself and the Developer. Apart from not being able to comment based on the information we have received, we hope you understand that we are also unable to add any further advice lest it may be misconstrued as interference within the above-mentioned dispute.’</w:t>
            </w:r>
          </w:p>
          <w:p w14:paraId="420A95E2" w14:textId="77777777" w:rsidR="00723317" w:rsidRPr="00723317" w:rsidRDefault="00723317" w:rsidP="00723317">
            <w:pPr>
              <w:spacing w:line="276" w:lineRule="auto"/>
              <w:jc w:val="both"/>
              <w:rPr>
                <w:rFonts w:ascii="Arial" w:eastAsia="Malgun Gothic" w:hAnsi="Arial" w:cs="Arial"/>
                <w:color w:val="000000"/>
                <w:sz w:val="22"/>
                <w:szCs w:val="22"/>
              </w:rPr>
            </w:pPr>
          </w:p>
          <w:p w14:paraId="6F9D146B" w14:textId="77777777"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Now that there is no legal dispute, I hope you will please help me with my predicament.</w:t>
            </w:r>
          </w:p>
          <w:p w14:paraId="417DB1E2" w14:textId="77777777" w:rsidR="00723317" w:rsidRPr="00723317" w:rsidRDefault="00723317" w:rsidP="00723317">
            <w:pPr>
              <w:spacing w:line="276" w:lineRule="auto"/>
              <w:jc w:val="both"/>
              <w:rPr>
                <w:rFonts w:ascii="Arial" w:eastAsia="Malgun Gothic" w:hAnsi="Arial" w:cs="Arial"/>
                <w:color w:val="000000"/>
                <w:sz w:val="22"/>
                <w:szCs w:val="22"/>
              </w:rPr>
            </w:pPr>
          </w:p>
          <w:p w14:paraId="78254D98" w14:textId="77777777" w:rsidR="00723317" w:rsidRP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Under the building by-laws in Sabah in 2019, architects were required to:  </w:t>
            </w:r>
          </w:p>
          <w:p w14:paraId="4A1EC2D2" w14:textId="77777777" w:rsidR="00723317" w:rsidRPr="00723317" w:rsidRDefault="00723317" w:rsidP="00723317">
            <w:pPr>
              <w:pStyle w:val="ListParagraph"/>
              <w:numPr>
                <w:ilvl w:val="0"/>
                <w:numId w:val="14"/>
              </w:num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Submit and obtain approval for building plans.  </w:t>
            </w:r>
          </w:p>
          <w:p w14:paraId="1924BCD8" w14:textId="77777777" w:rsidR="00723317" w:rsidRPr="00723317" w:rsidRDefault="00723317" w:rsidP="00723317">
            <w:pPr>
              <w:pStyle w:val="ListParagraph"/>
              <w:numPr>
                <w:ilvl w:val="0"/>
                <w:numId w:val="14"/>
              </w:num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Supervise construction to ensure compliance with approved plans and structural integrity.  </w:t>
            </w:r>
          </w:p>
          <w:p w14:paraId="316D7A0B" w14:textId="77777777" w:rsidR="00723317" w:rsidRDefault="00723317" w:rsidP="00723317">
            <w:pPr>
              <w:pStyle w:val="ListParagraph"/>
              <w:numPr>
                <w:ilvl w:val="0"/>
                <w:numId w:val="14"/>
              </w:num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Certify compliance during construction stages, contributing to the issuance of an Occupancy Certificate (OC) by the local authority, as was the practice in Sabah at that time.</w:t>
            </w:r>
          </w:p>
          <w:p w14:paraId="37DF521E" w14:textId="77777777" w:rsidR="00723317" w:rsidRPr="00723317" w:rsidRDefault="00723317" w:rsidP="00723317">
            <w:pPr>
              <w:pStyle w:val="ListParagraph"/>
              <w:spacing w:line="276" w:lineRule="auto"/>
              <w:ind w:left="360"/>
              <w:jc w:val="both"/>
              <w:rPr>
                <w:rFonts w:ascii="Arial" w:eastAsia="Malgun Gothic" w:hAnsi="Arial" w:cs="Arial"/>
                <w:color w:val="000000"/>
                <w:sz w:val="22"/>
                <w:szCs w:val="22"/>
              </w:rPr>
            </w:pPr>
          </w:p>
          <w:p w14:paraId="4FEFCE17" w14:textId="77777777"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The PAM Contract 2018 complements these by-laws by outlining the architect’s contractual duties, such as monitoring progress, issuing certificates, and ensuring the works align with contract documents. An architect certifying the setting out of a building under the PAM Contract 2018 would declare, to the best of their knowledge and belief, that the works comply </w:t>
            </w:r>
            <w:r w:rsidRPr="00723317">
              <w:rPr>
                <w:rFonts w:ascii="Arial" w:eastAsia="Malgun Gothic" w:hAnsi="Arial" w:cs="Arial"/>
                <w:color w:val="000000"/>
                <w:sz w:val="22"/>
                <w:szCs w:val="22"/>
              </w:rPr>
              <w:lastRenderedPageBreak/>
              <w:t xml:space="preserve">with approved plans, accepting responsibility for this certification.  </w:t>
            </w:r>
          </w:p>
          <w:p w14:paraId="6A306F53" w14:textId="77777777" w:rsidR="00723317" w:rsidRPr="00723317" w:rsidRDefault="00723317" w:rsidP="00723317">
            <w:pPr>
              <w:spacing w:line="276" w:lineRule="auto"/>
              <w:jc w:val="both"/>
              <w:rPr>
                <w:rFonts w:ascii="Arial" w:eastAsia="Malgun Gothic" w:hAnsi="Arial" w:cs="Arial"/>
                <w:color w:val="000000"/>
                <w:sz w:val="22"/>
                <w:szCs w:val="22"/>
              </w:rPr>
            </w:pPr>
          </w:p>
          <w:p w14:paraId="3DC216E1" w14:textId="6066CF7F"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In the case of </w:t>
            </w:r>
            <w:r w:rsidR="00AB5172">
              <w:rPr>
                <w:rFonts w:ascii="Arial" w:eastAsia="Malgun Gothic" w:hAnsi="Arial" w:cs="Arial"/>
                <w:color w:val="000000"/>
                <w:sz w:val="22"/>
                <w:szCs w:val="22"/>
              </w:rPr>
              <w:t>Project A</w:t>
            </w:r>
            <w:r w:rsidRPr="00723317">
              <w:rPr>
                <w:rFonts w:ascii="Arial" w:eastAsia="Malgun Gothic" w:hAnsi="Arial" w:cs="Arial"/>
                <w:color w:val="000000"/>
                <w:sz w:val="22"/>
                <w:szCs w:val="22"/>
              </w:rPr>
              <w:t xml:space="preserve">, </w:t>
            </w:r>
            <w:r w:rsidR="00AB5172">
              <w:rPr>
                <w:rFonts w:ascii="Arial" w:eastAsia="Malgun Gothic" w:hAnsi="Arial" w:cs="Arial"/>
                <w:color w:val="000000"/>
                <w:sz w:val="22"/>
                <w:szCs w:val="22"/>
              </w:rPr>
              <w:t>XYZ</w:t>
            </w:r>
            <w:r w:rsidRPr="00723317">
              <w:rPr>
                <w:rFonts w:ascii="Arial" w:eastAsia="Malgun Gothic" w:hAnsi="Arial" w:cs="Arial"/>
                <w:color w:val="000000"/>
                <w:sz w:val="22"/>
                <w:szCs w:val="22"/>
              </w:rPr>
              <w:t xml:space="preserve"> Architect, who I understand acted as the Principal Submitting Person (PSP), claims they are not responsible for submitting a falsified survey plan to the authorities. I find this difficult to accept, as it raises questions about professional accountability under Sabah’s regulatory framework at the time.  </w:t>
            </w:r>
          </w:p>
          <w:p w14:paraId="3B5F197B" w14:textId="77777777" w:rsidR="00AB5172" w:rsidRPr="00723317" w:rsidRDefault="00AB5172" w:rsidP="00723317">
            <w:pPr>
              <w:spacing w:line="276" w:lineRule="auto"/>
              <w:jc w:val="both"/>
              <w:rPr>
                <w:rFonts w:ascii="Arial" w:eastAsia="Malgun Gothic" w:hAnsi="Arial" w:cs="Arial"/>
                <w:color w:val="000000"/>
                <w:sz w:val="22"/>
                <w:szCs w:val="22"/>
              </w:rPr>
            </w:pPr>
          </w:p>
          <w:p w14:paraId="59F49D5D" w14:textId="55F86CA1"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Under the building by-laws in Sabah in 2019 (e.g., Sabah Building By-Laws 1964 or its amendments), the PSP</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typically the architect</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 xml:space="preserve">was responsible for submitting building plans to the local authority for approval, ensuring compliance with legal and technical standards. This includes verifying that accompanying documents, such as survey plans, structural drawings, and site plans, meet regulatory requirements. While the survey plan itself is typically prepared by a licensed land surveyor, the architect, as PSP, integrates it into the building plans and submits it as part of the approval process, implicitly endorsing its integrity.  </w:t>
            </w:r>
          </w:p>
          <w:p w14:paraId="742D1AFD" w14:textId="77777777" w:rsidR="00AB5172" w:rsidRPr="00723317" w:rsidRDefault="00AB5172" w:rsidP="00723317">
            <w:pPr>
              <w:spacing w:line="276" w:lineRule="auto"/>
              <w:jc w:val="both"/>
              <w:rPr>
                <w:rFonts w:ascii="Arial" w:eastAsia="Malgun Gothic" w:hAnsi="Arial" w:cs="Arial"/>
                <w:color w:val="000000"/>
                <w:sz w:val="22"/>
                <w:szCs w:val="22"/>
              </w:rPr>
            </w:pPr>
          </w:p>
          <w:p w14:paraId="2C15BF0B" w14:textId="77777777" w:rsidR="00AB5172"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If the survey plan was falsified, the architect’s claim of non-responsibility hinges on whether they knowingly submitted false information or failed to exercise due diligence. The building by-laws in Sabah in 2019 imposed a duty on the PSP to ensure that submitted plans, including survey plans, complied with regulatory standards and were accurate to the best of their knowledge. Submitting a falsified survey plan</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whether intentionally or negligently</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 xml:space="preserve">could breach this duty. </w:t>
            </w:r>
          </w:p>
          <w:p w14:paraId="1845DAA5" w14:textId="32095BDB" w:rsidR="00723317" w:rsidRP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lastRenderedPageBreak/>
              <w:t xml:space="preserve"> </w:t>
            </w:r>
          </w:p>
          <w:p w14:paraId="4AE1A7F5" w14:textId="0AF0B60B"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Furthermore, the Architects Act 1967 (Act 117), enforced by the Board of Architects Malaysia (LAM) and applicable across Malaysia, including Sabah, requires architects to uphold professional standards. Submitting falsified documents</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directly or indirectly</w:t>
            </w:r>
            <w:r w:rsidR="00AB5172">
              <w:rPr>
                <w:rFonts w:ascii="Arial" w:eastAsia="Malgun Gothic" w:hAnsi="Arial" w:cs="Arial"/>
                <w:color w:val="000000"/>
                <w:sz w:val="22"/>
                <w:szCs w:val="22"/>
              </w:rPr>
              <w:t xml:space="preserve"> - </w:t>
            </w:r>
            <w:r w:rsidRPr="00723317">
              <w:rPr>
                <w:rFonts w:ascii="Arial" w:eastAsia="Malgun Gothic" w:hAnsi="Arial" w:cs="Arial"/>
                <w:color w:val="000000"/>
                <w:sz w:val="22"/>
                <w:szCs w:val="22"/>
              </w:rPr>
              <w:t xml:space="preserve">could violate LAM’s Code of Professional Conduct, particularly provisions on integrity and competence.  </w:t>
            </w:r>
          </w:p>
          <w:p w14:paraId="267B1F0E" w14:textId="77777777" w:rsidR="00AB5172" w:rsidRPr="00723317" w:rsidRDefault="00AB5172" w:rsidP="00723317">
            <w:pPr>
              <w:spacing w:line="276" w:lineRule="auto"/>
              <w:jc w:val="both"/>
              <w:rPr>
                <w:rFonts w:ascii="Arial" w:eastAsia="Malgun Gothic" w:hAnsi="Arial" w:cs="Arial"/>
                <w:color w:val="000000"/>
                <w:sz w:val="22"/>
                <w:szCs w:val="22"/>
              </w:rPr>
            </w:pPr>
          </w:p>
          <w:p w14:paraId="4DF54ECD" w14:textId="73BF3874" w:rsidR="00723317" w:rsidRDefault="00AB5172" w:rsidP="00723317">
            <w:pPr>
              <w:spacing w:line="276" w:lineRule="auto"/>
              <w:jc w:val="both"/>
              <w:rPr>
                <w:rFonts w:ascii="Arial" w:eastAsia="Malgun Gothic" w:hAnsi="Arial" w:cs="Arial"/>
                <w:color w:val="000000"/>
                <w:sz w:val="22"/>
                <w:szCs w:val="22"/>
              </w:rPr>
            </w:pPr>
            <w:r>
              <w:rPr>
                <w:rFonts w:ascii="Arial" w:eastAsia="Malgun Gothic" w:hAnsi="Arial" w:cs="Arial"/>
                <w:color w:val="000000"/>
                <w:sz w:val="22"/>
                <w:szCs w:val="22"/>
              </w:rPr>
              <w:t>XYZ</w:t>
            </w:r>
            <w:r w:rsidR="00723317" w:rsidRPr="00723317">
              <w:rPr>
                <w:rFonts w:ascii="Arial" w:eastAsia="Malgun Gothic" w:hAnsi="Arial" w:cs="Arial"/>
                <w:color w:val="000000"/>
                <w:sz w:val="22"/>
                <w:szCs w:val="22"/>
              </w:rPr>
              <w:t xml:space="preserve"> Architect argues they relied on the surveyor’s expertise. However, courts and professional bodies often hold PSPs accountable for reasonable due diligence. Ignorance or blind reliance on others is rarely a complete </w:t>
            </w:r>
            <w:proofErr w:type="spellStart"/>
            <w:r w:rsidR="00723317" w:rsidRPr="00723317">
              <w:rPr>
                <w:rFonts w:ascii="Arial" w:eastAsia="Malgun Gothic" w:hAnsi="Arial" w:cs="Arial"/>
                <w:color w:val="000000"/>
                <w:sz w:val="22"/>
                <w:szCs w:val="22"/>
              </w:rPr>
              <w:t>defense</w:t>
            </w:r>
            <w:proofErr w:type="spellEnd"/>
            <w:r w:rsidR="00723317" w:rsidRPr="00723317">
              <w:rPr>
                <w:rFonts w:ascii="Arial" w:eastAsia="Malgun Gothic" w:hAnsi="Arial" w:cs="Arial"/>
                <w:color w:val="000000"/>
                <w:sz w:val="22"/>
                <w:szCs w:val="22"/>
              </w:rPr>
              <w:t>. As PSP, they are not merely a conduit for passing documents to the authorities; they are gatekeepers of compliance. Submitting a falsified survey plan</w:t>
            </w:r>
            <w:r>
              <w:rPr>
                <w:rFonts w:ascii="Arial" w:eastAsia="Malgun Gothic" w:hAnsi="Arial" w:cs="Arial"/>
                <w:color w:val="000000"/>
                <w:sz w:val="22"/>
                <w:szCs w:val="22"/>
              </w:rPr>
              <w:t xml:space="preserve"> - </w:t>
            </w:r>
            <w:r w:rsidR="00723317" w:rsidRPr="00723317">
              <w:rPr>
                <w:rFonts w:ascii="Arial" w:eastAsia="Malgun Gothic" w:hAnsi="Arial" w:cs="Arial"/>
                <w:color w:val="000000"/>
                <w:sz w:val="22"/>
                <w:szCs w:val="22"/>
              </w:rPr>
              <w:t>whether they prepared it or not</w:t>
            </w:r>
            <w:r>
              <w:rPr>
                <w:rFonts w:ascii="Arial" w:eastAsia="Malgun Gothic" w:hAnsi="Arial" w:cs="Arial"/>
                <w:color w:val="000000"/>
                <w:sz w:val="22"/>
                <w:szCs w:val="22"/>
              </w:rPr>
              <w:t xml:space="preserve"> - </w:t>
            </w:r>
            <w:r w:rsidR="00723317" w:rsidRPr="00723317">
              <w:rPr>
                <w:rFonts w:ascii="Arial" w:eastAsia="Malgun Gothic" w:hAnsi="Arial" w:cs="Arial"/>
                <w:color w:val="000000"/>
                <w:sz w:val="22"/>
                <w:szCs w:val="22"/>
              </w:rPr>
              <w:t xml:space="preserve">falls within their sphere of oversight. The building by-laws in Sabah in 2019 and LAM’s standards suggest that architects cannot fully absolve themselves by pointing fingers at others, especially without evidence of due diligence. If the falsification was blatant or detectable, their failure to flag it undermines their professional duty.  </w:t>
            </w:r>
          </w:p>
          <w:p w14:paraId="4D025587" w14:textId="77777777" w:rsidR="00AB5172" w:rsidRPr="00723317" w:rsidRDefault="00AB5172" w:rsidP="00723317">
            <w:pPr>
              <w:spacing w:line="276" w:lineRule="auto"/>
              <w:jc w:val="both"/>
              <w:rPr>
                <w:rFonts w:ascii="Arial" w:eastAsia="Malgun Gothic" w:hAnsi="Arial" w:cs="Arial"/>
                <w:color w:val="000000"/>
                <w:sz w:val="22"/>
                <w:szCs w:val="22"/>
              </w:rPr>
            </w:pPr>
          </w:p>
          <w:p w14:paraId="61353E82" w14:textId="56DCDE6C" w:rsidR="00723317" w:rsidRDefault="00723317" w:rsidP="00723317">
            <w:pPr>
              <w:spacing w:line="276" w:lineRule="auto"/>
              <w:jc w:val="both"/>
              <w:rPr>
                <w:rFonts w:ascii="Arial" w:eastAsia="Malgun Gothic" w:hAnsi="Arial" w:cs="Arial"/>
                <w:color w:val="000000"/>
                <w:sz w:val="22"/>
                <w:szCs w:val="22"/>
              </w:rPr>
            </w:pPr>
            <w:r w:rsidRPr="00723317">
              <w:rPr>
                <w:rFonts w:ascii="Arial" w:eastAsia="Malgun Gothic" w:hAnsi="Arial" w:cs="Arial"/>
                <w:color w:val="000000"/>
                <w:sz w:val="22"/>
                <w:szCs w:val="22"/>
              </w:rPr>
              <w:t xml:space="preserve">I would appreciate PAM’s guidance on this matter, particularly whether an architect acting as PSP in 2019 could reasonably disclaim responsibility for a falsified survey plan submitted under their oversight.  </w:t>
            </w:r>
          </w:p>
          <w:p w14:paraId="10BDDF50" w14:textId="7D71178F" w:rsidR="00723317" w:rsidRPr="00B75556" w:rsidRDefault="00723317" w:rsidP="00723317">
            <w:pPr>
              <w:spacing w:line="276" w:lineRule="auto"/>
              <w:jc w:val="both"/>
              <w:rPr>
                <w:rFonts w:ascii="Arial" w:eastAsia="Malgun Gothic" w:hAnsi="Arial" w:cs="Arial"/>
                <w:color w:val="000000"/>
                <w:sz w:val="22"/>
                <w:szCs w:val="22"/>
              </w:rPr>
            </w:pPr>
          </w:p>
        </w:tc>
        <w:tc>
          <w:tcPr>
            <w:tcW w:w="6945" w:type="dxa"/>
            <w:tcBorders>
              <w:top w:val="single" w:sz="4" w:space="0" w:color="auto"/>
              <w:left w:val="single" w:sz="4" w:space="0" w:color="auto"/>
              <w:bottom w:val="single" w:sz="4" w:space="0" w:color="auto"/>
              <w:right w:val="single" w:sz="4" w:space="0" w:color="auto"/>
            </w:tcBorders>
            <w:shd w:val="clear" w:color="auto" w:fill="auto"/>
          </w:tcPr>
          <w:p w14:paraId="79A8AD5D"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lastRenderedPageBreak/>
              <w:t xml:space="preserve">We refer to your query dated 9 April 2025 regarding the responsibilities of the Principal Submitting Person (PSP), </w:t>
            </w:r>
            <w:proofErr w:type="gramStart"/>
            <w:r w:rsidRPr="00B71ADD">
              <w:rPr>
                <w:rFonts w:ascii="Arial" w:eastAsia="Malgun Gothic" w:hAnsi="Arial" w:cs="Arial"/>
                <w:color w:val="000000"/>
                <w:sz w:val="22"/>
                <w:szCs w:val="22"/>
              </w:rPr>
              <w:t>in particular in</w:t>
            </w:r>
            <w:proofErr w:type="gramEnd"/>
            <w:r w:rsidRPr="00B71ADD">
              <w:rPr>
                <w:rFonts w:ascii="Arial" w:eastAsia="Malgun Gothic" w:hAnsi="Arial" w:cs="Arial"/>
                <w:color w:val="000000"/>
                <w:sz w:val="22"/>
                <w:szCs w:val="22"/>
              </w:rPr>
              <w:t xml:space="preserve"> relation to the issuance of the Occupancy Certificate (OC) for the project you have mentioned, and the submission of related plans under the applicable building by-laws in Sabah at the time.</w:t>
            </w:r>
          </w:p>
          <w:p w14:paraId="570FC949"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13A9E325"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We provide the following feedback:</w:t>
            </w:r>
          </w:p>
          <w:p w14:paraId="777BABF3"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5E807B3E"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Role of the PSP and Regulatory Framework</w:t>
            </w:r>
          </w:p>
          <w:p w14:paraId="0204DE02"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Under the regulatory framework in force in Sabah in 2019, a PSP—typically a registered architect—was responsible for submitting the requisite building plans and documents to the local authority in accordance with the statutory requirements then in effect. The OC, however, is issued at the discretion of the local authority upon </w:t>
            </w:r>
            <w:r w:rsidRPr="00B71ADD">
              <w:rPr>
                <w:rFonts w:ascii="Arial" w:eastAsia="Malgun Gothic" w:hAnsi="Arial" w:cs="Arial"/>
                <w:color w:val="000000"/>
                <w:sz w:val="22"/>
                <w:szCs w:val="22"/>
              </w:rPr>
              <w:lastRenderedPageBreak/>
              <w:t>satisfaction of applicable conditions and submission of relevant certifications.</w:t>
            </w:r>
          </w:p>
          <w:p w14:paraId="0FC59619"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2A1BE65F"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Coordination with Other Professionals</w:t>
            </w:r>
          </w:p>
          <w:p w14:paraId="0B619837"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It is standard industry practice for PSPs to coordinate the submission of documents prepared by other qualified professionals, such as engineers and licensed land surveyors. The PSP relies in good faith on the competency and statutory responsibility of these professionals for the content and accuracy of their respective documents.</w:t>
            </w:r>
          </w:p>
          <w:p w14:paraId="3A193752"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746C073F"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Allegation of Falsified Survey Plan</w:t>
            </w:r>
          </w:p>
          <w:p w14:paraId="6F5F0082"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We note your reference to a “falsified survey plan.” As this is a serious allegation and no documentary evidence was enclosed, we are not </w:t>
            </w:r>
            <w:proofErr w:type="gramStart"/>
            <w:r w:rsidRPr="00B71ADD">
              <w:rPr>
                <w:rFonts w:ascii="Arial" w:eastAsia="Malgun Gothic" w:hAnsi="Arial" w:cs="Arial"/>
                <w:color w:val="000000"/>
                <w:sz w:val="22"/>
                <w:szCs w:val="22"/>
              </w:rPr>
              <w:t>in a position</w:t>
            </w:r>
            <w:proofErr w:type="gramEnd"/>
            <w:r w:rsidRPr="00B71ADD">
              <w:rPr>
                <w:rFonts w:ascii="Arial" w:eastAsia="Malgun Gothic" w:hAnsi="Arial" w:cs="Arial"/>
                <w:color w:val="000000"/>
                <w:sz w:val="22"/>
                <w:szCs w:val="22"/>
              </w:rPr>
              <w:t xml:space="preserve"> to comment on the specifics of the matter.</w:t>
            </w:r>
          </w:p>
          <w:p w14:paraId="2AA3688C" w14:textId="77777777" w:rsidR="00B71ADD" w:rsidRPr="00B71ADD" w:rsidRDefault="00B71ADD" w:rsidP="00B71ADD">
            <w:pPr>
              <w:spacing w:line="276" w:lineRule="auto"/>
              <w:jc w:val="both"/>
              <w:rPr>
                <w:rFonts w:ascii="Arial" w:eastAsia="Malgun Gothic" w:hAnsi="Arial" w:cs="Arial"/>
                <w:color w:val="000000"/>
                <w:sz w:val="22"/>
                <w:szCs w:val="22"/>
              </w:rPr>
            </w:pPr>
          </w:p>
          <w:p w14:paraId="59EE9D4C"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Should you have concerns regarding the authenticity or accuracy of a survey plan, we recommend that you consider referring the matter to the Sabah Surveyors Board, which is the relevant authority overseeing the practice of licensed surveyors in Sabah.</w:t>
            </w:r>
          </w:p>
          <w:p w14:paraId="32154FAA"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769E0B8A"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Scope of PAM’s Role</w:t>
            </w:r>
          </w:p>
          <w:p w14:paraId="282DA4B8"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PAM is a professional institute with the role of supporting and advancing the architectural profession. We are not a regulatory, investigative, or disciplinary body, and do not adjudicate specific complaints or disputes. Our response is intended as a general clarification only and should not be construed as legal advice or comment on any specific case.</w:t>
            </w:r>
          </w:p>
          <w:p w14:paraId="7A14FCC9"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123291F9" w14:textId="77777777" w:rsidR="00B71ADD" w:rsidRPr="00B71ADD" w:rsidRDefault="00B71ADD" w:rsidP="00B71ADD">
            <w:pPr>
              <w:spacing w:line="276" w:lineRule="auto"/>
              <w:jc w:val="both"/>
              <w:rPr>
                <w:rFonts w:ascii="Arial" w:eastAsia="Malgun Gothic" w:hAnsi="Arial" w:cs="Arial"/>
                <w:b/>
                <w:bCs/>
                <w:color w:val="000000"/>
                <w:sz w:val="22"/>
                <w:szCs w:val="22"/>
              </w:rPr>
            </w:pPr>
            <w:r w:rsidRPr="00B71ADD">
              <w:rPr>
                <w:rFonts w:ascii="Arial" w:eastAsia="Malgun Gothic" w:hAnsi="Arial" w:cs="Arial"/>
                <w:b/>
                <w:bCs/>
                <w:color w:val="000000"/>
                <w:sz w:val="22"/>
                <w:szCs w:val="22"/>
              </w:rPr>
              <w:t>On Lodging a Complaint</w:t>
            </w:r>
          </w:p>
          <w:p w14:paraId="3916C71D"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lastRenderedPageBreak/>
              <w:t>Should you believe a professional duty has been breached and you have been directly affected, a formal complaint may be submitted to the relevant authority, supported with documentary evidence. Please note that regulatory processes typically require the complainant to demonstrate that they are the directly affected party or to substantiate the claim with credible documentation.</w:t>
            </w:r>
          </w:p>
          <w:p w14:paraId="39E16C37" w14:textId="77777777" w:rsidR="00B71ADD" w:rsidRPr="00B71ADD"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 xml:space="preserve"> </w:t>
            </w:r>
          </w:p>
          <w:p w14:paraId="5F2CBFE6" w14:textId="18015B2A" w:rsidR="00723317" w:rsidRPr="00356A1F" w:rsidRDefault="00B71ADD" w:rsidP="00B71ADD">
            <w:pPr>
              <w:spacing w:line="276" w:lineRule="auto"/>
              <w:jc w:val="both"/>
              <w:rPr>
                <w:rFonts w:ascii="Arial" w:eastAsia="Malgun Gothic" w:hAnsi="Arial" w:cs="Arial"/>
                <w:color w:val="000000"/>
                <w:sz w:val="22"/>
                <w:szCs w:val="22"/>
              </w:rPr>
            </w:pPr>
            <w:r w:rsidRPr="00B71ADD">
              <w:rPr>
                <w:rFonts w:ascii="Arial" w:eastAsia="Malgun Gothic" w:hAnsi="Arial" w:cs="Arial"/>
                <w:color w:val="000000"/>
                <w:sz w:val="22"/>
                <w:szCs w:val="22"/>
              </w:rPr>
              <w:t>We trust the above provides general clarification. For any further action, we recommend engaging with the appropriate authorities and, where necessary, seeking independent professional or legal advice.</w:t>
            </w:r>
          </w:p>
        </w:tc>
      </w:tr>
    </w:tbl>
    <w:p w14:paraId="342BD4B7" w14:textId="77777777" w:rsidR="008A56D3" w:rsidRDefault="008A56D3"/>
    <w:sectPr w:rsidR="008A56D3" w:rsidSect="00DE6D4D">
      <w:headerReference w:type="default" r:id="rId8"/>
      <w:headerReference w:type="first" r:id="rId9"/>
      <w:pgSz w:w="16838" w:h="11906" w:orient="landscape" w:code="9"/>
      <w:pgMar w:top="1440" w:right="1440" w:bottom="1135"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F31B3" w14:textId="77777777" w:rsidR="00674224" w:rsidRDefault="00674224" w:rsidP="00D16D7A">
      <w:pPr>
        <w:spacing w:after="0" w:line="240" w:lineRule="auto"/>
      </w:pPr>
      <w:r>
        <w:separator/>
      </w:r>
    </w:p>
  </w:endnote>
  <w:endnote w:type="continuationSeparator" w:id="0">
    <w:p w14:paraId="3552BFBD" w14:textId="77777777" w:rsidR="00674224" w:rsidRDefault="00674224" w:rsidP="00D16D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2B3E5" w14:textId="77777777" w:rsidR="00674224" w:rsidRDefault="00674224" w:rsidP="00D16D7A">
      <w:pPr>
        <w:spacing w:after="0" w:line="240" w:lineRule="auto"/>
      </w:pPr>
      <w:r>
        <w:separator/>
      </w:r>
    </w:p>
  </w:footnote>
  <w:footnote w:type="continuationSeparator" w:id="0">
    <w:p w14:paraId="76925A07" w14:textId="77777777" w:rsidR="00674224" w:rsidRDefault="00674224" w:rsidP="00D16D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FC760" w14:textId="1745619B" w:rsidR="00D16D7A" w:rsidRDefault="00D16D7A" w:rsidP="00D16D7A">
    <w:pPr>
      <w:pStyle w:val="Header"/>
      <w:ind w:left="-567"/>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1E405" w14:textId="77777777" w:rsidR="00DE6D4D" w:rsidRDefault="00DE6D4D" w:rsidP="00DE6D4D">
    <w:pPr>
      <w:pStyle w:val="Header"/>
      <w:ind w:left="-567"/>
      <w:rPr>
        <w:b/>
        <w:bCs/>
        <w:sz w:val="28"/>
        <w:szCs w:val="28"/>
        <w:lang w:val="en-US"/>
      </w:rPr>
    </w:pPr>
    <w:r>
      <w:rPr>
        <w:b/>
        <w:bCs/>
        <w:sz w:val="28"/>
        <w:szCs w:val="28"/>
        <w:lang w:val="en-US"/>
      </w:rPr>
      <w:t>PAM PRACTICE BUREAU</w:t>
    </w:r>
  </w:p>
  <w:p w14:paraId="08B5F624" w14:textId="2A37CD3B" w:rsidR="00DE6D4D" w:rsidRDefault="00DE6D4D" w:rsidP="00DE6D4D">
    <w:pPr>
      <w:pStyle w:val="Header"/>
      <w:ind w:left="-567"/>
      <w:rPr>
        <w:b/>
        <w:bCs/>
        <w:kern w:val="0"/>
        <w14:ligatures w14:val="none"/>
      </w:rPr>
    </w:pPr>
    <w:r>
      <w:rPr>
        <w:b/>
        <w:bCs/>
        <w:kern w:val="0"/>
        <w14:ligatures w14:val="none"/>
      </w:rPr>
      <w:t xml:space="preserve">CATEGORY </w:t>
    </w:r>
    <w:r>
      <w:rPr>
        <w:b/>
        <w:bCs/>
        <w:kern w:val="0"/>
        <w14:ligatures w14:val="none"/>
      </w:rPr>
      <w:t>C</w:t>
    </w:r>
    <w:r>
      <w:rPr>
        <w:b/>
        <w:bCs/>
        <w:kern w:val="0"/>
        <w14:ligatures w14:val="none"/>
      </w:rPr>
      <w:t xml:space="preserve">: </w:t>
    </w:r>
    <w:r>
      <w:rPr>
        <w:b/>
        <w:bCs/>
        <w:kern w:val="0"/>
        <w14:ligatures w14:val="none"/>
      </w:rPr>
      <w:t>BUILDING CONTROL [STREET, DRAINAGE AND BUILDING ACT, UBBL]</w:t>
    </w:r>
  </w:p>
  <w:p w14:paraId="4A762F67" w14:textId="77777777" w:rsidR="00DE6D4D" w:rsidRDefault="00DE6D4D" w:rsidP="00DE6D4D">
    <w:pPr>
      <w:pStyle w:val="Header"/>
      <w:ind w:left="-56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90371"/>
    <w:multiLevelType w:val="hybridMultilevel"/>
    <w:tmpl w:val="84F41FFA"/>
    <w:lvl w:ilvl="0" w:tplc="F49C8D92">
      <w:start w:val="1"/>
      <w:numFmt w:val="decimal"/>
      <w:lvlText w:val="%1)"/>
      <w:lvlJc w:val="left"/>
      <w:pPr>
        <w:ind w:left="36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15:restartNumberingAfterBreak="0">
    <w:nsid w:val="0CF075BE"/>
    <w:multiLevelType w:val="hybridMultilevel"/>
    <w:tmpl w:val="E362A45A"/>
    <w:lvl w:ilvl="0" w:tplc="DCB4671A">
      <w:start w:val="1"/>
      <w:numFmt w:val="decimal"/>
      <w:lvlText w:val="%1)"/>
      <w:lvlJc w:val="left"/>
      <w:pPr>
        <w:ind w:left="360" w:hanging="360"/>
      </w:pPr>
      <w:rPr>
        <w:rFonts w:hint="default"/>
      </w:rPr>
    </w:lvl>
    <w:lvl w:ilvl="1" w:tplc="8A00A4AE">
      <w:start w:val="1"/>
      <w:numFmt w:val="lowerLetter"/>
      <w:lvlText w:val="%2."/>
      <w:lvlJc w:val="left"/>
      <w:pPr>
        <w:ind w:left="1440" w:hanging="36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13BC473F"/>
    <w:multiLevelType w:val="hybridMultilevel"/>
    <w:tmpl w:val="64104020"/>
    <w:lvl w:ilvl="0" w:tplc="44090019">
      <w:start w:val="1"/>
      <w:numFmt w:val="low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15:restartNumberingAfterBreak="0">
    <w:nsid w:val="1BE42E9C"/>
    <w:multiLevelType w:val="hybridMultilevel"/>
    <w:tmpl w:val="5546B60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15:restartNumberingAfterBreak="0">
    <w:nsid w:val="239F3DCD"/>
    <w:multiLevelType w:val="hybridMultilevel"/>
    <w:tmpl w:val="53AC827A"/>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5" w15:restartNumberingAfterBreak="0">
    <w:nsid w:val="26F6552E"/>
    <w:multiLevelType w:val="hybridMultilevel"/>
    <w:tmpl w:val="26E6B4F8"/>
    <w:lvl w:ilvl="0" w:tplc="4409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3293773A"/>
    <w:multiLevelType w:val="hybridMultilevel"/>
    <w:tmpl w:val="8F40EB76"/>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 w15:restartNumberingAfterBreak="0">
    <w:nsid w:val="44FC3F08"/>
    <w:multiLevelType w:val="hybridMultilevel"/>
    <w:tmpl w:val="54CC8306"/>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8" w15:restartNumberingAfterBreak="0">
    <w:nsid w:val="4C61682E"/>
    <w:multiLevelType w:val="hybridMultilevel"/>
    <w:tmpl w:val="1402D23A"/>
    <w:lvl w:ilvl="0" w:tplc="28161A1C">
      <w:start w:val="1"/>
      <w:numFmt w:val="decimal"/>
      <w:lvlText w:val="%1)"/>
      <w:lvlJc w:val="left"/>
      <w:pPr>
        <w:ind w:left="1130" w:hanging="77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54853866"/>
    <w:multiLevelType w:val="hybridMultilevel"/>
    <w:tmpl w:val="42AADEBC"/>
    <w:lvl w:ilvl="0" w:tplc="8BAA91D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0" w15:restartNumberingAfterBreak="0">
    <w:nsid w:val="611C2869"/>
    <w:multiLevelType w:val="hybridMultilevel"/>
    <w:tmpl w:val="05B0B510"/>
    <w:lvl w:ilvl="0" w:tplc="44090017">
      <w:start w:val="1"/>
      <w:numFmt w:val="lowerLetter"/>
      <w:lvlText w:val="%1)"/>
      <w:lvlJc w:val="left"/>
      <w:pPr>
        <w:ind w:left="360" w:hanging="360"/>
      </w:pPr>
    </w:lvl>
    <w:lvl w:ilvl="1" w:tplc="44090019">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1" w15:restartNumberingAfterBreak="0">
    <w:nsid w:val="67E923EF"/>
    <w:multiLevelType w:val="hybridMultilevel"/>
    <w:tmpl w:val="9572E080"/>
    <w:lvl w:ilvl="0" w:tplc="0310CD84">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2" w15:restartNumberingAfterBreak="0">
    <w:nsid w:val="6D146139"/>
    <w:multiLevelType w:val="hybridMultilevel"/>
    <w:tmpl w:val="27403CC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3" w15:restartNumberingAfterBreak="0">
    <w:nsid w:val="738A499F"/>
    <w:multiLevelType w:val="hybridMultilevel"/>
    <w:tmpl w:val="F80A3CBA"/>
    <w:lvl w:ilvl="0" w:tplc="1AAC9336">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76462FAB"/>
    <w:multiLevelType w:val="hybridMultilevel"/>
    <w:tmpl w:val="E1C866E0"/>
    <w:lvl w:ilvl="0" w:tplc="44090017">
      <w:start w:val="1"/>
      <w:numFmt w:val="lowerLetter"/>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5" w15:restartNumberingAfterBreak="0">
    <w:nsid w:val="76D3432F"/>
    <w:multiLevelType w:val="hybridMultilevel"/>
    <w:tmpl w:val="A4CA5C52"/>
    <w:lvl w:ilvl="0" w:tplc="44090011">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6" w15:restartNumberingAfterBreak="0">
    <w:nsid w:val="78CA237A"/>
    <w:multiLevelType w:val="hybridMultilevel"/>
    <w:tmpl w:val="379A7FE4"/>
    <w:lvl w:ilvl="0" w:tplc="8D323E40">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7" w15:restartNumberingAfterBreak="0">
    <w:nsid w:val="7F1F21D6"/>
    <w:multiLevelType w:val="hybridMultilevel"/>
    <w:tmpl w:val="753CDADC"/>
    <w:lvl w:ilvl="0" w:tplc="44090011">
      <w:start w:val="1"/>
      <w:numFmt w:val="decimal"/>
      <w:lvlText w:val="%1)"/>
      <w:lvlJc w:val="left"/>
      <w:pPr>
        <w:ind w:left="360" w:hanging="360"/>
      </w:p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432828039">
    <w:abstractNumId w:val="16"/>
  </w:num>
  <w:num w:numId="2" w16cid:durableId="685179172">
    <w:abstractNumId w:val="17"/>
  </w:num>
  <w:num w:numId="3" w16cid:durableId="2069843533">
    <w:abstractNumId w:val="8"/>
  </w:num>
  <w:num w:numId="4" w16cid:durableId="533468319">
    <w:abstractNumId w:val="15"/>
  </w:num>
  <w:num w:numId="5" w16cid:durableId="770782079">
    <w:abstractNumId w:val="9"/>
  </w:num>
  <w:num w:numId="6" w16cid:durableId="895894483">
    <w:abstractNumId w:val="7"/>
  </w:num>
  <w:num w:numId="7" w16cid:durableId="1669753183">
    <w:abstractNumId w:val="4"/>
  </w:num>
  <w:num w:numId="8" w16cid:durableId="1327855236">
    <w:abstractNumId w:val="0"/>
  </w:num>
  <w:num w:numId="9" w16cid:durableId="679620560">
    <w:abstractNumId w:val="13"/>
  </w:num>
  <w:num w:numId="10" w16cid:durableId="1402215866">
    <w:abstractNumId w:val="1"/>
  </w:num>
  <w:num w:numId="11" w16cid:durableId="1171410450">
    <w:abstractNumId w:val="10"/>
  </w:num>
  <w:num w:numId="12" w16cid:durableId="847017472">
    <w:abstractNumId w:val="6"/>
  </w:num>
  <w:num w:numId="13" w16cid:durableId="176818870">
    <w:abstractNumId w:val="5"/>
  </w:num>
  <w:num w:numId="14" w16cid:durableId="943532650">
    <w:abstractNumId w:val="12"/>
  </w:num>
  <w:num w:numId="15" w16cid:durableId="1826359118">
    <w:abstractNumId w:val="11"/>
  </w:num>
  <w:num w:numId="16" w16cid:durableId="1649086567">
    <w:abstractNumId w:val="14"/>
  </w:num>
  <w:num w:numId="17" w16cid:durableId="1933278093">
    <w:abstractNumId w:val="2"/>
  </w:num>
  <w:num w:numId="18" w16cid:durableId="8272844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6D3"/>
    <w:rsid w:val="001268A9"/>
    <w:rsid w:val="00280295"/>
    <w:rsid w:val="0034427F"/>
    <w:rsid w:val="00356A1F"/>
    <w:rsid w:val="003A0BB1"/>
    <w:rsid w:val="00475B89"/>
    <w:rsid w:val="00497F10"/>
    <w:rsid w:val="004A14B1"/>
    <w:rsid w:val="004C176E"/>
    <w:rsid w:val="005E511C"/>
    <w:rsid w:val="00674224"/>
    <w:rsid w:val="006A0CBD"/>
    <w:rsid w:val="00723317"/>
    <w:rsid w:val="008A56D3"/>
    <w:rsid w:val="008F7B2C"/>
    <w:rsid w:val="00AB5172"/>
    <w:rsid w:val="00B71ADD"/>
    <w:rsid w:val="00B75556"/>
    <w:rsid w:val="00C02C3E"/>
    <w:rsid w:val="00C75B98"/>
    <w:rsid w:val="00CD686C"/>
    <w:rsid w:val="00D16D7A"/>
    <w:rsid w:val="00DE6D4D"/>
    <w:rsid w:val="00F41AB2"/>
    <w:rsid w:val="00F47771"/>
    <w:rsid w:val="00FB602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A0D302"/>
  <w15:chartTrackingRefBased/>
  <w15:docId w15:val="{B3D2288D-4570-4CC1-A50B-C484A391E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6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56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56D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56D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56D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56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6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6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6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6D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56D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56D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56D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56D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56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6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6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6D3"/>
    <w:rPr>
      <w:rFonts w:eastAsiaTheme="majorEastAsia" w:cstheme="majorBidi"/>
      <w:color w:val="272727" w:themeColor="text1" w:themeTint="D8"/>
    </w:rPr>
  </w:style>
  <w:style w:type="paragraph" w:styleId="Title">
    <w:name w:val="Title"/>
    <w:basedOn w:val="Normal"/>
    <w:next w:val="Normal"/>
    <w:link w:val="TitleChar"/>
    <w:uiPriority w:val="10"/>
    <w:qFormat/>
    <w:rsid w:val="008A56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6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6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6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6D3"/>
    <w:pPr>
      <w:spacing w:before="160"/>
      <w:jc w:val="center"/>
    </w:pPr>
    <w:rPr>
      <w:i/>
      <w:iCs/>
      <w:color w:val="404040" w:themeColor="text1" w:themeTint="BF"/>
    </w:rPr>
  </w:style>
  <w:style w:type="character" w:customStyle="1" w:styleId="QuoteChar">
    <w:name w:val="Quote Char"/>
    <w:basedOn w:val="DefaultParagraphFont"/>
    <w:link w:val="Quote"/>
    <w:uiPriority w:val="29"/>
    <w:rsid w:val="008A56D3"/>
    <w:rPr>
      <w:i/>
      <w:iCs/>
      <w:color w:val="404040" w:themeColor="text1" w:themeTint="BF"/>
    </w:rPr>
  </w:style>
  <w:style w:type="paragraph" w:styleId="ListParagraph">
    <w:name w:val="List Paragraph"/>
    <w:basedOn w:val="Normal"/>
    <w:uiPriority w:val="34"/>
    <w:qFormat/>
    <w:rsid w:val="008A56D3"/>
    <w:pPr>
      <w:ind w:left="720"/>
      <w:contextualSpacing/>
    </w:pPr>
  </w:style>
  <w:style w:type="character" w:styleId="IntenseEmphasis">
    <w:name w:val="Intense Emphasis"/>
    <w:basedOn w:val="DefaultParagraphFont"/>
    <w:uiPriority w:val="21"/>
    <w:qFormat/>
    <w:rsid w:val="008A56D3"/>
    <w:rPr>
      <w:i/>
      <w:iCs/>
      <w:color w:val="0F4761" w:themeColor="accent1" w:themeShade="BF"/>
    </w:rPr>
  </w:style>
  <w:style w:type="paragraph" w:styleId="IntenseQuote">
    <w:name w:val="Intense Quote"/>
    <w:basedOn w:val="Normal"/>
    <w:next w:val="Normal"/>
    <w:link w:val="IntenseQuoteChar"/>
    <w:uiPriority w:val="30"/>
    <w:qFormat/>
    <w:rsid w:val="008A56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56D3"/>
    <w:rPr>
      <w:i/>
      <w:iCs/>
      <w:color w:val="0F4761" w:themeColor="accent1" w:themeShade="BF"/>
    </w:rPr>
  </w:style>
  <w:style w:type="character" w:styleId="IntenseReference">
    <w:name w:val="Intense Reference"/>
    <w:basedOn w:val="DefaultParagraphFont"/>
    <w:uiPriority w:val="32"/>
    <w:qFormat/>
    <w:rsid w:val="008A56D3"/>
    <w:rPr>
      <w:b/>
      <w:bCs/>
      <w:smallCaps/>
      <w:color w:val="0F4761" w:themeColor="accent1" w:themeShade="BF"/>
      <w:spacing w:val="5"/>
    </w:rPr>
  </w:style>
  <w:style w:type="table" w:styleId="TableGrid">
    <w:name w:val="Table Grid"/>
    <w:basedOn w:val="TableNormal"/>
    <w:uiPriority w:val="39"/>
    <w:rsid w:val="008A56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A14B1"/>
    <w:rPr>
      <w:color w:val="467886" w:themeColor="hyperlink"/>
      <w:u w:val="single"/>
    </w:rPr>
  </w:style>
  <w:style w:type="character" w:styleId="UnresolvedMention">
    <w:name w:val="Unresolved Mention"/>
    <w:basedOn w:val="DefaultParagraphFont"/>
    <w:uiPriority w:val="99"/>
    <w:semiHidden/>
    <w:unhideWhenUsed/>
    <w:rsid w:val="004A14B1"/>
    <w:rPr>
      <w:color w:val="605E5C"/>
      <w:shd w:val="clear" w:color="auto" w:fill="E1DFDD"/>
    </w:rPr>
  </w:style>
  <w:style w:type="paragraph" w:styleId="Header">
    <w:name w:val="header"/>
    <w:basedOn w:val="Normal"/>
    <w:link w:val="HeaderChar"/>
    <w:uiPriority w:val="99"/>
    <w:unhideWhenUsed/>
    <w:rsid w:val="00D16D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6D7A"/>
  </w:style>
  <w:style w:type="paragraph" w:styleId="Footer">
    <w:name w:val="footer"/>
    <w:basedOn w:val="Normal"/>
    <w:link w:val="FooterChar"/>
    <w:uiPriority w:val="99"/>
    <w:unhideWhenUsed/>
    <w:rsid w:val="00D16D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6D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2585473">
      <w:bodyDiv w:val="1"/>
      <w:marLeft w:val="0"/>
      <w:marRight w:val="0"/>
      <w:marTop w:val="0"/>
      <w:marBottom w:val="0"/>
      <w:divBdr>
        <w:top w:val="none" w:sz="0" w:space="0" w:color="auto"/>
        <w:left w:val="none" w:sz="0" w:space="0" w:color="auto"/>
        <w:bottom w:val="none" w:sz="0" w:space="0" w:color="auto"/>
        <w:right w:val="none" w:sz="0" w:space="0" w:color="auto"/>
      </w:divBdr>
    </w:div>
    <w:div w:id="582646577">
      <w:bodyDiv w:val="1"/>
      <w:marLeft w:val="0"/>
      <w:marRight w:val="0"/>
      <w:marTop w:val="0"/>
      <w:marBottom w:val="0"/>
      <w:divBdr>
        <w:top w:val="none" w:sz="0" w:space="0" w:color="auto"/>
        <w:left w:val="none" w:sz="0" w:space="0" w:color="auto"/>
        <w:bottom w:val="none" w:sz="0" w:space="0" w:color="auto"/>
        <w:right w:val="none" w:sz="0" w:space="0" w:color="auto"/>
      </w:divBdr>
    </w:div>
    <w:div w:id="1039355771">
      <w:bodyDiv w:val="1"/>
      <w:marLeft w:val="0"/>
      <w:marRight w:val="0"/>
      <w:marTop w:val="0"/>
      <w:marBottom w:val="0"/>
      <w:divBdr>
        <w:top w:val="none" w:sz="0" w:space="0" w:color="auto"/>
        <w:left w:val="none" w:sz="0" w:space="0" w:color="auto"/>
        <w:bottom w:val="none" w:sz="0" w:space="0" w:color="auto"/>
        <w:right w:val="none" w:sz="0" w:space="0" w:color="auto"/>
      </w:divBdr>
    </w:div>
    <w:div w:id="1075397522">
      <w:bodyDiv w:val="1"/>
      <w:marLeft w:val="0"/>
      <w:marRight w:val="0"/>
      <w:marTop w:val="0"/>
      <w:marBottom w:val="0"/>
      <w:divBdr>
        <w:top w:val="none" w:sz="0" w:space="0" w:color="auto"/>
        <w:left w:val="none" w:sz="0" w:space="0" w:color="auto"/>
        <w:bottom w:val="none" w:sz="0" w:space="0" w:color="auto"/>
        <w:right w:val="none" w:sz="0" w:space="0" w:color="auto"/>
      </w:divBdr>
    </w:div>
    <w:div w:id="1186796207">
      <w:bodyDiv w:val="1"/>
      <w:marLeft w:val="0"/>
      <w:marRight w:val="0"/>
      <w:marTop w:val="0"/>
      <w:marBottom w:val="0"/>
      <w:divBdr>
        <w:top w:val="none" w:sz="0" w:space="0" w:color="auto"/>
        <w:left w:val="none" w:sz="0" w:space="0" w:color="auto"/>
        <w:bottom w:val="none" w:sz="0" w:space="0" w:color="auto"/>
        <w:right w:val="none" w:sz="0" w:space="0" w:color="auto"/>
      </w:divBdr>
    </w:div>
    <w:div w:id="1514686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5734DA-79F4-46A4-8C32-1AD29976D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1235</Words>
  <Characters>7040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Yati</dc:creator>
  <cp:keywords/>
  <dc:description/>
  <cp:lastModifiedBy>PAM Surat</cp:lastModifiedBy>
  <cp:revision>2</cp:revision>
  <dcterms:created xsi:type="dcterms:W3CDTF">2025-04-23T08:27:00Z</dcterms:created>
  <dcterms:modified xsi:type="dcterms:W3CDTF">2025-04-23T08:27:00Z</dcterms:modified>
</cp:coreProperties>
</file>