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380" w:before="0" w:line="288" w:lineRule="auto"/>
        <w:rPr>
          <w:color w:val="212529"/>
          <w:sz w:val="48"/>
          <w:szCs w:val="48"/>
        </w:rPr>
      </w:pPr>
      <w:bookmarkStart w:colFirst="0" w:colLast="0" w:name="_nb7tu3dvw63e" w:id="0"/>
      <w:bookmarkEnd w:id="0"/>
      <w:r w:rsidDel="00000000" w:rsidR="00000000" w:rsidRPr="00000000">
        <w:rPr>
          <w:color w:val="212529"/>
          <w:sz w:val="48"/>
          <w:szCs w:val="48"/>
          <w:rtl w:val="0"/>
        </w:rPr>
        <w:t xml:space="preserve">CHÍNH SÁCH GIAO NHẬN</w:t>
      </w:r>
    </w:p>
    <w:p w:rsidR="00000000" w:rsidDel="00000000" w:rsidP="00000000" w:rsidRDefault="00000000" w:rsidRPr="00000000" w14:paraId="00000002">
      <w:pPr>
        <w:shd w:fill="ffffff" w:val="clear"/>
        <w:spacing w:after="620" w:lineRule="auto"/>
        <w:rPr>
          <w:color w:val="212529"/>
          <w:sz w:val="24"/>
          <w:szCs w:val="24"/>
        </w:rPr>
      </w:pPr>
      <w:r w:rsidDel="00000000" w:rsidR="00000000" w:rsidRPr="00000000">
        <w:rPr>
          <w:color w:val="212529"/>
          <w:sz w:val="24"/>
          <w:szCs w:val="24"/>
          <w:rtl w:val="0"/>
        </w:rPr>
        <w:t xml:space="preserve">CÔNG TY TRÁCH NHIỆM HỮU HẠN THƯƠNG MẠI DỊCH VỤ GREENSHINE cảm ơn bạn đã đọc Chính Sách Giao Nhận của chúng tôi.</w:t>
      </w:r>
    </w:p>
    <w:p w:rsidR="00000000" w:rsidDel="00000000" w:rsidP="00000000" w:rsidRDefault="00000000" w:rsidRPr="00000000" w14:paraId="00000003">
      <w:pPr>
        <w:pStyle w:val="Heading3"/>
        <w:keepNext w:val="0"/>
        <w:keepLines w:val="0"/>
        <w:shd w:fill="ffffff" w:val="clear"/>
        <w:spacing w:before="0" w:line="288" w:lineRule="auto"/>
        <w:rPr>
          <w:b w:val="1"/>
          <w:color w:val="212529"/>
        </w:rPr>
      </w:pPr>
      <w:bookmarkStart w:colFirst="0" w:colLast="0" w:name="_aedtck200ts2" w:id="1"/>
      <w:bookmarkEnd w:id="1"/>
      <w:r w:rsidDel="00000000" w:rsidR="00000000" w:rsidRPr="00000000">
        <w:rPr>
          <w:b w:val="1"/>
          <w:color w:val="212529"/>
          <w:rtl w:val="0"/>
        </w:rPr>
        <w:t xml:space="preserve">1) Chi phí &amp; khu vực giao nhận</w:t>
      </w:r>
    </w:p>
    <w:p w:rsidR="00000000" w:rsidDel="00000000" w:rsidP="00000000" w:rsidRDefault="00000000" w:rsidRPr="00000000" w14:paraId="00000004">
      <w:pPr>
        <w:shd w:fill="ffffff" w:val="clear"/>
        <w:spacing w:after="240" w:lineRule="auto"/>
        <w:rPr>
          <w:color w:val="212529"/>
          <w:sz w:val="24"/>
          <w:szCs w:val="24"/>
        </w:rPr>
      </w:pPr>
      <w:r w:rsidDel="00000000" w:rsidR="00000000" w:rsidRPr="00000000">
        <w:rPr>
          <w:color w:val="212529"/>
          <w:sz w:val="24"/>
          <w:szCs w:val="24"/>
          <w:rtl w:val="0"/>
        </w:rPr>
        <w:t xml:space="preserve">EcoLaundry cung cấp dịch vụ giao - nhận tận nơi 2 chiều (bao gồm 1 lượt nhận đồ chưa vệ sinh và 1 lượt giao đồ đã vệ sinh) cho tất cả các đơn hàng trong khu vực TP.HCM. Chi phí chi tiết như sau:</w:t>
      </w:r>
    </w:p>
    <w:tbl>
      <w:tblPr>
        <w:tblStyle w:val="Table1"/>
        <w:tblW w:w="10080.0" w:type="dxa"/>
        <w:jc w:val="left"/>
        <w:tblBorders>
          <w:top w:color="dee2e6" w:space="0" w:sz="6" w:val="single"/>
          <w:left w:color="dee2e6" w:space="0" w:sz="6" w:val="single"/>
          <w:bottom w:color="dee2e6" w:space="0" w:sz="6" w:val="single"/>
          <w:right w:color="dee2e6" w:space="0" w:sz="6" w:val="single"/>
          <w:insideH w:color="dee2e6" w:space="0" w:sz="6" w:val="single"/>
          <w:insideV w:color="dee2e6" w:space="0" w:sz="6" w:val="single"/>
        </w:tblBorders>
        <w:tblLayout w:type="fixed"/>
        <w:tblLook w:val="0600"/>
      </w:tblPr>
      <w:tblGrid>
        <w:gridCol w:w="5010"/>
        <w:gridCol w:w="1725"/>
        <w:gridCol w:w="1530"/>
        <w:gridCol w:w="1815"/>
        <w:tblGridChange w:id="0">
          <w:tblGrid>
            <w:gridCol w:w="5010"/>
            <w:gridCol w:w="1725"/>
            <w:gridCol w:w="1530"/>
            <w:gridCol w:w="1815"/>
          </w:tblGrid>
        </w:tblGridChange>
      </w:tblGrid>
      <w:tr>
        <w:trPr>
          <w:cantSplit w:val="0"/>
          <w:trHeight w:val="860" w:hRule="atLeast"/>
          <w:tblHeader w:val="0"/>
        </w:trPr>
        <w:tc>
          <w:tcPr>
            <w:vMerge w:val="restart"/>
            <w:tcBorders>
              <w:top w:color="000000" w:space="0" w:sz="6" w:val="single"/>
              <w:left w:color="000000" w:space="0" w:sz="6" w:val="single"/>
              <w:bottom w:color="000000" w:space="0" w:sz="12" w:val="single"/>
              <w:right w:color="000000" w:space="0" w:sz="6" w:val="single"/>
            </w:tcBorders>
            <w:shd w:fill="ffd966" w:val="clear"/>
            <w:tcMar>
              <w:top w:w="100.0" w:type="dxa"/>
              <w:left w:w="100.0" w:type="dxa"/>
              <w:bottom w:w="100.0" w:type="dxa"/>
              <w:right w:w="100.0" w:type="dxa"/>
            </w:tcMar>
            <w:vAlign w:val="bottom"/>
          </w:tcPr>
          <w:p w:rsidR="00000000" w:rsidDel="00000000" w:rsidP="00000000" w:rsidRDefault="00000000" w:rsidRPr="00000000" w14:paraId="00000005">
            <w:pPr>
              <w:jc w:val="center"/>
              <w:rPr>
                <w:color w:val="212529"/>
                <w:sz w:val="24"/>
                <w:szCs w:val="24"/>
              </w:rPr>
            </w:pPr>
            <w:r w:rsidDel="00000000" w:rsidR="00000000" w:rsidRPr="00000000">
              <w:rPr>
                <w:b w:val="1"/>
                <w:color w:val="212529"/>
                <w:sz w:val="24"/>
                <w:szCs w:val="24"/>
                <w:rtl w:val="0"/>
              </w:rPr>
              <w:t xml:space="preserve">Quận</w:t>
            </w:r>
            <w:r w:rsidDel="00000000" w:rsidR="00000000" w:rsidRPr="00000000">
              <w:rPr>
                <w:rtl w:val="0"/>
              </w:rPr>
            </w:r>
          </w:p>
        </w:tc>
        <w:tc>
          <w:tcPr>
            <w:gridSpan w:val="3"/>
            <w:tcBorders>
              <w:top w:color="000000" w:space="0" w:sz="6" w:val="single"/>
              <w:left w:color="000000" w:space="0" w:sz="6" w:val="single"/>
              <w:bottom w:color="000000" w:space="0" w:sz="12" w:val="single"/>
              <w:right w:color="000000" w:space="0" w:sz="6" w:val="single"/>
            </w:tcBorders>
            <w:shd w:fill="ffd966" w:val="clear"/>
            <w:tcMar>
              <w:top w:w="100.0" w:type="dxa"/>
              <w:left w:w="100.0" w:type="dxa"/>
              <w:bottom w:w="100.0" w:type="dxa"/>
              <w:right w:w="100.0" w:type="dxa"/>
            </w:tcMar>
            <w:vAlign w:val="bottom"/>
          </w:tcPr>
          <w:p w:rsidR="00000000" w:rsidDel="00000000" w:rsidP="00000000" w:rsidRDefault="00000000" w:rsidRPr="00000000" w14:paraId="00000006">
            <w:pPr>
              <w:jc w:val="center"/>
              <w:rPr>
                <w:color w:val="212529"/>
                <w:sz w:val="24"/>
                <w:szCs w:val="24"/>
              </w:rPr>
            </w:pPr>
            <w:r w:rsidDel="00000000" w:rsidR="00000000" w:rsidRPr="00000000">
              <w:rPr>
                <w:b w:val="1"/>
                <w:color w:val="212529"/>
                <w:sz w:val="24"/>
                <w:szCs w:val="24"/>
                <w:rtl w:val="0"/>
              </w:rPr>
              <w:t xml:space="preserve">Đơn hàng thông thường</w:t>
            </w:r>
            <w:r w:rsidDel="00000000" w:rsidR="00000000" w:rsidRPr="00000000">
              <w:rPr>
                <w:rtl w:val="0"/>
              </w:rPr>
            </w:r>
          </w:p>
        </w:tc>
      </w:tr>
      <w:tr>
        <w:trPr>
          <w:cantSplit w:val="0"/>
          <w:trHeight w:val="860" w:hRule="atLeast"/>
          <w:tblHeader w:val="0"/>
        </w:trPr>
        <w:tc>
          <w:tcPr>
            <w:vMerge w:val="continue"/>
            <w:tcBorders>
              <w:top w:color="000000" w:space="0" w:sz="6" w:val="single"/>
              <w:left w:color="000000" w:space="0" w:sz="6" w:val="single"/>
              <w:bottom w:color="000000" w:space="0" w:sz="12"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rPr>
                <w:color w:val="212529"/>
                <w:sz w:val="24"/>
                <w:szCs w:val="24"/>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shd w:fill="ffd966" w:val="clear"/>
            <w:tcMar>
              <w:top w:w="100.0" w:type="dxa"/>
              <w:left w:w="100.0" w:type="dxa"/>
              <w:bottom w:w="100.0" w:type="dxa"/>
              <w:right w:w="100.0" w:type="dxa"/>
            </w:tcMar>
            <w:vAlign w:val="bottom"/>
          </w:tcPr>
          <w:p w:rsidR="00000000" w:rsidDel="00000000" w:rsidP="00000000" w:rsidRDefault="00000000" w:rsidRPr="00000000" w14:paraId="0000000A">
            <w:pPr>
              <w:jc w:val="center"/>
              <w:rPr>
                <w:color w:val="212529"/>
                <w:sz w:val="24"/>
                <w:szCs w:val="24"/>
              </w:rPr>
            </w:pPr>
            <w:r w:rsidDel="00000000" w:rsidR="00000000" w:rsidRPr="00000000">
              <w:rPr>
                <w:b w:val="1"/>
                <w:color w:val="212529"/>
                <w:sz w:val="24"/>
                <w:szCs w:val="24"/>
                <w:rtl w:val="0"/>
              </w:rPr>
              <w:t xml:space="preserve">Dưới 350k</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shd w:fill="ffd966" w:val="clear"/>
            <w:tcMar>
              <w:top w:w="100.0" w:type="dxa"/>
              <w:left w:w="100.0" w:type="dxa"/>
              <w:bottom w:w="100.0" w:type="dxa"/>
              <w:right w:w="100.0" w:type="dxa"/>
            </w:tcMar>
            <w:vAlign w:val="bottom"/>
          </w:tcPr>
          <w:p w:rsidR="00000000" w:rsidDel="00000000" w:rsidP="00000000" w:rsidRDefault="00000000" w:rsidRPr="00000000" w14:paraId="0000000B">
            <w:pPr>
              <w:jc w:val="center"/>
              <w:rPr>
                <w:b w:val="1"/>
                <w:color w:val="212529"/>
                <w:sz w:val="24"/>
                <w:szCs w:val="24"/>
              </w:rPr>
            </w:pPr>
            <w:r w:rsidDel="00000000" w:rsidR="00000000" w:rsidRPr="00000000">
              <w:rPr>
                <w:b w:val="1"/>
                <w:color w:val="212529"/>
                <w:sz w:val="24"/>
                <w:szCs w:val="24"/>
                <w:rtl w:val="0"/>
              </w:rPr>
              <w:t xml:space="preserve">Từ 350k</w:t>
            </w:r>
          </w:p>
        </w:tc>
        <w:tc>
          <w:tcPr>
            <w:tcBorders>
              <w:top w:color="000000" w:space="0" w:sz="6" w:val="single"/>
              <w:left w:color="000000" w:space="0" w:sz="6" w:val="single"/>
              <w:bottom w:color="000000" w:space="0" w:sz="12" w:val="single"/>
              <w:right w:color="000000" w:space="0" w:sz="6" w:val="single"/>
            </w:tcBorders>
            <w:shd w:fill="ffd966" w:val="clear"/>
            <w:tcMar>
              <w:top w:w="100.0" w:type="dxa"/>
              <w:left w:w="100.0" w:type="dxa"/>
              <w:bottom w:w="100.0" w:type="dxa"/>
              <w:right w:w="100.0" w:type="dxa"/>
            </w:tcMar>
            <w:vAlign w:val="bottom"/>
          </w:tcPr>
          <w:p w:rsidR="00000000" w:rsidDel="00000000" w:rsidP="00000000" w:rsidRDefault="00000000" w:rsidRPr="00000000" w14:paraId="0000000C">
            <w:pPr>
              <w:jc w:val="center"/>
              <w:rPr>
                <w:color w:val="212529"/>
                <w:sz w:val="24"/>
                <w:szCs w:val="24"/>
              </w:rPr>
            </w:pPr>
            <w:r w:rsidDel="00000000" w:rsidR="00000000" w:rsidRPr="00000000">
              <w:rPr>
                <w:b w:val="1"/>
                <w:color w:val="212529"/>
                <w:sz w:val="24"/>
                <w:szCs w:val="24"/>
                <w:rtl w:val="0"/>
              </w:rPr>
              <w:t xml:space="preserve">Từ 1 triệu</w:t>
            </w:r>
            <w:r w:rsidDel="00000000" w:rsidR="00000000" w:rsidRPr="00000000">
              <w:rPr>
                <w:rtl w:val="0"/>
              </w:rPr>
            </w:r>
          </w:p>
        </w:tc>
      </w:tr>
      <w:tr>
        <w:trPr>
          <w:cantSplit w:val="0"/>
          <w:trHeight w:val="8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jc w:val="center"/>
              <w:rPr>
                <w:color w:val="212529"/>
                <w:sz w:val="24"/>
                <w:szCs w:val="24"/>
              </w:rPr>
            </w:pPr>
            <w:r w:rsidDel="00000000" w:rsidR="00000000" w:rsidRPr="00000000">
              <w:rPr>
                <w:color w:val="212529"/>
                <w:sz w:val="24"/>
                <w:szCs w:val="24"/>
                <w:rtl w:val="0"/>
              </w:rPr>
              <w:t xml:space="preserve">1, 3, 4, 5, 10, Gò Vấp, Phú Nhuận, Tân Bình, Bình Thạnh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jc w:val="center"/>
              <w:rPr>
                <w:color w:val="212529"/>
                <w:sz w:val="24"/>
                <w:szCs w:val="24"/>
              </w:rPr>
            </w:pPr>
            <w:r w:rsidDel="00000000" w:rsidR="00000000" w:rsidRPr="00000000">
              <w:rPr>
                <w:color w:val="212529"/>
                <w:sz w:val="24"/>
                <w:szCs w:val="24"/>
                <w:rtl w:val="0"/>
              </w:rPr>
              <w:t xml:space="preserve">30.000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jc w:val="center"/>
              <w:rPr>
                <w:color w:val="212529"/>
                <w:sz w:val="24"/>
                <w:szCs w:val="24"/>
              </w:rPr>
            </w:pPr>
            <w:r w:rsidDel="00000000" w:rsidR="00000000" w:rsidRPr="00000000">
              <w:rPr>
                <w:color w:val="212529"/>
                <w:sz w:val="24"/>
                <w:szCs w:val="24"/>
                <w:rtl w:val="0"/>
              </w:rPr>
              <w:t xml:space="preserve">15.000</w:t>
            </w:r>
          </w:p>
        </w:tc>
        <w:tc>
          <w:tcPr>
            <w:vMerge w:val="restart"/>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jc w:val="center"/>
              <w:rPr>
                <w:color w:val="212529"/>
                <w:sz w:val="24"/>
                <w:szCs w:val="24"/>
              </w:rPr>
            </w:pPr>
            <w:r w:rsidDel="00000000" w:rsidR="00000000" w:rsidRPr="00000000">
              <w:rPr>
                <w:color w:val="212529"/>
                <w:sz w:val="24"/>
                <w:szCs w:val="24"/>
                <w:rtl w:val="0"/>
              </w:rPr>
              <w:t xml:space="preserve">Miễn phí </w:t>
            </w:r>
            <w:r w:rsidDel="00000000" w:rsidR="00000000" w:rsidRPr="00000000">
              <w:rPr>
                <w:color w:val="212529"/>
                <w:sz w:val="18"/>
                <w:szCs w:val="18"/>
                <w:rtl w:val="0"/>
              </w:rPr>
              <w:t xml:space="preserve">(2)</w:t>
            </w:r>
            <w:r w:rsidDel="00000000" w:rsidR="00000000" w:rsidRPr="00000000">
              <w:rPr>
                <w:rtl w:val="0"/>
              </w:rPr>
            </w:r>
          </w:p>
        </w:tc>
      </w:tr>
      <w:tr>
        <w:trPr>
          <w:cantSplit w:val="0"/>
          <w:trHeight w:val="8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jc w:val="center"/>
              <w:rPr>
                <w:color w:val="212529"/>
                <w:sz w:val="24"/>
                <w:szCs w:val="24"/>
              </w:rPr>
            </w:pPr>
            <w:r w:rsidDel="00000000" w:rsidR="00000000" w:rsidRPr="00000000">
              <w:rPr>
                <w:color w:val="212529"/>
                <w:sz w:val="24"/>
                <w:szCs w:val="24"/>
                <w:rtl w:val="0"/>
              </w:rPr>
              <w:t xml:space="preserve">2, 6, 7, 8, 11, Tân Phú</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jc w:val="center"/>
              <w:rPr>
                <w:color w:val="212529"/>
                <w:sz w:val="24"/>
                <w:szCs w:val="24"/>
              </w:rPr>
            </w:pPr>
            <w:r w:rsidDel="00000000" w:rsidR="00000000" w:rsidRPr="00000000">
              <w:rPr>
                <w:color w:val="212529"/>
                <w:sz w:val="24"/>
                <w:szCs w:val="24"/>
                <w:rtl w:val="0"/>
              </w:rPr>
              <w:t xml:space="preserve">40.000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jc w:val="center"/>
              <w:rPr>
                <w:color w:val="212529"/>
                <w:sz w:val="24"/>
                <w:szCs w:val="24"/>
              </w:rPr>
            </w:pPr>
            <w:r w:rsidDel="00000000" w:rsidR="00000000" w:rsidRPr="00000000">
              <w:rPr>
                <w:color w:val="212529"/>
                <w:sz w:val="24"/>
                <w:szCs w:val="24"/>
                <w:rtl w:val="0"/>
              </w:rPr>
              <w:t xml:space="preserve">20.000</w:t>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rPr>
                <w:color w:val="212529"/>
                <w:sz w:val="24"/>
                <w:szCs w:val="24"/>
              </w:rPr>
            </w:pPr>
            <w:r w:rsidDel="00000000" w:rsidR="00000000" w:rsidRPr="00000000">
              <w:rPr>
                <w:rtl w:val="0"/>
              </w:rPr>
            </w:r>
          </w:p>
        </w:tc>
      </w:tr>
      <w:tr>
        <w:trPr>
          <w:cantSplit w:val="0"/>
          <w:trHeight w:val="8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jc w:val="center"/>
              <w:rPr>
                <w:color w:val="212529"/>
                <w:sz w:val="24"/>
                <w:szCs w:val="24"/>
              </w:rPr>
            </w:pPr>
            <w:r w:rsidDel="00000000" w:rsidR="00000000" w:rsidRPr="00000000">
              <w:rPr>
                <w:color w:val="212529"/>
                <w:sz w:val="24"/>
                <w:szCs w:val="24"/>
                <w:rtl w:val="0"/>
              </w:rPr>
              <w:t xml:space="preserve">9, 12, Bình Tân, Thủ Đức, Bình Chánh, Nhà Bè</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jc w:val="center"/>
              <w:rPr>
                <w:color w:val="212529"/>
                <w:sz w:val="24"/>
                <w:szCs w:val="24"/>
              </w:rPr>
            </w:pPr>
            <w:r w:rsidDel="00000000" w:rsidR="00000000" w:rsidRPr="00000000">
              <w:rPr>
                <w:color w:val="212529"/>
                <w:sz w:val="24"/>
                <w:szCs w:val="24"/>
                <w:rtl w:val="0"/>
              </w:rPr>
              <w:t xml:space="preserve">50.000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jc w:val="center"/>
              <w:rPr>
                <w:color w:val="212529"/>
                <w:sz w:val="24"/>
                <w:szCs w:val="24"/>
              </w:rPr>
            </w:pPr>
            <w:r w:rsidDel="00000000" w:rsidR="00000000" w:rsidRPr="00000000">
              <w:rPr>
                <w:color w:val="212529"/>
                <w:sz w:val="24"/>
                <w:szCs w:val="24"/>
                <w:rtl w:val="0"/>
              </w:rPr>
              <w:t xml:space="preserve">25.000</w:t>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rPr>
                <w:color w:val="212529"/>
                <w:sz w:val="24"/>
                <w:szCs w:val="24"/>
              </w:rPr>
            </w:pPr>
            <w:r w:rsidDel="00000000" w:rsidR="00000000" w:rsidRPr="00000000">
              <w:rPr>
                <w:rtl w:val="0"/>
              </w:rPr>
            </w:r>
          </w:p>
        </w:tc>
      </w:tr>
    </w:tbl>
    <w:p w:rsidR="00000000" w:rsidDel="00000000" w:rsidP="00000000" w:rsidRDefault="00000000" w:rsidRPr="00000000" w14:paraId="00000019">
      <w:pPr>
        <w:shd w:fill="ffffff" w:val="clear"/>
        <w:spacing w:after="240" w:lineRule="auto"/>
        <w:rPr>
          <w:color w:val="212529"/>
          <w:sz w:val="24"/>
          <w:szCs w:val="24"/>
        </w:rPr>
      </w:pPr>
      <w:r w:rsidDel="00000000" w:rsidR="00000000" w:rsidRPr="00000000">
        <w:rPr>
          <w:rtl w:val="0"/>
        </w:rPr>
      </w:r>
    </w:p>
    <w:p w:rsidR="00000000" w:rsidDel="00000000" w:rsidP="00000000" w:rsidRDefault="00000000" w:rsidRPr="00000000" w14:paraId="0000001A">
      <w:pPr>
        <w:shd w:fill="ffffff" w:val="clear"/>
        <w:spacing w:after="240" w:lineRule="auto"/>
        <w:rPr>
          <w:color w:val="212529"/>
          <w:sz w:val="24"/>
          <w:szCs w:val="24"/>
        </w:rPr>
      </w:pPr>
      <w:r w:rsidDel="00000000" w:rsidR="00000000" w:rsidRPr="00000000">
        <w:rPr>
          <w:color w:val="212529"/>
          <w:sz w:val="24"/>
          <w:szCs w:val="24"/>
          <w:rtl w:val="0"/>
        </w:rPr>
        <w:t xml:space="preserve">(1) Giá trên tính cho 1 chiều vận chuyển (giao hoặc nhận).</w:t>
      </w:r>
    </w:p>
    <w:p w:rsidR="00000000" w:rsidDel="00000000" w:rsidP="00000000" w:rsidRDefault="00000000" w:rsidRPr="00000000" w14:paraId="0000001B">
      <w:pPr>
        <w:shd w:fill="ffffff" w:val="clear"/>
        <w:spacing w:after="240" w:lineRule="auto"/>
        <w:rPr>
          <w:color w:val="212529"/>
          <w:sz w:val="24"/>
          <w:szCs w:val="24"/>
        </w:rPr>
      </w:pPr>
      <w:r w:rsidDel="00000000" w:rsidR="00000000" w:rsidRPr="00000000">
        <w:rPr>
          <w:color w:val="212529"/>
          <w:sz w:val="24"/>
          <w:szCs w:val="24"/>
          <w:rtl w:val="0"/>
        </w:rPr>
        <w:t xml:space="preserve">(2) Freeship chỉ áp dụng cho các đơn hàng thông thường, không bao gồm phí cồng kềnh.</w:t>
      </w:r>
    </w:p>
    <w:p w:rsidR="00000000" w:rsidDel="00000000" w:rsidP="00000000" w:rsidRDefault="00000000" w:rsidRPr="00000000" w14:paraId="0000001C">
      <w:pPr>
        <w:shd w:fill="ffffff" w:val="clear"/>
        <w:spacing w:after="240" w:lineRule="auto"/>
        <w:rPr>
          <w:color w:val="212529"/>
          <w:sz w:val="24"/>
          <w:szCs w:val="24"/>
        </w:rPr>
      </w:pPr>
      <w:r w:rsidDel="00000000" w:rsidR="00000000" w:rsidRPr="00000000">
        <w:rPr>
          <w:color w:val="212529"/>
          <w:sz w:val="24"/>
          <w:szCs w:val="24"/>
          <w:rtl w:val="0"/>
        </w:rPr>
        <w:t xml:space="preserve">Trong một số trường hợp, đơn hàng cồng kềnh có thể không được áp dụng chính sách giao nhận tận nơi, quyết định này dựa trên kích thước món đồ và khả năng giao nhận của EcoLaundry.</w:t>
      </w:r>
    </w:p>
    <w:p w:rsidR="00000000" w:rsidDel="00000000" w:rsidP="00000000" w:rsidRDefault="00000000" w:rsidRPr="00000000" w14:paraId="0000001D">
      <w:pPr>
        <w:pStyle w:val="Heading3"/>
        <w:keepNext w:val="0"/>
        <w:keepLines w:val="0"/>
        <w:shd w:fill="ffffff" w:val="clear"/>
        <w:spacing w:before="0" w:line="288" w:lineRule="auto"/>
        <w:rPr>
          <w:b w:val="1"/>
          <w:color w:val="212529"/>
        </w:rPr>
      </w:pPr>
      <w:bookmarkStart w:colFirst="0" w:colLast="0" w:name="_ym0677grwfqp" w:id="2"/>
      <w:bookmarkEnd w:id="2"/>
      <w:r w:rsidDel="00000000" w:rsidR="00000000" w:rsidRPr="00000000">
        <w:rPr>
          <w:b w:val="1"/>
          <w:color w:val="212529"/>
          <w:rtl w:val="0"/>
        </w:rPr>
        <w:t xml:space="preserve">2) Thời gian giao nhận</w:t>
      </w:r>
    </w:p>
    <w:p w:rsidR="00000000" w:rsidDel="00000000" w:rsidP="00000000" w:rsidRDefault="00000000" w:rsidRPr="00000000" w14:paraId="0000001E">
      <w:pPr>
        <w:shd w:fill="ffffff" w:val="clear"/>
        <w:spacing w:after="240" w:lineRule="auto"/>
        <w:rPr>
          <w:color w:val="212529"/>
          <w:sz w:val="24"/>
          <w:szCs w:val="24"/>
        </w:rPr>
      </w:pPr>
      <w:r w:rsidDel="00000000" w:rsidR="00000000" w:rsidRPr="00000000">
        <w:rPr>
          <w:color w:val="212529"/>
          <w:sz w:val="24"/>
          <w:szCs w:val="24"/>
          <w:rtl w:val="0"/>
        </w:rPr>
        <w:t xml:space="preserve">Thời gian giao nhận chuẩn của EcoLaundry là từ 9H đến 21H mỗi ngày, 7 ngày trong tuần, trừ các dịp lễ tết..</w:t>
      </w:r>
    </w:p>
    <w:p w:rsidR="00000000" w:rsidDel="00000000" w:rsidP="00000000" w:rsidRDefault="00000000" w:rsidRPr="00000000" w14:paraId="0000001F">
      <w:pPr>
        <w:shd w:fill="ffffff" w:val="clear"/>
        <w:spacing w:after="240" w:lineRule="auto"/>
        <w:rPr>
          <w:color w:val="212529"/>
          <w:sz w:val="24"/>
          <w:szCs w:val="24"/>
        </w:rPr>
      </w:pPr>
      <w:r w:rsidDel="00000000" w:rsidR="00000000" w:rsidRPr="00000000">
        <w:rPr>
          <w:color w:val="212529"/>
          <w:sz w:val="24"/>
          <w:szCs w:val="24"/>
          <w:rtl w:val="0"/>
        </w:rPr>
        <w:t xml:space="preserve">EcoLaundry cũng có thể hỗ trợ giao nhận trước 10H và sau 18H, tùy vào từng trường hợp, và có thể áp dụng phụ phí. Nhân viên sẽ tư vấn cụ thể giờ giao nhận phù hợp.</w:t>
      </w:r>
    </w:p>
    <w:p w:rsidR="00000000" w:rsidDel="00000000" w:rsidP="00000000" w:rsidRDefault="00000000" w:rsidRPr="00000000" w14:paraId="00000020">
      <w:pPr>
        <w:pStyle w:val="Heading3"/>
        <w:keepNext w:val="0"/>
        <w:keepLines w:val="0"/>
        <w:shd w:fill="ffffff" w:val="clear"/>
        <w:spacing w:before="0" w:line="288" w:lineRule="auto"/>
        <w:rPr>
          <w:b w:val="1"/>
          <w:color w:val="212529"/>
        </w:rPr>
      </w:pPr>
      <w:bookmarkStart w:colFirst="0" w:colLast="0" w:name="_ov0wvm2q5q1i" w:id="3"/>
      <w:bookmarkEnd w:id="3"/>
      <w:r w:rsidDel="00000000" w:rsidR="00000000" w:rsidRPr="00000000">
        <w:rPr>
          <w:b w:val="1"/>
          <w:color w:val="212529"/>
          <w:rtl w:val="0"/>
        </w:rPr>
        <w:t xml:space="preserve">3) Các điều khoản khác</w:t>
      </w:r>
    </w:p>
    <w:p w:rsidR="00000000" w:rsidDel="00000000" w:rsidP="00000000" w:rsidRDefault="00000000" w:rsidRPr="00000000" w14:paraId="00000021">
      <w:pPr>
        <w:numPr>
          <w:ilvl w:val="0"/>
          <w:numId w:val="1"/>
        </w:numPr>
        <w:spacing w:after="0" w:afterAutospacing="0" w:lineRule="auto"/>
        <w:ind w:left="720" w:hanging="360"/>
      </w:pPr>
      <w:r w:rsidDel="00000000" w:rsidR="00000000" w:rsidRPr="00000000">
        <w:rPr>
          <w:color w:val="212529"/>
          <w:sz w:val="24"/>
          <w:szCs w:val="24"/>
          <w:rtl w:val="0"/>
        </w:rPr>
        <w:t xml:space="preserve">Shipper sẽ gọi cho khách hàng 30 phút trước khi khởi hành qua địa chỉ khách hàng cung cấp.</w:t>
      </w:r>
    </w:p>
    <w:p w:rsidR="00000000" w:rsidDel="00000000" w:rsidP="00000000" w:rsidRDefault="00000000" w:rsidRPr="00000000" w14:paraId="00000022">
      <w:pPr>
        <w:numPr>
          <w:ilvl w:val="0"/>
          <w:numId w:val="1"/>
        </w:numPr>
        <w:spacing w:after="0" w:afterAutospacing="0" w:lineRule="auto"/>
        <w:ind w:left="720" w:hanging="360"/>
      </w:pPr>
      <w:r w:rsidDel="00000000" w:rsidR="00000000" w:rsidRPr="00000000">
        <w:rPr>
          <w:color w:val="212529"/>
          <w:sz w:val="24"/>
          <w:szCs w:val="24"/>
          <w:rtl w:val="0"/>
        </w:rPr>
        <w:t xml:space="preserve">Nếu bạn cần thay đổi địa chỉ, vui lòng thông báo cho nhân viên chăm sóc khách hàng qua số hotline 0869643629 hoặc cho shipper càng sớm càng tốt.</w:t>
      </w:r>
    </w:p>
    <w:p w:rsidR="00000000" w:rsidDel="00000000" w:rsidP="00000000" w:rsidRDefault="00000000" w:rsidRPr="00000000" w14:paraId="00000023">
      <w:pPr>
        <w:numPr>
          <w:ilvl w:val="0"/>
          <w:numId w:val="1"/>
        </w:numPr>
        <w:spacing w:after="0" w:afterAutospacing="0" w:lineRule="auto"/>
        <w:ind w:left="720" w:hanging="360"/>
      </w:pPr>
      <w:r w:rsidDel="00000000" w:rsidR="00000000" w:rsidRPr="00000000">
        <w:rPr>
          <w:color w:val="212529"/>
          <w:sz w:val="24"/>
          <w:szCs w:val="24"/>
          <w:rtl w:val="0"/>
        </w:rPr>
        <w:t xml:space="preserve">Thời gian giao nhận được sắp xếp rất chặt chẽ, vì vậy shipper chỉ có thể chờ tối đa 5 phút sau khi đến nơi. Bạn nên giữ điện thoại bên mình để tránh mất liên lạc, dẫn đến trục trặc trong lúc giao nhận.</w:t>
      </w:r>
    </w:p>
    <w:p w:rsidR="00000000" w:rsidDel="00000000" w:rsidP="00000000" w:rsidRDefault="00000000" w:rsidRPr="00000000" w14:paraId="00000024">
      <w:pPr>
        <w:numPr>
          <w:ilvl w:val="0"/>
          <w:numId w:val="1"/>
        </w:numPr>
        <w:spacing w:after="0" w:afterAutospacing="0" w:lineRule="auto"/>
        <w:ind w:left="720" w:hanging="360"/>
        <w:rPr>
          <w:color w:val="ff0000"/>
        </w:rPr>
      </w:pPr>
      <w:r w:rsidDel="00000000" w:rsidR="00000000" w:rsidRPr="00000000">
        <w:rPr>
          <w:color w:val="ff0000"/>
          <w:sz w:val="24"/>
          <w:szCs w:val="24"/>
          <w:rtl w:val="0"/>
        </w:rPr>
        <w:t xml:space="preserve">Nếu bạn đã xác nhận thời gian và địa chỉ nhưng không có mặt khi shipper đến, EcoLaundry sẽ coi đó là một lượt giao/nhận (No Show).</w:t>
      </w:r>
    </w:p>
    <w:p w:rsidR="00000000" w:rsidDel="00000000" w:rsidP="00000000" w:rsidRDefault="00000000" w:rsidRPr="00000000" w14:paraId="00000025">
      <w:pPr>
        <w:numPr>
          <w:ilvl w:val="0"/>
          <w:numId w:val="1"/>
        </w:numPr>
        <w:spacing w:after="240" w:lineRule="auto"/>
        <w:ind w:left="720" w:hanging="360"/>
        <w:rPr>
          <w:color w:val="ff0000"/>
        </w:rPr>
      </w:pPr>
      <w:r w:rsidDel="00000000" w:rsidR="00000000" w:rsidRPr="00000000">
        <w:rPr>
          <w:color w:val="ff0000"/>
          <w:sz w:val="24"/>
          <w:szCs w:val="24"/>
          <w:rtl w:val="0"/>
        </w:rPr>
        <w:t xml:space="preserve">Chi phí giao nhận cuối cùng sẽ tính theo tổng số lượt đã thực hiện, trừ đi số lượt miễn phí (nếu có). Ví dụ: Nếu bạn ở quận Tân Bình, phí giao nhận 2 chiều là 30.000 VNĐ cho đơn hàng từ 350.000 đến dưới 1.000.000 VND, miễn phí cho đơn hàng từ 1.000.000 VND trở lên; nếu có 1 lượt No Show cho đơn hàng trên 1.000.000 VND, EcoLaundry sẽ tính phí 15.000 VND cho một lượt giao nhận.</w:t>
      </w:r>
    </w:p>
    <w:p w:rsidR="00000000" w:rsidDel="00000000" w:rsidP="00000000" w:rsidRDefault="00000000" w:rsidRPr="00000000" w14:paraId="00000026">
      <w:pPr>
        <w:shd w:fill="ffffff" w:val="clear"/>
        <w:spacing w:after="240" w:lineRule="auto"/>
        <w:rPr>
          <w:color w:val="212529"/>
          <w:sz w:val="24"/>
          <w:szCs w:val="24"/>
        </w:rPr>
      </w:pPr>
      <w:r w:rsidDel="00000000" w:rsidR="00000000" w:rsidRPr="00000000">
        <w:rPr>
          <w:color w:val="212529"/>
          <w:sz w:val="24"/>
          <w:szCs w:val="24"/>
          <w:rtl w:val="0"/>
        </w:rPr>
        <w:t xml:space="preserve">Chính sách giao nhận này có hiệu lực từ ngày 10 Tháng 10 năm 2024 cho tới khi có điều chỉnh hoặc thông báo từ EcoLaundry .</w:t>
      </w:r>
    </w:p>
    <w:p w:rsidR="00000000" w:rsidDel="00000000" w:rsidP="00000000" w:rsidRDefault="00000000" w:rsidRPr="00000000" w14:paraId="00000027">
      <w:pPr>
        <w:shd w:fill="ffffff" w:val="clear"/>
        <w:spacing w:after="240" w:lineRule="auto"/>
        <w:rPr>
          <w:b w:val="1"/>
          <w:color w:val="212529"/>
          <w:sz w:val="24"/>
          <w:szCs w:val="24"/>
        </w:rPr>
      </w:pPr>
      <w:r w:rsidDel="00000000" w:rsidR="00000000" w:rsidRPr="00000000">
        <w:rPr>
          <w:b w:val="1"/>
          <w:color w:val="212529"/>
          <w:sz w:val="24"/>
          <w:szCs w:val="24"/>
          <w:rtl w:val="0"/>
        </w:rPr>
        <w:t xml:space="preserve">Trân trọng.</w:t>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