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8C481" w14:textId="7F3F32AD" w:rsidR="00023F66" w:rsidRPr="003D044C" w:rsidRDefault="003D044C" w:rsidP="003D044C">
      <w:pPr>
        <w:spacing w:after="167"/>
        <w:ind w:left="1" w:firstLine="0"/>
        <w:jc w:val="center"/>
        <w:rPr>
          <w:b/>
          <w:bCs/>
          <w:noProof/>
          <w:sz w:val="40"/>
          <w:szCs w:val="40"/>
        </w:rPr>
      </w:pPr>
      <w:r w:rsidRPr="003D044C">
        <w:rPr>
          <w:b/>
          <w:bCs/>
          <w:sz w:val="32"/>
          <w:szCs w:val="32"/>
        </w:rPr>
        <w:t>PROJETO: NutriVibe</w:t>
      </w:r>
    </w:p>
    <w:p w14:paraId="3E676AA5" w14:textId="0BE84E18" w:rsidR="00023F66" w:rsidRPr="00AF3F54" w:rsidRDefault="00023F66" w:rsidP="00113E6A">
      <w:pPr>
        <w:spacing w:after="167"/>
        <w:ind w:left="1" w:firstLine="0"/>
        <w:jc w:val="center"/>
        <w:rPr>
          <w:noProof/>
          <w:sz w:val="32"/>
          <w:szCs w:val="32"/>
        </w:rPr>
      </w:pPr>
      <w:r w:rsidRPr="00AF3F54">
        <w:rPr>
          <w:noProof/>
          <w:sz w:val="32"/>
          <w:szCs w:val="32"/>
        </w:rPr>
        <w:drawing>
          <wp:inline distT="0" distB="0" distL="0" distR="0" wp14:anchorId="2C9913C9" wp14:editId="0798CC75">
            <wp:extent cx="3302000" cy="3302000"/>
            <wp:effectExtent l="0" t="0" r="0" b="0"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687F" w14:textId="5C1B605A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Curso:</w:t>
      </w:r>
      <w:r w:rsidRPr="006340A6">
        <w:rPr>
          <w:noProof/>
          <w:sz w:val="22"/>
        </w:rPr>
        <w:t xml:space="preserve"> Engenharia da Computação </w:t>
      </w:r>
    </w:p>
    <w:p w14:paraId="40C5E6E5" w14:textId="1E67DFC3" w:rsidR="006C01E8" w:rsidRPr="006E6BA1" w:rsidRDefault="00023F66" w:rsidP="00AF3F54">
      <w:pPr>
        <w:spacing w:after="167"/>
        <w:ind w:left="1" w:firstLine="0"/>
      </w:pPr>
      <w:r w:rsidRPr="006340A6">
        <w:rPr>
          <w:b/>
          <w:noProof/>
          <w:sz w:val="22"/>
        </w:rPr>
        <w:t>Disciplina:</w:t>
      </w:r>
      <w:r w:rsidRPr="006340A6">
        <w:rPr>
          <w:noProof/>
          <w:sz w:val="22"/>
        </w:rPr>
        <w:t xml:space="preserve"> PI: </w:t>
      </w:r>
      <w:r w:rsidR="006E6BA1">
        <w:rPr>
          <w:noProof/>
          <w:sz w:val="22"/>
        </w:rPr>
        <w:t>Desenvolvimento de Sistemas Web</w:t>
      </w:r>
      <w:r w:rsidRPr="006340A6">
        <w:rPr>
          <w:noProof/>
          <w:sz w:val="22"/>
        </w:rPr>
        <w:t xml:space="preserve"> </w:t>
      </w:r>
      <w:r w:rsidRPr="006340A6">
        <w:rPr>
          <w:b/>
          <w:bCs/>
          <w:noProof/>
          <w:sz w:val="22"/>
        </w:rPr>
        <w:t xml:space="preserve">Código: </w:t>
      </w:r>
      <w:r w:rsidR="006E6BA1" w:rsidRPr="006E6BA1">
        <w:rPr>
          <w:noProof/>
          <w:sz w:val="22"/>
        </w:rPr>
        <w:t>218040</w:t>
      </w:r>
      <w:r w:rsidRPr="006E6BA1">
        <w:rPr>
          <w:sz w:val="22"/>
        </w:rPr>
        <w:t xml:space="preserve"> </w:t>
      </w:r>
    </w:p>
    <w:p w14:paraId="316C66EF" w14:textId="76850CD5" w:rsidR="00023F66" w:rsidRPr="006340A6" w:rsidRDefault="00023F66" w:rsidP="00AF3F54">
      <w:pPr>
        <w:spacing w:after="167"/>
        <w:ind w:left="1" w:firstLine="0"/>
      </w:pPr>
      <w:r w:rsidRPr="006340A6">
        <w:rPr>
          <w:b/>
          <w:bCs/>
          <w:noProof/>
          <w:sz w:val="22"/>
        </w:rPr>
        <w:t>Turma: 101</w:t>
      </w:r>
      <w:r w:rsidRPr="006340A6">
        <w:rPr>
          <w:sz w:val="22"/>
        </w:rPr>
      </w:r>
      <w:r w:rsidR="003D044C">
        <w:rPr>
          <w:sz w:val="22"/>
        </w:rPr>
      </w:r>
      <w:r w:rsidRPr="006340A6">
        <w:rPr>
          <w:sz w:val="22"/>
        </w:rPr>
      </w:r>
    </w:p>
    <w:p w14:paraId="5AE1F0F7" w14:textId="4551A2B4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Professor</w:t>
      </w:r>
      <w:r w:rsidRPr="006340A6">
        <w:rPr>
          <w:noProof/>
          <w:sz w:val="22"/>
        </w:rPr>
        <w:t>: Fernando Luiz de Almeida Silve</w:t>
      </w:r>
      <w:r w:rsidR="00242711" w:rsidRPr="006340A6">
        <w:rPr>
          <w:noProof/>
          <w:sz w:val="22"/>
        </w:rPr>
        <w:t>i</w:t>
      </w:r>
      <w:r w:rsidRPr="006340A6">
        <w:rPr>
          <w:noProof/>
          <w:sz w:val="22"/>
        </w:rPr>
        <w:t xml:space="preserve">ra </w:t>
      </w:r>
    </w:p>
    <w:p w14:paraId="7243413F" w14:textId="4ECFAE2A" w:rsidR="006340A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noProof/>
          <w:sz w:val="22"/>
        </w:rPr>
        <w:t xml:space="preserve"> </w:t>
      </w:r>
    </w:p>
    <w:p w14:paraId="20C53C1F" w14:textId="695B0579" w:rsidR="00023F66" w:rsidRPr="006340A6" w:rsidRDefault="003D044C" w:rsidP="00AF3F54">
      <w:pPr>
        <w:spacing w:after="167"/>
        <w:ind w:left="1" w:firstLine="0"/>
        <w:rPr>
          <w:noProof/>
        </w:rPr>
      </w:pPr>
      <w:r>
        <w:rPr>
          <w:b/>
          <w:noProof/>
          <w:sz w:val="22"/>
        </w:rPr>
        <w:t>Nome do Grupo: NutriVibe</w:t>
      </w:r>
      <w:r w:rsidR="00023F66" w:rsidRPr="006340A6">
        <w:rPr>
          <w:b/>
          <w:noProof/>
          <w:sz w:val="22"/>
        </w:rPr>
      </w:r>
      <w:r w:rsidR="00023F66" w:rsidRPr="006340A6">
        <w:rPr>
          <w:noProof/>
          <w:sz w:val="22"/>
        </w:rPr>
      </w:r>
      <w:r>
        <w:rPr>
          <w:noProof/>
          <w:sz w:val="22"/>
        </w:rPr>
      </w:r>
    </w:p>
    <w:p w14:paraId="31CE7DBA" w14:textId="08E2974A" w:rsidR="00023F66" w:rsidRPr="006340A6" w:rsidRDefault="00023F66" w:rsidP="00AF3F54">
      <w:pPr>
        <w:spacing w:after="167"/>
        <w:ind w:left="1" w:firstLine="0"/>
        <w:rPr>
          <w:b/>
          <w:noProof/>
        </w:rPr>
      </w:pPr>
      <w:r w:rsidRPr="006340A6">
        <w:rPr>
          <w:b/>
          <w:noProof/>
          <w:sz w:val="22"/>
        </w:rPr>
        <w:t>Paulo Capreti — RA: 26028858</w:t>
      </w:r>
    </w:p>
    <w:p w14:paraId="224EDA12" w14:textId="72D43B01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Davi Pioli — RA: 26005199</w:t>
      </w:r>
    </w:p>
    <w:p w14:paraId="4610B8AF" w14:textId="46FD53CA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Victor Almeida — RA: 26003836</w:t>
      </w:r>
    </w:p>
    <w:p w14:paraId="50B096E4" w14:textId="50D5C84E" w:rsidR="00023F66" w:rsidRPr="006340A6" w:rsidRDefault="00023F66" w:rsidP="00AF3F54">
      <w:pPr>
        <w:spacing w:after="167"/>
        <w:ind w:left="1" w:firstLine="0"/>
        <w:rPr>
          <w:b/>
          <w:noProof/>
        </w:rPr>
      </w:pPr>
      <w:r w:rsidRPr="006340A6">
        <w:rPr>
          <w:b/>
          <w:noProof/>
          <w:sz w:val="22"/>
        </w:rPr>
        <w:t>Marcelo Dalbone — RA: 25001986</w:t>
      </w:r>
    </w:p>
    <w:p w14:paraId="0A89EABE" w14:textId="1A01AF57" w:rsidR="00023F66" w:rsidRPr="006340A6" w:rsidRDefault="00023F66" w:rsidP="00AF3F54">
      <w:pPr>
        <w:spacing w:after="167"/>
        <w:ind w:left="1" w:firstLine="0"/>
        <w:rPr>
          <w:b/>
          <w:noProof/>
        </w:rPr>
      </w:pPr>
      <w:r w:rsidRPr="006340A6">
        <w:rPr>
          <w:b/>
          <w:noProof/>
          <w:sz w:val="22"/>
        </w:rPr>
        <w:t>Akiane Merbach — RA: 26027003</w:t>
      </w:r>
    </w:p>
    <w:p w14:paraId="2430CFBF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231420D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2D78D2D9" w14:textId="2697998B" w:rsidR="00023F66" w:rsidRDefault="00023F6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  <w:r w:rsidRPr="006C01E8">
        <w:rPr>
          <w:b/>
          <w:noProof/>
          <w:sz w:val="28"/>
          <w:szCs w:val="28"/>
        </w:rPr>
        <w:t>C</w:t>
      </w:r>
      <w:r w:rsidR="008A4439">
        <w:rPr>
          <w:b/>
          <w:noProof/>
          <w:sz w:val="28"/>
          <w:szCs w:val="28"/>
        </w:rPr>
        <w:t>ampinas</w:t>
      </w:r>
      <w:r w:rsidR="008332E6" w:rsidRPr="006C01E8">
        <w:rPr>
          <w:b/>
          <w:noProof/>
          <w:sz w:val="28"/>
          <w:szCs w:val="28"/>
        </w:rPr>
        <w:t xml:space="preserve">, </w:t>
      </w:r>
      <w:r w:rsidR="006E6BA1">
        <w:rPr>
          <w:b/>
          <w:noProof/>
          <w:sz w:val="28"/>
          <w:szCs w:val="28"/>
        </w:rPr>
        <w:t>2</w:t>
      </w:r>
      <w:r w:rsidR="008332E6" w:rsidRPr="006C01E8">
        <w:rPr>
          <w:b/>
          <w:noProof/>
          <w:sz w:val="28"/>
          <w:szCs w:val="28"/>
        </w:rPr>
        <w:t xml:space="preserve">º </w:t>
      </w:r>
      <w:r w:rsidR="008A4439">
        <w:rPr>
          <w:b/>
          <w:noProof/>
          <w:sz w:val="28"/>
          <w:szCs w:val="28"/>
        </w:rPr>
        <w:t>semestre</w:t>
      </w:r>
      <w:r w:rsidR="008332E6" w:rsidRPr="006C01E8">
        <w:rPr>
          <w:b/>
          <w:noProof/>
          <w:sz w:val="28"/>
          <w:szCs w:val="28"/>
        </w:rPr>
        <w:t xml:space="preserve"> de</w:t>
      </w:r>
      <w:r w:rsidRPr="006C01E8">
        <w:rPr>
          <w:b/>
          <w:noProof/>
          <w:sz w:val="28"/>
          <w:szCs w:val="28"/>
        </w:rPr>
        <w:t xml:space="preserve"> 202</w:t>
      </w:r>
      <w:r w:rsidR="00F141AF" w:rsidRPr="006C01E8">
        <w:rPr>
          <w:b/>
          <w:noProof/>
          <w:sz w:val="28"/>
          <w:szCs w:val="28"/>
        </w:rPr>
        <w:t>6</w:t>
      </w:r>
    </w:p>
    <w:p w14:paraId="49E57680" w14:textId="77777777" w:rsidR="003A1F9D" w:rsidRDefault="003A1F9D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932D711" w14:textId="77777777" w:rsidR="006C01E8" w:rsidRDefault="006C01E8" w:rsidP="00113E6A">
      <w:pPr>
        <w:spacing w:after="167"/>
        <w:ind w:left="1" w:firstLine="0"/>
        <w:jc w:val="center"/>
        <w:rPr>
          <w:noProof/>
          <w:sz w:val="28"/>
          <w:szCs w:val="28"/>
        </w:rPr>
      </w:pPr>
    </w:p>
    <w:p w14:paraId="61E2D24B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pageBreakBefore/>
        <w:keepNext/>
      </w:pPr>
      <w:r w:rsidRPr="00242711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lastRenderedPageBreak/>
        <w:t>1. Ideação do Projeto</w:t>
      </w:r>
    </w:p>
    <w:p>
      <w:pPr>
        <w:keepNext/>
        <w:spacing w:before="120"/>
      </w:pPr>
      <w:r>
        <w:rPr>
          <w:b/>
          <w:sz w:val="22"/>
        </w:rPr>
        <w:t>Problema e público-alvo</w:t>
      </w:r>
    </w:p>
    <w:p>
      <w:pPr>
        <w:widowControl/>
        <w:spacing w:after="160" w:line="276" w:lineRule="auto"/>
      </w:pPr>
      <w:r>
        <w:rPr>
          <w:sz w:val="22"/>
        </w:rPr>
        <w:t>A seletividade alimentar pode limitar a variedade da alimentação infantil e dificultar a rotina dos responsáveis. Preferências por cores, texturas e preparações influenciam a aceitação dos alimentos, enquanto o acompanhamento do que foi consumido exige organização. O NutriVibe aborda esse contexto por meio de uma ferramenta de educação alimentar e registro de refeições, voltada a responsáveis e crianças.</w:t>
      </w:r>
    </w:p>
    <w:p>
      <w:pPr>
        <w:widowControl/>
        <w:spacing w:after="160" w:line="276" w:lineRule="auto"/>
      </w:pPr>
      <w:r>
        <w:rPr>
          <w:sz w:val="22"/>
        </w:rPr>
        <w:t>A proposta reúne informações sobre alimentos, preferências e consumo diário para apoiar a exploração de alternativas compatíveis com o perfil. A atuação é educativa: não realiza diagnóstico, tratamento ou prescrição de dieta. A presença de uma restrição no cadastro não permite garantir a ausência de ingredientes ocultos ou traços de alergênicos em uma preparação.</w:t>
      </w:r>
    </w:p>
    <w:p>
      <w:pPr>
        <w:keepNext/>
        <w:spacing w:before="120"/>
      </w:pPr>
      <w:r>
        <w:rPr>
          <w:b/>
          <w:sz w:val="22"/>
        </w:rPr>
        <w:t>Solução proposta e relevância</w:t>
      </w:r>
    </w:p>
    <w:p>
      <w:pPr>
        <w:widowControl/>
        <w:spacing w:after="160" w:line="276" w:lineRule="auto"/>
      </w:pPr>
      <w:r>
        <w:rPr>
          <w:sz w:val="22"/>
        </w:rPr>
        <w:t>A solução é composta por uma landing page de apresentação e um aplicativo Web. A landing page explica o problema e as funcionalidades e permite cadastrar contatos mediante consentimento. O aplicativo reúne perfil, preferências, diário alimentar, resumo do dia, sugestões e conteúdo educativo. O registro pode começar pela seleção no catálogo ou por uma foto, sempre com confirmação ou correção pelo usuário.</w:t>
      </w:r>
    </w:p>
    <w:p>
      <w:pPr>
        <w:widowControl/>
        <w:spacing w:after="160" w:line="276" w:lineRule="auto"/>
      </w:pPr>
      <w:r>
        <w:rPr>
          <w:sz w:val="22"/>
        </w:rPr>
        <w:t>O projeto relaciona-se ao ODS 3 — Saúde e Bem-Estar — pelo acesso a informações educativas e apoio à organização da rotina. Relaciona-se também ao ODS 12 — Consumo e Produção Responsáveis — por conteúdos de planejamento e redução de desperdício. Os benefícios pretendidos são maior clareza sobre os registros e estímulo à variedade alimentar, sem prometer mudança clínica ou comportamental.</w:t>
      </w:r>
    </w:p>
    <w:p>
      <w:pPr>
        <w:keepNext/>
        <w:spacing w:before="120"/>
      </w:pPr>
      <w:r>
        <w:rPr>
          <w:b/>
          <w:sz w:val="22"/>
        </w:rPr>
        <w:t>Viabilidade e valor para o usuário</w:t>
      </w:r>
    </w:p>
    <w:p>
      <w:pPr>
        <w:widowControl/>
        <w:spacing w:after="160" w:line="276" w:lineRule="auto"/>
      </w:pPr>
      <w:r>
        <w:rPr>
          <w:sz w:val="22"/>
        </w:rPr>
        <w:t>HTML, CSS e JavaScript permitem oferecer uma aplicação responsiva no navegador. O catálogo delimitado, a separação dos módulos e o armazenamento local viabilizam o fluxo principal sem exigir conta remota. O servidor atende serviços adicionais, como contatos. Essa organização permite desenvolver e testar as partes de maneira independente e ampliar a solução com manutenção controlada.</w:t>
      </w:r>
    </w:p>
    <w:p>
      <w:pPr>
        <w:widowControl/>
        <w:spacing w:after="160" w:line="276" w:lineRule="auto"/>
      </w:pPr>
      <w:r>
        <w:rPr>
          <w:sz w:val="22"/>
        </w:rPr>
        <w:t>O valor central está em reunir o que foi consumido, as preferências e as informações alimentares em um percurso compreensível. A sugestão explica suas razões e respeita os filtros cadastrados. A estimativa nutricional utiliza referência e peso confirmados, distinguindo dados conhecidos de informações ausentes.</w:t>
      </w:r>
    </w:p>
    <w:p w14:paraId="3ECE2F34" w14:textId="3131BF02" w:rsidR="00242711" w:rsidRPr="00242711" w:rsidRDefault="00242711" w:rsidP="00AF3F54">
      <w:pPr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242711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2. Protótipo da Solução</w:t>
      </w:r>
    </w:p>
    <w:p>
      <w:pPr>
        <w:keepNext/>
        <w:spacing w:before="120"/>
      </w:pPr>
      <w:r>
        <w:rPr>
          <w:b/>
          <w:sz w:val="22"/>
        </w:rPr>
        <w:t>Identidade visual e organização das telas</w:t>
      </w:r>
    </w:p>
    <w:p>
      <w:pPr>
        <w:widowControl/>
        <w:spacing w:after="160" w:line="276" w:lineRule="auto"/>
      </w:pPr>
      <w:r>
        <w:rPr>
          <w:sz w:val="22"/>
        </w:rPr>
        <w:t>A identidade utiliza a marca NutriVibe em verde e amarelo, fundos sólidos, contraste e espaçamento entre controles. A landing page apresenta a solução em seções; o aplicativo organiza as ações como uma área de trabalho. No computador, a navegação é lateral; no celular, um botão abre o menu. As páginas utilizam rótulos, foco visível e mensagens de retorno.</w:t>
      </w:r>
    </w:p>
    <w:p>
      <w:pPr>
        <w:widowControl/>
        <w:spacing w:after="160" w:line="276" w:lineRule="auto"/>
      </w:pPr>
      <w:r>
        <w:rPr>
          <w:sz w:val="22"/>
        </w:rPr>
        <w:t>As capturas apresentam a interface em execução. O perfil Ana, de 12 anos, a restrição à lactose e a exclusão da cor verde são dados de um cenário de teste. O alimento registrado nesse cenário é Banana com referência TACO e peso de 100 g. Esses dados servem para demonstrar as interações e não correspondem a acompanhamento nutricional de uma pessoa real.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46114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ing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1 — Landing page: apresentação da proposta, navegação por seções e acesso ao aplicativo.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46114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2 — Tela inicial do aplicativo: indicadores, registros do dia e atalhos para as funções principais.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46114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ferenci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3 — Perfil e preferências: formulário de identificação e opções que orientam filtros e sugestões.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46114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4 — Diário alimentar: escolha de data e refeição e entrada do registro por foto ou catálogo.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46114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5 — Resumo diário: registros, cobertura e valores nutricionais disponíveis.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46114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uca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6 — Educação alimentar: conteúdos de apoio e perguntas frequentes.</w:t>
      </w:r>
    </w:p>
    <w:p>
      <w:pPr>
        <w:keepNext/>
        <w:spacing w:before="120"/>
      </w:pPr>
      <w:r>
        <w:rPr>
          <w:b/>
          <w:sz w:val="22"/>
        </w:rPr>
        <w:t>Fluxo de navegação e uso em celular</w:t>
      </w:r>
    </w:p>
    <w:p>
      <w:pPr>
        <w:widowControl/>
        <w:spacing w:after="160" w:line="276" w:lineRule="auto"/>
      </w:pPr>
      <w:r>
        <w:rPr>
          <w:sz w:val="22"/>
        </w:rPr>
        <w:t>O percurso principal é perfil e preferências, seguido de diário, seleção ou identificação do alimento, confirmação da referência e do peso e consulta ao resumo. Quando a foto não produz candidato aceitável, o catálogo e o registro manual permitem continuar. O usuário pode alterar o dia consultado, remover uma entrada e fazer backup dos dados.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93"/>
        <w:gridCol w:w="4393"/>
      </w:tblGrid>
      <w:tr>
        <w:tc>
          <w:tcPr>
            <w:tcW w:type="dxa" w:w="4393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148840" cy="465031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inel-mobi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3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148840" cy="465031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nu-mobi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after="160" w:line="276" w:lineRule="auto"/>
      </w:pPr>
      <w:r>
        <w:rPr>
          <w:sz w:val="22"/>
        </w:rPr>
        <w:t>Figura 7 — Interface em celular, com painel reorganizado e menu aberto. O botão informa seu estado e a tecla Escape permite fechar a navegação.</w:t>
      </w:r>
    </w:p>
    <w:p w14:paraId="23787103" w14:textId="330C6374" w:rsidR="00317127" w:rsidRPr="00317127" w:rsidRDefault="00000000" w:rsidP="00113E6A">
      <w:pPr>
        <w:spacing w:after="160" w:before="280"/>
        <w:ind w:left="0" w:firstLine="0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AF3F54">
        <w:rPr>
          <w:sz w:val="32"/>
          <w:szCs w:val="32"/>
        </w:rPr>
        <w:lastRenderedPageBreak/>
        <w:t xml:space="preserve"> </w:t>
      </w:r>
      <w:r w:rsidR="00317127"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3. Planejamento do Projeto</w:t>
      </w:r>
    </w:p>
    <w:p>
      <w:pPr>
        <w:keepNext/>
        <w:spacing w:before="120"/>
      </w:pPr>
      <w:r>
        <w:rPr>
          <w:b/>
          <w:sz w:val="22"/>
        </w:rPr>
        <w:t>Backlog e organização do trabalho</w:t>
      </w:r>
    </w:p>
    <w:p>
      <w:pPr>
        <w:widowControl/>
        <w:spacing w:after="160" w:line="276" w:lineRule="auto"/>
      </w:pPr>
      <w:r>
        <w:rPr>
          <w:sz w:val="22"/>
        </w:rPr>
        <w:t>O backlog organiza 32 tarefas, identificadas como TRAB-26 a TRAB-57, em três grupos: S1 — Estrutura e navegação; S2 — JavaScript e fluxo funcional; S3 — Consolidação e apresentação. As identificações e os títulos abaixo reproduzem o planejamento fornecido no Jira.</w:t>
      </w:r>
    </w:p>
    <w:p>
      <w:pPr>
        <w:keepNext/>
        <w:spacing w:before="120"/>
      </w:pPr>
      <w:r>
        <w:rPr>
          <w:b/>
          <w:sz w:val="22"/>
        </w:rPr>
        <w:t>S1 — Estrutura e navegação</w:t>
      </w:r>
    </w:p>
    <w:p>
      <w:pPr>
        <w:widowControl/>
        <w:spacing w:after="160" w:line="276" w:lineRule="auto"/>
      </w:pPr>
      <w:r>
        <w:rPr>
          <w:sz w:val="22"/>
        </w:rPr>
        <w:t>Objetivo: Verificar HTML semântico, organização de pastas, identidade visual, telas principais e fluxo navegável.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Tarefa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Prioridade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TRAB-26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Organizar estrutura HTML, CSS e JavaScript do MVP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Máxima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TRAB-27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Implementar HTML semântico das telas principais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TRAB-28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Padronizar identidade visual e componentes CSS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TRAB-29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Implementar navegação e fluxo entre páginas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TRAB-30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Implementar telas de perfil e preferências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TRAB-31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Implementar menu móvel e estados de navegação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TRAB-32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Conferir telas implementadas com protótipo da 2ª entrega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TRAB-33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Definir escopo MVP e critérios de pronto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TRAB-55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Planejamento e revisão da sprint — Estrutura e navegação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</w:tbl>
    <w:p/>
    <w:p>
      <w:pPr>
        <w:keepNext/>
        <w:spacing w:before="120"/>
      </w:pPr>
      <w:r>
        <w:rPr>
          <w:b/>
          <w:sz w:val="22"/>
        </w:rPr>
        <w:t>S2 — JavaScript e fluxo funcional</w:t>
      </w:r>
    </w:p>
    <w:p>
      <w:pPr>
        <w:widowControl/>
        <w:spacing w:after="160" w:line="276" w:lineRule="auto"/>
      </w:pPr>
      <w:r>
        <w:rPr>
          <w:sz w:val="22"/>
        </w:rPr>
        <w:t>Objetivo: Verificar validações, DOM, registro, filtros, persistência simulada, resumos e sugestões educativas.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Tarefa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Prioridade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TRAB-34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Validar formulários com JavaScript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TRAB-35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Criar catálogo local de alimentos simulados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TRAB-36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Implementar registro e remoção de alimentos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TRAB-37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Implementar pesquisa e filtros de alimentos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TRAB-38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Armazenar registros fictícios localmente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TRAB-39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Criar resumo visual dinâmico da alimentação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TRAB-40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Implementar sugestões educativas demonstrativas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TRAB-41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Implementar mensagens e estados vazios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TRAB-42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Integrar fluxo completo do MVP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TRAB-43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Criar conteúdo educativo navegável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TRAB-56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Planejamento e revisão da sprint — JavaScript e fluxo funcional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</w:tbl>
    <w:p/>
    <w:p>
      <w:pPr>
        <w:keepNext/>
        <w:spacing w:before="120"/>
      </w:pPr>
      <w:r>
        <w:rPr>
          <w:b/>
          <w:sz w:val="22"/>
        </w:rPr>
        <w:t>S3 — Consolidação e apresentação</w:t>
      </w:r>
    </w:p>
    <w:p>
      <w:pPr>
        <w:widowControl/>
        <w:spacing w:after="160" w:line="276" w:lineRule="auto"/>
      </w:pPr>
      <w:r>
        <w:rPr>
          <w:sz w:val="22"/>
        </w:rPr>
        <w:t>Objetivo: Verificar responsividade, testes, relatório com evidências, PDF e execução oral ao professor.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Tarefa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Prioridade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TRAB-44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Adaptar telas a celular tablet e desktop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TRAB-45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Revisar acessibilidade e usabilidade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TRAB-46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Executar testes funcionais e corrigir bugs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TRAB-47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Revisar organização e legibilidade do código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TRAB-48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Testar funcionamento em navegadores e resoluções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TRAB-49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Documentar evolução técnica desde a segunda entrega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TRAB-50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Documentar desafios soluções e pendências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TRAB-51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Capturar evidências reais da aplicação funcionando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TRAB-52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Montar PDF no modelo oficial da disciplina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TRAB-53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Preparar roteiro e ensaio da apresentação oral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TRAB-54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Conferir checklist completo da terceira entrega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TRAB-57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Planejamento e revisão da sprint — Consolidação e apresentação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Alta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Os critérios comuns de aceite são comportamento demonstrável, interação funcional quando aplicável, navegação e estados de erro validados, legibilidade em celular e desktop e evidência de execução. A definição de pronto exige código integrado, ausência de erros bloqueantes, revisão e teste. As tarefas de documentação incluem capturas reais, identificação do material, PDF e preparação da demonstração oral.</w:t>
      </w:r>
    </w:p>
    <w:p>
      <w:pPr>
        <w:widowControl/>
        <w:spacing w:after="160" w:line="276" w:lineRule="auto"/>
      </w:pPr>
      <w:r>
        <w:rPr>
          <w:sz w:val="22"/>
        </w:rPr>
        <w:t>O registro fornecido apresenta as tarefas com status A fazer, sem responsáveis ou datas individuais definidos na ferramenta. Esses campos pertencem ao planejamento registrado e não descrevem, por si, o funcionamento do código. S1, S2 e S3 são agrupamentos por etiquetas, sem confirmação de sprints nativas. A prioridade recai sobre o fluxo de perfil, diário e resumo e suas dependências.</w:t>
      </w:r>
    </w:p>
    <w:p>
      <w:pPr>
        <w:keepNext/>
        <w:spacing w:before="120"/>
      </w:pPr>
      <w:r>
        <w:rPr>
          <w:b/>
          <w:sz w:val="22"/>
        </w:rPr>
        <w:t>Scrum, Kanban e responsabilidades</w:t>
      </w:r>
    </w:p>
    <w:p>
      <w:pPr>
        <w:widowControl/>
        <w:spacing w:after="160" w:line="276" w:lineRule="auto"/>
      </w:pPr>
      <w:r>
        <w:rPr>
          <w:sz w:val="22"/>
        </w:rPr>
        <w:t>O Scrum organiza incrementos com objetivo, revisão e adaptação do trabalho. O Kanban utiliza A Fazer, Em Andamento e Concluído, com Revisão/Testes como etapa intermediária recomendada. Uma tarefa passa por implementação, verificação e registro de evidência antes de ser considerada pronta. Não há afirmação de que as colunas do quadro remoto tenham sido reconfiguradas.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b/>
                <w:sz w:val="20"/>
              </w:rPr>
              <w:t>Integrante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b/>
                <w:sz w:val="20"/>
              </w:rPr>
              <w:t>Responsabilidade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Paulo Capreti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JavaScript, interações e integração dos fluxos.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Davi Pioli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HTML e acompanhamento do Kanban.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Victor Almeida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CSS, responsividade e identidade visual.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Marcelo Dalbone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Pesquisas, contextualização do problema e apoio aos requisitos.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Akiane Merbach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Pesquisas, referências alimentares e limitações das soluções.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O planejamento inicial concentra o escopo acadêmico em HTML, CSS e JavaScript. O backend, o banco de contatos e a análise visual são recursos adicionais da implementação. A divisão de trabalho preserva o fluxo principal como prioridade e permite revisar as contribuições em conjunto, sem substituir critérios de aceite por uma simples contagem de tarefas.</w:t>
      </w:r>
    </w:p>
    <w:p w14:paraId="65D1A33C" w14:textId="6694FED4" w:rsidR="00382010" w:rsidRPr="00382010" w:rsidRDefault="00382010" w:rsidP="00AF3F54">
      <w:pPr>
        <w:spacing w:before="28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:sz w:val="32"/>
          <w:szCs w:val="32"/>
          <w14:ligatures w14:val="none"/>
        </w:rPr>
        <w:keepNext/>
      </w:pPr>
      <w:r w:rsidRPr="00382010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4. Levantamento de Requisitos</w:t>
      </w:r>
    </w:p>
    <w:p>
      <w:pPr>
        <w:keepNext/>
        <w:spacing w:before="120"/>
      </w:pPr>
      <w:r>
        <w:rPr>
          <w:b/>
          <w:sz w:val="22"/>
        </w:rPr>
        <w:t>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Implementação e condição de uso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RF01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Cadastrar usuário e criança.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Perfil local com nome e idade; não há cadastro remoto ou dois papéis separados.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RF02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Cadastrar preferências e recusas alimentares.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Restrições, cores, texturas e nomes evitados orientam os filtros.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RF03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Registrar alimentos consumidos.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Entradas por data e refeição, seleção no catálogo, nome manual e remoção.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RF04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Armazenar informações de alimentos e nutrientes.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Catálogo e recorte de 43 referências TACO com preparo e fonte.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RF05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Analisar alimentos registrados.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Resumo de grupos e nutrientes do dia, com indicação de cobertura parcial.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RF06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Recomendar complementações.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Priorização de grupos ausentes e exclusão de opções incompatíveis, sem prescrição.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RF07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Disponibilizar educação alimentar.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Conteúdos de apoio e perguntas frequentes.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RF08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Utilizar gamificação.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Avatar, pontos, recompensas e desafios são recursos previstos, condicionados à viabilidade.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Recursos adicionais incluem importação e exportação do diário em JSON, exclusão de dados locais, reconhecimento de foto com confirmação e cadastro consentido de contatos. O reconhecimento visual não substitui a seleção da referência e a informação do peso para calcular nutrientes.</w:t>
      </w:r>
    </w:p>
    <w:p>
      <w:pPr>
        <w:keepNext/>
        <w:spacing w:before="120"/>
      </w:pPr>
      <w:r>
        <w:rPr>
          <w:b/>
          <w:sz w:val="22"/>
        </w:rPr>
        <w:t>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Área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Condição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Usabilidade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Navegação rotulada, mensagens de retorno, foco visível e adaptação a diferentes larguras.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Desempenho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Resposta local para busca e filtros; comunicação do download e processamento visual.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Manutenibilidade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Separação entre HTML, CSS, módulos JavaScript, dados e serviços.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Segurança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Validação de entradas e origem, limites de requisição e consultas SQL parametrizadas.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Privacidade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Diário no navegador; conexão de banco e credenciais restritas ao servidor.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Rastreabilidade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Referências alimentares, preparo, pesos e resultados de avaliação identificados.</w:t>
            </w:r>
          </w:p>
        </w:tc>
      </w:tr>
    </w:tbl>
    <w:p/>
    <w:p>
      <w:pPr>
        <w:keepNext/>
        <w:spacing w:before="120"/>
      </w:pPr>
      <w:r>
        <w:rPr>
          <w:b/>
          <w:sz w:val="22"/>
        </w:rPr>
        <w:t>Regras de negócio e restrições</w:t>
      </w:r>
    </w:p>
    <w:p>
      <w:pPr>
        <w:widowControl/>
        <w:spacing w:after="160" w:line="276" w:lineRule="auto"/>
      </w:pPr>
      <w:r>
        <w:rPr>
          <w:sz w:val="22"/>
        </w:rPr>
        <w:t>As recomendações consideram apenas a data selecionada, eliminam conflitos de perfil e priorizam grupos ainda não registrados. Os filtros não são relaxados para completar a lista. A estimativa nutricional exige referência do alimento escolhido e peso numérico maior que zero e não superior a 5000 g. Nutrientes ausentes continuam não informados; não são contabilizados como zero.</w:t>
      </w:r>
    </w:p>
    <w:p>
      <w:pPr>
        <w:widowControl/>
        <w:spacing w:after="160" w:line="276" w:lineRule="auto"/>
      </w:pPr>
      <w:r>
        <w:rPr>
          <w:sz w:val="22"/>
        </w:rPr>
        <w:t>Uma foto não confirma peso, ingredientes ocultos ou ausência de alergênicos. Preparações compostas podem ser registradas sem composição nutricional presumida. O contato da landing page exige consentimento. A proposta não diagnostica deficiências, não trata doenças e não substitui orientação de profissional de Nutrição.</w:t>
      </w:r>
    </w:p>
    <w:p w14:paraId="5A7BE8A8" w14:textId="77777777" w:rsidR="00317127" w:rsidRPr="00317127" w:rsidRDefault="00317127" w:rsidP="00AF3F54">
      <w:pPr>
        <w:spacing w:before="280" w:beforeAutospacing="1" w:after="100" w:afterAutospacing="1" w:line="240" w:lineRule="auto"/>
        <w:ind w:left="0" w:firstLine="0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5. Desenvolvimento do Projeto</w:t>
      </w:r>
    </w:p>
    <w:p>
      <w:pPr>
        <w:keepNext/>
        <w:spacing w:before="120"/>
      </w:pPr>
      <w:r>
        <w:rPr>
          <w:b/>
          <w:sz w:val="22"/>
        </w:rPr>
        <w:t>Tecnologias e estrutura</w:t>
      </w:r>
    </w:p>
    <w:p>
      <w:pPr>
        <w:widowControl/>
        <w:spacing w:after="160" w:line="276" w:lineRule="auto"/>
      </w:pPr>
      <w:r>
        <w:rPr>
          <w:sz w:val="22"/>
        </w:rPr>
        <w:t>O frontend utiliza HTML semântico, CSS com Grid e Flexbox e módulos JavaScript. A landing page e o aplicativo possuem estilos próprios. O backend utiliza Node.js 24; a função serverless adapta o servidor à Vercel. O banco PostgreSQL/Neon persiste contatos, enquanto o diário utiliza localStorage no navegador.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Parte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Responsabilidade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html, css e javascript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Páginas, apresentação e interações, separadas entre os dois sites.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dados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Catálogo, referências TACO e configuração do reconhecimento.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servidor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Tratamento HTTP, contatos e adaptador de reconhecimento remoto.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api/index.mjs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Entrada serverless para o handler na Vercel.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ferramentas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Build, preparação de modelos e avaliação técnica.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testes e documentacoes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Verificações automatizadas, capturas e registros de implementação.</w:t>
            </w:r>
          </w:p>
        </w:tc>
      </w:tr>
    </w:tbl>
    <w:p/>
    <w:p>
      <w:pPr>
        <w:keepNext/>
        <w:spacing w:before="120"/>
      </w:pPr>
      <w:r>
        <w:rPr>
          <w:b/>
          <w:sz w:val="22"/>
        </w:rPr>
        <w:t>Interações JavaScript e armazenamento</w:t>
      </w:r>
    </w:p>
    <w:p>
      <w:pPr>
        <w:widowControl/>
        <w:spacing w:after="160" w:line="276" w:lineRule="auto"/>
      </w:pPr>
      <w:r>
        <w:rPr>
          <w:sz w:val="22"/>
        </w:rPr>
        <w:t>app.js conecta eventos e elementos da interface aos módulos. engine.js normaliza buscas, verifica restrições e seleciona sugestões. store.js valida o estado e persiste profile e records na chave nutrivibe-v2. nutrition.js calcula valores proporcionais ao peso e agrega os registros por dia. Os nomes digitados são apresentados como texto por textContent, sem interpretação como marcação HTML.</w:t>
      </w:r>
    </w:p>
    <w:p>
      <w:pPr>
        <w:widowControl/>
        <w:spacing w:after="160" w:line="276" w:lineRule="auto"/>
      </w:pPr>
      <w:r>
        <w:rPr>
          <w:sz w:val="22"/>
        </w:rPr>
        <w:t>Trecho de javascript/aplicativo/engine.js, linhas 29–31:</w:t>
      </w:r>
    </w:p>
    <w:p>
      <w:r>
        <w:rPr>
          <w:rFonts w:ascii="Consolas" w:hAnsi="Consolas"/>
          <w:sz w:val="18"/>
        </w:rPr>
        <w:t xml:space="preserve">  return records.filter((r) =&gt; r.date === date);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  <w:t>export function recommend(records, profile, date) {</w:t>
      </w:r>
    </w:p>
    <w:p>
      <w:pPr>
        <w:widowControl/>
        <w:spacing w:after="160" w:line="276" w:lineRule="auto"/>
      </w:pPr>
      <w:r>
        <w:rPr>
          <w:sz w:val="22"/>
        </w:rPr>
        <w:t>O filtro retorna somente os registros da data solicitada. Essa seleção evita que refeições de outro dia alterem o resumo consultado. As recomendações identificam grupos já consumidos, excluem conflitos e atribuem prioridade aos grupos ausentes.</w:t>
      </w:r>
    </w:p>
    <w:p>
      <w:pPr>
        <w:widowControl/>
        <w:spacing w:after="160" w:line="276" w:lineRule="auto"/>
      </w:pPr>
      <w:r>
        <w:rPr>
          <w:sz w:val="22"/>
        </w:rPr>
        <w:t>Trecho de javascript/aplicativo/store.js, linhas 80–82:</w:t>
      </w:r>
    </w:p>
    <w:p>
      <w:r>
        <w:rPr>
          <w:rFonts w:ascii="Consolas" w:hAnsi="Consolas"/>
          <w:sz w:val="18"/>
        </w:rPr>
        <w:t>export function persist(state) {</w:t>
      </w:r>
      <w:r>
        <w:rPr>
          <w:rFonts w:ascii="Consolas" w:hAnsi="Consolas"/>
          <w:sz w:val="18"/>
        </w:rPr>
        <w:br/>
        <w:t xml:space="preserve">  localStorage.setItem(KEY, JSON.stringify(validState(state)));</w:t>
      </w:r>
      <w:r>
        <w:rPr>
          <w:rFonts w:ascii="Consolas" w:hAnsi="Consolas"/>
          <w:sz w:val="18"/>
        </w:rPr>
        <w:br/>
        <w:t>}</w:t>
      </w:r>
    </w:p>
    <w:p>
      <w:pPr>
        <w:widowControl/>
        <w:spacing w:after="160" w:line="276" w:lineRule="auto"/>
      </w:pPr>
      <w:r>
        <w:rPr>
          <w:sz w:val="22"/>
        </w:rPr>
        <w:t>Antes de salvar, validState confere estrutura e consistência. JSON.stringify converte o objeto validado em texto para o armazenamento. A importação rejeita dados inválidos; a exportação gera uma cópia para download. Não há sincronização automática do diário entre dispositivos.</w:t>
      </w:r>
    </w:p>
    <w:p>
      <w:pPr>
        <w:keepNext/>
        <w:spacing w:before="120"/>
      </w:pPr>
      <w:r>
        <w:rPr>
          <w:b/>
          <w:sz w:val="22"/>
        </w:rPr>
        <w:t>Foto e confirmação nutricional</w:t>
      </w:r>
    </w:p>
    <w:p>
      <w:pPr>
        <w:widowControl/>
        <w:spacing w:after="160" w:line="276" w:lineRule="auto"/>
      </w:pPr>
      <w:r>
        <w:rPr>
          <w:sz w:val="22"/>
        </w:rPr>
        <w:t>A análise local utiliza SigLIP quantizado com ONNX Runtime Web. A imagem é reduzida a 224 × 224 pixels, convertida em tensor e comparada com vetores de classes. Classe negativa, similaridade baixa ou margem insuficiente levam à recusa e à correção manual. A foto permanece no aparelho nesse modo; o primeiro uso baixa aproximadamente 112 MB de modelo e runtime.</w:t>
      </w:r>
    </w:p>
    <w:p>
      <w:pPr>
        <w:widowControl/>
        <w:spacing w:after="160" w:line="276" w:lineRule="auto"/>
      </w:pPr>
      <w:r>
        <w:rPr>
          <w:sz w:val="22"/>
        </w:rPr>
        <w:t>A identificação fornece uma hipótese de alimento ou prato. O cálculo é separado: valor consumido = valor da referência × peso informado ÷ peso-base. Uma referência por 100 g é multiplicada por 1,5 quando o usuário informa 150 g. Dados não disponíveis na fonte permanecem ausentes e o resumo indica quantos registros contribuíram para o subtotal.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46114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rmacao-nutricio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8 — Confirmação de alimento, referência TACO e peso. O usuário fornece 100 g de Banana e consulta a prévia antes de registrar.</w:t>
      </w:r>
    </w:p>
    <w:p>
      <w:pPr>
        <w:keepNext/>
        <w:spacing w:before="120"/>
      </w:pPr>
      <w:r>
        <w:rPr>
          <w:b/>
          <w:sz w:val="22"/>
        </w:rPr>
        <w:t>Backend, API e banco de dados</w:t>
      </w:r>
    </w:p>
    <w:p>
      <w:pPr>
        <w:widowControl/>
        <w:spacing w:after="160" w:line="276" w:lineRule="auto"/>
      </w:pPr>
      <w:r>
        <w:rPr>
          <w:sz w:val="22"/>
        </w:rPr>
        <w:t>GET /api/status informa disponibilidade dos serviços. POST /api/contacts valida e grava nome, e-mail e consentimento. POST /api/identify mantém integração opcional com um provedor remoto. O modo de reconhecimento utilizado pelo aplicativo é browser-local; OpenAI e Vercel AI Gateway são alternativas dependentes de configuração e crédito, não requisitos para o processamento local.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b/>
                <w:sz w:val="20"/>
              </w:rPr>
              <w:t>Campo de contacts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b/>
                <w:sz w:val="20"/>
              </w:rPr>
              <w:t>Tipo e regra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email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TEXT, chave primária; identifica o contato.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name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TEXT NOT NULL; nome validado pelo servidor.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consent_at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TEXT NOT NULL; data e hora ISO do consentimento.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Consultas parametrizadas separam os valores da instrução SQL. Se o e-mail já existe, nome e consentimento são atualizados. A conexão é obtida de POSTGRES_URL ou DATABASE_URL e aponta para o banco separado nutrivibe-production. Sem PostgreSQL, o servidor local usa SQLite. Na nuvem, não se utiliza arquivo efêmero como substituto de persistência. Essa tabela não armazena refeições ou preferências alimentares.</w:t>
      </w:r>
    </w:p>
    <w:p w14:paraId="5FC6C824" w14:textId="77777777" w:rsidR="003D6F4A" w:rsidRPr="003D6F4A" w:rsidRDefault="003D6F4A" w:rsidP="00AF3F54">
      <w:pPr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3D6F4A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6. Testes</w:t>
      </w:r>
    </w:p>
    <w:p>
      <w:pPr>
        <w:keepNext/>
        <w:spacing w:before="120"/>
      </w:pPr>
      <w:r>
        <w:rPr>
          <w:b/>
          <w:sz w:val="22"/>
        </w:rPr>
        <w:t>Métodos e resultados</w:t>
      </w:r>
    </w:p>
    <w:p>
      <w:pPr>
        <w:widowControl/>
        <w:spacing w:after="160" w:line="276" w:lineRule="auto"/>
      </w:pPr>
      <w:r>
        <w:rPr>
          <w:sz w:val="22"/>
        </w:rPr>
        <w:t>A validação combina testes automatizados das regras, testes de integração, execução no navegador e comparação de reconhecimento de imagens. Foram executados 25 testes automatizados com node:test, todos aprovados. As verificações abrangem filtros, recomendações por data, importação, cálculo nutricional, políticas de reconhecimento e persistência de contatos.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Teste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Resultado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Restrições e seletividade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Excluir conflitos de lactose, alérgenos, cores e texturas.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Cenários aprovados; filtros não são relaxados.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Recomendação por dia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Evitar influência de registros de outras datas.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Priorização e seleção diária aprovadas.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Nutrição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Verificar referência compatível, peso e proporcionalidade.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Cálculos e rejeições previstos aprovados.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Importação e backup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Rejeitar estruturas inválidas e preservar consistência.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Validação e fluxos de armazenamento aprovados.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Conferir handler, transação parametrizada e armazenamento em nuvem.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Cenários automatizados aprovados.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Navegação Chromium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Verificar formulários, diário, resumo, foto, remoção e contatos.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Percurso funcional documentado.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Responsividade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Verificar as cinco telas em 360, 768 e 1280 pixels.</w:t>
            </w:r>
          </w:p>
        </w:tc>
        <w:tc>
          <w:tcPr>
            <w:tcW w:type="dxa" w:w="2929"/>
          </w:tcPr>
          <w:p>
            <w:pPr>
              <w:spacing w:after="80" w:line="252" w:lineRule="auto"/>
            </w:pPr>
            <w:r>
              <w:rPr>
                <w:sz w:val="20"/>
              </w:rPr>
              <w:t>Sem transbordamento nos cenários verificados.</w:t>
            </w:r>
          </w:p>
        </w:tc>
      </w:tr>
    </w:tbl>
    <w:p/>
    <w:p>
      <w:pPr>
        <w:keepNext/>
        <w:spacing w:before="120"/>
      </w:pPr>
      <w:r>
        <w:rPr>
          <w:b/>
          <w:sz w:val="22"/>
        </w:rPr>
        <w:t>Cenários de interface</w:t>
      </w:r>
    </w:p>
    <w:p>
      <w:pPr>
        <w:widowControl/>
        <w:spacing w:after="160" w:line="276" w:lineRule="auto"/>
      </w:pPr>
      <w:r>
        <w:rPr>
          <w:sz w:val="22"/>
        </w:rPr>
        <w:t>O cenário de registro utiliza Banana, referência TACO e peso de 100 g. A confirmação produz 98,2 kcal no resumo, mantém o registro após recarregar e permite abrir o diário pelo painel. A busca por maca recupera Maçã por normalização de acentos. Na configuração com lactose e cor verde excluídas, Leite e Brócolis não devem aparecer entre as sugestões compatíveis.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46114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gesto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9 — Sugestões produzidas pelo fluxo de teste, considerando os registros do dia e as restrições do perfil.</w:t>
      </w:r>
    </w:p>
    <w:p>
      <w:pPr>
        <w:widowControl/>
        <w:spacing w:after="160" w:line="276" w:lineRule="auto"/>
      </w:pPr>
      <w:r>
        <w:rPr>
          <w:sz w:val="22"/>
        </w:rPr>
        <w:t>As capturas de preferências, diário, confirmação e resumo correspondem ao mesmo percurso de teste. A navegação móvel foi verificada com abertura e fechamento do menu. Esses cenários demonstram comportamento técnico; não representam uma avaliação de usabilidade ou um atendimento com comunidade externa.</w:t>
      </w:r>
    </w:p>
    <w:p>
      <w:pPr>
        <w:keepNext/>
        <w:spacing w:before="120"/>
      </w:pPr>
      <w:r>
        <w:rPr>
          <w:b/>
          <w:sz w:val="22"/>
        </w:rPr>
        <w:t>Reconhecimento de imagens e tratamento das falhas</w:t>
      </w:r>
    </w:p>
    <w:p>
      <w:pPr>
        <w:widowControl/>
        <w:spacing w:after="160" w:line="276" w:lineRule="auto"/>
      </w:pPr>
      <w:r>
        <w:rPr>
          <w:sz w:val="22"/>
        </w:rPr>
        <w:t>A comparação técnica avaliou MobileNet, CLIP e SigLIP. O modelo selecionado foi avaliado em 148 imagens. Entre 108 fotos de comida, houve 94 acertos do principal alimento ou prato, aproximadamente 87%. Na coleta adicional de 50 fotos de comida, houve 40 acertos, ou 80%. Esses valores descrevem a amostra e não equivalem à probabilidade de acerto para qualquer imagem enviada.</w:t>
      </w:r>
    </w:p>
    <w:p>
      <w:pPr>
        <w:widowControl/>
        <w:spacing w:after="160" w:line="276" w:lineRule="auto"/>
      </w:pPr>
      <w:r>
        <w:rPr>
          <w:sz w:val="22"/>
        </w:rPr>
        <w:t>Plantas e folhas produziram falsos positivos. A análise levou à adoção de limiares de similaridade e margem, controles negativos, recusa e confirmação manual. O tratamento de pratos compostos impede atribuir ingredientes e nutrientes presumidos. Em falha de rede ou de modelo, o catálogo e o registro manual continuam disponíveis. Uma referência inválida é rejeitada antes da persistência do cálculo.</w:t>
      </w:r>
    </w:p>
    <w:p w14:paraId="301DB636" w14:textId="053D911A" w:rsidR="00317127" w:rsidRPr="00317127" w:rsidRDefault="00317127" w:rsidP="00AF3F54">
      <w:pPr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7. Implantação</w:t>
      </w:r>
    </w:p>
    <w:p>
      <w:pPr>
        <w:keepNext/>
        <w:spacing w:before="120"/>
      </w:pPr>
      <w:r>
        <w:rPr>
          <w:b/>
          <w:sz w:val="22"/>
        </w:rPr>
        <w:t>Acesso e execução</w:t>
      </w:r>
    </w:p>
    <w:p>
      <w:pPr>
        <w:widowControl/>
        <w:spacing w:after="160" w:line="276" w:lineRule="auto"/>
      </w:pPr>
      <w:r>
        <w:rPr>
          <w:sz w:val="22"/>
        </w:rPr>
        <w:t>A aplicação é hospedada na Vercel. A landing page está disponível em https://nutrivibe-gamma.vercel.app e o aplicativo em https://nutrivibe-gamma.vercel.app/app . O acesso requer navegador com JavaScript; a análise visual exige suporte a WebAssembly e conectividade para obter o modelo. O cadastro de contatos utiliza Neon.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b/>
                <w:sz w:val="20"/>
              </w:rPr>
              <w:t>Comando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b/>
                <w:sz w:val="20"/>
              </w:rPr>
              <w:t>Finalidade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npm ci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Instalar dependências de acordo com package-lock.json.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npm run build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Preparar arquivos públicos, bundle visual e artefatos do modelo.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npm test</w:t>
            </w:r>
          </w:p>
        </w:tc>
        <w:tc>
          <w:tcPr>
            <w:tcW w:type="dxa" w:w="4393"/>
          </w:tcPr>
          <w:p>
            <w:pPr>
              <w:keepNext/>
              <w:spacing w:after="80" w:line="252" w:lineRule="auto"/>
            </w:pPr>
            <w:r>
              <w:rPr>
                <w:sz w:val="20"/>
              </w:rPr>
              <w:t>Executar a suíte automatizada.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npm start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Iniciar o servidor HTTP local, na porta padrão 8080.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A execução local requer Node.js 24 e npm. Os comandos são executados na raiz do projeto. A apresentação pode ser acessada em http://localhost:8080 e o aplicativo em http://localhost:8080/html/aplicativo/index.html . Os arquivos não devem ser abertos diretamente por file://, pois módulos, requisições e caminhos dos modelos dependem do servidor HTTP.</w:t>
      </w:r>
    </w:p>
    <w:p>
      <w:pPr>
        <w:keepNext/>
        <w:spacing w:before="120"/>
      </w:pPr>
      <w:r>
        <w:rPr>
          <w:b/>
          <w:sz w:val="22"/>
        </w:rPr>
        <w:t>Configuração do ambiente</w:t>
      </w:r>
    </w:p>
    <w:p>
      <w:pPr>
        <w:widowControl/>
        <w:spacing w:after="160" w:line="276" w:lineRule="auto"/>
      </w:pPr>
      <w:r>
        <w:rPr>
          <w:sz w:val="22"/>
        </w:rPr>
        <w:t>NUTRIVIBE_VISION_PROVIDER=browser-local seleciona a análise no navegador. POSTGRES_URL ou DATABASE_URL configura o banco remoto. As variáveis são definidas no ambiente do processo ou do provedor; o código não carrega automaticamente um arquivo .env. As credenciais não são publicadas no frontend.</w:t>
      </w:r>
    </w:p>
    <w:p>
      <w:pPr>
        <w:widowControl/>
        <w:spacing w:after="160" w:line="276" w:lineRule="auto"/>
      </w:pPr>
      <w:r>
        <w:rPr>
          <w:sz w:val="22"/>
        </w:rPr>
        <w:t>A Vercel executa o build e serve a pasta public. A entrada api/index.mjs exporta o handler sem abrir uma porta adicional. As configurações incluem rotas, redirecionamentos, cabeçalhos e cache dos modelos. O servidor local oferece SQLite quando não há conexão PostgreSQL. O usuário dispõe de exportação para preservar o diário antes de trocar de navegador ou apagar o armazenamento local.</w:t>
      </w:r>
    </w:p>
    <w:p w14:paraId="6E8BC6BA" w14:textId="77777777" w:rsidR="00442295" w:rsidRPr="00442295" w:rsidRDefault="00442295" w:rsidP="00442295">
      <w:pPr>
        <w:spacing w:before="280" w:beforeAutospacing="1" w:after="100" w:afterAutospacing="1" w:line="240" w:lineRule="auto"/>
        <w:ind w:left="0" w:firstLine="0"/>
        <w:jc w:val="left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442295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8. Manutenção / Evoluções Futuras</w:t>
      </w:r>
    </w:p>
    <w:p>
      <w:pPr>
        <w:keepNext/>
        <w:spacing w:before="120"/>
      </w:pPr>
      <w:r>
        <w:rPr>
          <w:b/>
          <w:sz w:val="22"/>
        </w:rPr>
        <w:t>Ampliação das funcionalidades</w:t>
      </w:r>
    </w:p>
    <w:p>
      <w:pPr>
        <w:widowControl/>
        <w:spacing w:after="160" w:line="276" w:lineRule="auto"/>
      </w:pPr>
      <w:r>
        <w:rPr>
          <w:sz w:val="22"/>
        </w:rPr>
        <w:t>As evoluções previstas incluem separar os dados do responsável e da criança, associar preferências ao perfil correspondente e ampliar a organização dos conteúdos educativos. A alteração do cadastro deve preservar registros existentes por meio de versionamento do estado, migração e testes de backup. O aprofundamento das recomendações exige regras verificáveis, justificativas compreensíveis e respeito às restrições, sem produzir prescrição clínica.</w:t>
      </w:r>
    </w:p>
    <w:p>
      <w:pPr>
        <w:widowControl/>
        <w:spacing w:after="160" w:line="276" w:lineRule="auto"/>
      </w:pPr>
      <w:r>
        <w:rPr>
          <w:sz w:val="22"/>
        </w:rPr>
        <w:t>A gamificação prevista na proposta utiliza avatar, pontos, recompensas e desafios de caráter educativo, condicionados à viabilidade. Esses recursos não estão implementados no aplicativo. Sua inclusão depende da estabilidade dos fluxos principais e de cuidados para evitar incentivo ao consumo forçado ou promessas de melhora clínica.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Evolução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b/>
                <w:sz w:val="20"/>
              </w:rPr>
              <w:t>Finalidade e cuidado necessário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Cadastro responsável/criança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Representar os papéis sem perder os dados já armazenados.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Conteúdo educativo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Ampliar temas, linguagem acessível e identificação das fontes.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Catálogo e referências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Aumentar cobertura com preparações rastreáveis e dados ausentes preservados.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Reconhecimento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Avaliar fotos variadas, plantas, pratos compostos e aparelhos reais.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Desempenho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Reduzir custo de download e avaliar memória e latência em celulares.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Acessibilidade e uso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Avaliar teclado, contraste, tecnologias assistivas e clareza com usuários.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Contas e sincronização</w:t>
            </w:r>
          </w:p>
        </w:tc>
        <w:tc>
          <w:tcPr>
            <w:tcW w:type="dxa" w:w="4393"/>
          </w:tcPr>
          <w:p>
            <w:pPr>
              <w:spacing w:after="80" w:line="252" w:lineRule="auto"/>
            </w:pPr>
            <w:r>
              <w:rPr>
                <w:sz w:val="20"/>
              </w:rPr>
              <w:t>Projetar autenticação, autorização e privacidade antes de persistir o diário remotamente.</w:t>
            </w:r>
          </w:p>
        </w:tc>
      </w:tr>
    </w:tbl>
    <w:p/>
    <w:p>
      <w:pPr>
        <w:keepNext/>
        <w:spacing w:before="120"/>
      </w:pPr>
      <w:r>
        <w:rPr>
          <w:b/>
          <w:sz w:val="22"/>
        </w:rPr>
        <w:t>Manutenção e segurança</w:t>
      </w:r>
    </w:p>
    <w:p>
      <w:pPr>
        <w:widowControl/>
        <w:spacing w:after="160" w:line="276" w:lineRule="auto"/>
      </w:pPr>
      <w:r>
        <w:rPr>
          <w:sz w:val="22"/>
        </w:rPr>
        <w:t>Mudanças em catálogo, modelo ou limiares exigem regressão e comparação de falsos positivos e recusas. O servidor utiliza limitação em memória por processo; maior tráfego e múltiplas instâncias exigem avaliar um controle distribuído. Novas integrações devem ser comparadas por qualidade, custo e proteção dos dados.</w:t>
      </w:r>
    </w:p>
    <w:p>
      <w:pPr>
        <w:widowControl/>
        <w:spacing w:after="160" w:line="276" w:lineRule="auto"/>
      </w:pPr>
      <w:r>
        <w:rPr>
          <w:sz w:val="22"/>
        </w:rPr>
        <w:t>A análise de fotos continua limitada pela aparência: não confirma peso, composição completa ou alergênicos. A correção manual e a comunicação de incerteza precisam permanecer disponíveis. A avaliação com responsáveis e profissionais é necessária para verificar utilidade, adequação da linguagem e cuidados de uso. Não há resultados de impacto clínico ou comunitário mensurados.</w:t>
      </w:r>
    </w:p>
    <w:p w14:paraId="6A2F57EE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pageBreakBefore/>
        <w:keepNext/>
      </w:pPr>
      <w:r w:rsidRPr="003D6F4A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9. Considerações Finais</w:t>
      </w:r>
    </w:p>
    <w:p>
      <w:pPr>
        <w:widowControl/>
        <w:spacing w:after="160" w:line="276" w:lineRule="auto"/>
      </w:pPr>
      <w:r>
        <w:rPr>
          <w:sz w:val="22"/>
        </w:rPr>
        <w:t>O NutriVibe articula educação alimentar e tecnologia para apoiar a organização das refeições e a exploração de variedade com respeito às preferências. A solução reúne apresentação, perfil, diário, resumo e sugestões em um percurso que pode ser acessado pelo navegador, com adaptação para computador e celular.</w:t>
      </w:r>
    </w:p>
    <w:p>
      <w:pPr>
        <w:widowControl/>
        <w:spacing w:after="160" w:line="276" w:lineRule="auto"/>
      </w:pPr>
      <w:r>
        <w:rPr>
          <w:sz w:val="22"/>
        </w:rPr>
        <w:t>A implementação integra HTML, CSS, JavaScript modular, persistência local, referências TACO, reconhecimento visual confirmado e serviços de contato. Os testes verificam regras, entradas inválidas, cálculos, navegação e integração. Os resultados de reconhecimento demonstram tanto a utilidade do recurso quanto a necessidade de recusa e correção manual.</w:t>
      </w:r>
    </w:p>
    <w:p>
      <w:pPr>
        <w:widowControl/>
        <w:spacing w:after="160" w:line="276" w:lineRule="auto"/>
      </w:pPr>
      <w:r>
        <w:rPr>
          <w:sz w:val="22"/>
        </w:rPr>
        <w:t>O valor do projeto está na organização das informações e na transparência das orientações. A identificação de um alimento não é tratada como medida de peso ou garantia de composição, e uma sugestão de variedade não é apresentada como prescrição. Essa distinção permite oferecer apoio educativo sem atribuir ao software conclusões que dependem de avaliação profissional.</w:t>
      </w:r>
    </w:p>
    <w:p>
      <w:pPr>
        <w:widowControl/>
        <w:spacing w:after="160" w:line="276" w:lineRule="auto"/>
      </w:pPr>
      <w:r>
        <w:rPr>
          <w:sz w:val="22"/>
        </w:rPr>
        <w:t>O trabalho desenvolve competências de programação, estruturação de interfaces, pesquisa, modelagem de dados e gestão de tarefas. A distribuição entre JavaScript, HTML, CSS e pesquisas exige integração das contribuições, revisão e critérios de aceite. A manutenção de módulos e testes favorece aperfeiçoamentos e torna as decisões técnicas verificáveis.</w:t>
      </w:r>
    </w:p>
    <w:sectPr w:rsidR="00317127" w:rsidRPr="00317127" w:rsidSect="00A21D2D">
      <w:headerReference w:type="default" r:id="rId8"/>
      <w:pgSz w:w="11906" w:h="16838" w:code="9"/>
      <w:pgMar w:top="1418" w:right="1418" w:bottom="1418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E9996" w14:textId="77777777" w:rsidR="00AD30D4" w:rsidRDefault="00AD30D4" w:rsidP="00A21D2D">
      <w:pPr>
        <w:spacing w:line="240" w:lineRule="auto"/>
      </w:pPr>
      <w:r>
        <w:separator/>
      </w:r>
    </w:p>
  </w:endnote>
  <w:endnote w:type="continuationSeparator" w:id="0">
    <w:p w14:paraId="5B3EF695" w14:textId="77777777" w:rsidR="00AD30D4" w:rsidRDefault="00AD30D4" w:rsidP="00A21D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EE6D0" w14:textId="77777777" w:rsidR="00AD30D4" w:rsidRDefault="00AD30D4" w:rsidP="00A21D2D">
      <w:pPr>
        <w:spacing w:line="240" w:lineRule="auto"/>
      </w:pPr>
      <w:r>
        <w:separator/>
      </w:r>
    </w:p>
  </w:footnote>
  <w:footnote w:type="continuationSeparator" w:id="0">
    <w:p w14:paraId="65D027AF" w14:textId="77777777" w:rsidR="00AD30D4" w:rsidRDefault="00AD30D4" w:rsidP="00A21D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C159" w14:textId="7CF8F859" w:rsidR="00A21D2D" w:rsidRDefault="00A21D2D" w:rsidP="00A21D2D">
    <w:pPr>
      <w:pStyle w:val="Cabealho"/>
      <w:jc w:val="right"/>
    </w:pPr>
    <w:r>
      <w:rPr>
        <w:noProof/>
      </w:rPr>
      <w:drawing>
        <wp:inline distT="0" distB="0" distL="0" distR="0" wp14:anchorId="765C7653" wp14:editId="54344211">
          <wp:extent cx="899160" cy="561975"/>
          <wp:effectExtent l="0" t="0" r="0" b="0"/>
          <wp:docPr id="1132746087" name="Picture 1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" name="Picture 1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9160" cy="5619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0BD9"/>
    <w:multiLevelType w:val="hybridMultilevel"/>
    <w:tmpl w:val="50D2EBDE"/>
    <w:lvl w:ilvl="0" w:tplc="2E4C5F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3A9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30799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F48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364B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C408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EC5DF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AA10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70F8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E6566C"/>
    <w:multiLevelType w:val="multilevel"/>
    <w:tmpl w:val="8A46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B2AAD"/>
    <w:multiLevelType w:val="multilevel"/>
    <w:tmpl w:val="DF6C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F4D43"/>
    <w:multiLevelType w:val="hybridMultilevel"/>
    <w:tmpl w:val="7C82059A"/>
    <w:lvl w:ilvl="0" w:tplc="617C49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FA0A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32BF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60AF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128A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B84E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1683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3A77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7434D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1C4F92"/>
    <w:multiLevelType w:val="multilevel"/>
    <w:tmpl w:val="A93AC6D0"/>
    <w:lvl w:ilvl="0">
      <w:start w:val="1"/>
      <w:numFmt w:val="decimal"/>
      <w:pStyle w:val="Ttulo1"/>
      <w:lvlText w:val="%1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51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59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663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735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807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87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95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9CC6A51"/>
    <w:multiLevelType w:val="multilevel"/>
    <w:tmpl w:val="FB6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756DB"/>
    <w:multiLevelType w:val="multilevel"/>
    <w:tmpl w:val="968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61882"/>
    <w:multiLevelType w:val="hybridMultilevel"/>
    <w:tmpl w:val="B8E48B40"/>
    <w:lvl w:ilvl="0" w:tplc="BBA8B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0EB8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1AAF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22323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62E5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3418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60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4C95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986C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CC6B36"/>
    <w:multiLevelType w:val="hybridMultilevel"/>
    <w:tmpl w:val="8CD40BB6"/>
    <w:lvl w:ilvl="0" w:tplc="A694FD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66A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A97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94F8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E4B8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C4E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8A78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24A7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D87A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022479"/>
    <w:multiLevelType w:val="multilevel"/>
    <w:tmpl w:val="FFD8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0B7"/>
    <w:multiLevelType w:val="hybridMultilevel"/>
    <w:tmpl w:val="91FE30CC"/>
    <w:lvl w:ilvl="0" w:tplc="8ED62B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3296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E32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5684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6BA5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D6C2E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ED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CEC3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5CCA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06375FE"/>
    <w:multiLevelType w:val="multilevel"/>
    <w:tmpl w:val="CE82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07AF6"/>
    <w:multiLevelType w:val="multilevel"/>
    <w:tmpl w:val="F35C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A5FF4"/>
    <w:multiLevelType w:val="multilevel"/>
    <w:tmpl w:val="A698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63D90"/>
    <w:multiLevelType w:val="multilevel"/>
    <w:tmpl w:val="189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37749"/>
    <w:multiLevelType w:val="multilevel"/>
    <w:tmpl w:val="0D7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82BFD"/>
    <w:multiLevelType w:val="multilevel"/>
    <w:tmpl w:val="7742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105AC"/>
    <w:multiLevelType w:val="multilevel"/>
    <w:tmpl w:val="9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A17FC"/>
    <w:multiLevelType w:val="multilevel"/>
    <w:tmpl w:val="93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50176"/>
    <w:multiLevelType w:val="multilevel"/>
    <w:tmpl w:val="98BE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5150F"/>
    <w:multiLevelType w:val="multilevel"/>
    <w:tmpl w:val="37E4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45A82"/>
    <w:multiLevelType w:val="multilevel"/>
    <w:tmpl w:val="0A8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A6493"/>
    <w:multiLevelType w:val="multilevel"/>
    <w:tmpl w:val="6F5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1C69C8"/>
    <w:multiLevelType w:val="multilevel"/>
    <w:tmpl w:val="CD12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33FEB"/>
    <w:multiLevelType w:val="multilevel"/>
    <w:tmpl w:val="CCDC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999518">
    <w:abstractNumId w:val="3"/>
  </w:num>
  <w:num w:numId="2" w16cid:durableId="1494103056">
    <w:abstractNumId w:val="8"/>
  </w:num>
  <w:num w:numId="3" w16cid:durableId="101461532">
    <w:abstractNumId w:val="0"/>
  </w:num>
  <w:num w:numId="4" w16cid:durableId="229924917">
    <w:abstractNumId w:val="10"/>
  </w:num>
  <w:num w:numId="5" w16cid:durableId="1845590725">
    <w:abstractNumId w:val="7"/>
  </w:num>
  <w:num w:numId="6" w16cid:durableId="810900338">
    <w:abstractNumId w:val="4"/>
  </w:num>
  <w:num w:numId="7" w16cid:durableId="1998605667">
    <w:abstractNumId w:val="12"/>
  </w:num>
  <w:num w:numId="8" w16cid:durableId="778338061">
    <w:abstractNumId w:val="14"/>
  </w:num>
  <w:num w:numId="9" w16cid:durableId="129515007">
    <w:abstractNumId w:val="6"/>
  </w:num>
  <w:num w:numId="10" w16cid:durableId="1906724821">
    <w:abstractNumId w:val="11"/>
  </w:num>
  <w:num w:numId="11" w16cid:durableId="255136477">
    <w:abstractNumId w:val="22"/>
  </w:num>
  <w:num w:numId="12" w16cid:durableId="1152986096">
    <w:abstractNumId w:val="18"/>
  </w:num>
  <w:num w:numId="13" w16cid:durableId="296299815">
    <w:abstractNumId w:val="21"/>
  </w:num>
  <w:num w:numId="14" w16cid:durableId="905071993">
    <w:abstractNumId w:val="23"/>
  </w:num>
  <w:num w:numId="15" w16cid:durableId="1785226214">
    <w:abstractNumId w:val="24"/>
  </w:num>
  <w:num w:numId="16" w16cid:durableId="449740515">
    <w:abstractNumId w:val="9"/>
  </w:num>
  <w:num w:numId="17" w16cid:durableId="1770155231">
    <w:abstractNumId w:val="15"/>
  </w:num>
  <w:num w:numId="18" w16cid:durableId="2024940579">
    <w:abstractNumId w:val="20"/>
  </w:num>
  <w:num w:numId="19" w16cid:durableId="116459111">
    <w:abstractNumId w:val="13"/>
  </w:num>
  <w:num w:numId="20" w16cid:durableId="317878162">
    <w:abstractNumId w:val="5"/>
  </w:num>
  <w:num w:numId="21" w16cid:durableId="347491882">
    <w:abstractNumId w:val="1"/>
  </w:num>
  <w:num w:numId="22" w16cid:durableId="874854703">
    <w:abstractNumId w:val="2"/>
  </w:num>
  <w:num w:numId="23" w16cid:durableId="838619533">
    <w:abstractNumId w:val="19"/>
  </w:num>
  <w:num w:numId="24" w16cid:durableId="2114324884">
    <w:abstractNumId w:val="17"/>
  </w:num>
  <w:num w:numId="25" w16cid:durableId="2067876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B37"/>
    <w:rsid w:val="00023F66"/>
    <w:rsid w:val="00037A4F"/>
    <w:rsid w:val="00076B37"/>
    <w:rsid w:val="000D2B41"/>
    <w:rsid w:val="000D465C"/>
    <w:rsid w:val="00113E6A"/>
    <w:rsid w:val="00166D86"/>
    <w:rsid w:val="002040F2"/>
    <w:rsid w:val="00242711"/>
    <w:rsid w:val="00246560"/>
    <w:rsid w:val="00295357"/>
    <w:rsid w:val="002C4FCA"/>
    <w:rsid w:val="002D7049"/>
    <w:rsid w:val="00317127"/>
    <w:rsid w:val="00382010"/>
    <w:rsid w:val="003A1F9D"/>
    <w:rsid w:val="003D044C"/>
    <w:rsid w:val="003D6F4A"/>
    <w:rsid w:val="00442295"/>
    <w:rsid w:val="00473BA2"/>
    <w:rsid w:val="00476509"/>
    <w:rsid w:val="004D62B5"/>
    <w:rsid w:val="005432A3"/>
    <w:rsid w:val="005465C1"/>
    <w:rsid w:val="00572BCE"/>
    <w:rsid w:val="00592CF8"/>
    <w:rsid w:val="005E52D5"/>
    <w:rsid w:val="006340A6"/>
    <w:rsid w:val="00640624"/>
    <w:rsid w:val="00662ED2"/>
    <w:rsid w:val="006C01E8"/>
    <w:rsid w:val="006E6BA1"/>
    <w:rsid w:val="006F3908"/>
    <w:rsid w:val="00792F75"/>
    <w:rsid w:val="00794A01"/>
    <w:rsid w:val="008332E6"/>
    <w:rsid w:val="00854803"/>
    <w:rsid w:val="008A4439"/>
    <w:rsid w:val="008B5206"/>
    <w:rsid w:val="00A21D2D"/>
    <w:rsid w:val="00A41D80"/>
    <w:rsid w:val="00A5739F"/>
    <w:rsid w:val="00AD30D4"/>
    <w:rsid w:val="00AD4F47"/>
    <w:rsid w:val="00AF3F54"/>
    <w:rsid w:val="00DA1614"/>
    <w:rsid w:val="00EF1102"/>
    <w:rsid w:val="00F141AF"/>
    <w:rsid w:val="00FB0472"/>
    <w:rsid w:val="00FE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B8F68"/>
  <w15:docId w15:val="{8B0B6C46-43F4-4E03-A6CB-35FDA8822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159" w:line="259" w:lineRule="auto"/>
      <w:ind w:left="14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6"/>
      </w:numPr>
      <w:spacing w:after="159" w:line="259" w:lineRule="auto"/>
      <w:ind w:left="14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21D2D"/>
    <w:rPr>
      <w:rFonts w:ascii="Arial" w:eastAsia="Arial" w:hAnsi="Arial" w:cs="Arial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21D2D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1590</Words>
  <Characters>8588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LUIZ DE ALMEIDA SILVEIRA</dc:creator>
  <cp:keywords/>
  <cp:lastModifiedBy>FERNANDO LUIZ DE ALMEIDA SILVEIRA</cp:lastModifiedBy>
  <cp:revision>32</cp:revision>
  <cp:lastPrinted>2025-03-20T19:06:00Z</cp:lastPrinted>
  <dcterms:created xsi:type="dcterms:W3CDTF">2025-03-20T19:06:00Z</dcterms:created>
  <dcterms:modified xsi:type="dcterms:W3CDTF">2026-09-07T20:40:00Z</dcterms:modified>
</cp:coreProperties>
</file>