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C481" w14:textId="7F3F32AD" w:rsidR="00023F66" w:rsidRPr="003D044C" w:rsidRDefault="003D044C" w:rsidP="003D044C">
      <w:pPr>
        <w:spacing w:after="167"/>
        <w:ind w:left="1" w:firstLine="0"/>
        <w:jc w:val="center"/>
        <w:rPr>
          <w:b/>
          <w:bCs/>
          <w:noProof/>
          <w:sz w:val="40"/>
          <w:szCs w:val="40"/>
        </w:rPr>
      </w:pPr>
      <w:r w:rsidRPr="003D044C">
        <w:rPr>
          <w:b/>
          <w:bCs/>
          <w:sz w:val="32"/>
          <w:szCs w:val="32"/>
        </w:rPr>
        <w:t>PROJETO: NutriVibe</w:t>
      </w:r>
    </w:p>
    <w:p w14:paraId="3E676AA5" w14:textId="0BE84E18" w:rsidR="00023F66" w:rsidRPr="00AF3F54" w:rsidRDefault="00023F66" w:rsidP="00113E6A">
      <w:pPr>
        <w:spacing w:after="167"/>
        <w:ind w:left="1" w:firstLine="0"/>
        <w:jc w:val="center"/>
        <w:rPr>
          <w:noProof/>
          <w:sz w:val="32"/>
          <w:szCs w:val="32"/>
        </w:rPr>
      </w:pPr>
      <w:r w:rsidRPr="00AF3F54">
        <w:rPr>
          <w:noProof/>
          <w:sz w:val="32"/>
          <w:szCs w:val="32"/>
        </w:rPr>
        <w:drawing>
          <wp:inline distT="0" distB="0" distL="0" distR="0" wp14:anchorId="2C9913C9" wp14:editId="0798CC75">
            <wp:extent cx="3302000" cy="330200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687F" w14:textId="5C1B605A" w:rsidR="00023F66" w:rsidRPr="006340A6" w:rsidRDefault="00023F66" w:rsidP="00AF3F54">
      <w:pPr>
        <w:spacing w:after="167"/>
        <w:ind w:left="1" w:firstLine="0"/>
        <w:rPr>
          <w:noProof/>
        </w:rPr>
      </w:pPr>
      <w:r w:rsidRPr="006340A6">
        <w:rPr>
          <w:b/>
          <w:noProof/>
          <w:sz w:val="22"/>
        </w:rPr>
        <w:t>Curso:</w:t>
      </w:r>
      <w:r w:rsidRPr="006340A6">
        <w:rPr>
          <w:noProof/>
          <w:sz w:val="22"/>
        </w:rPr>
        <w:t xml:space="preserve"> Engenharia da Computação </w:t>
      </w:r>
    </w:p>
    <w:p w14:paraId="40C5E6E5" w14:textId="1E67DFC3" w:rsidR="006C01E8" w:rsidRPr="006E6BA1" w:rsidRDefault="00023F66" w:rsidP="00AF3F54">
      <w:pPr>
        <w:spacing w:after="167"/>
        <w:ind w:left="1" w:firstLine="0"/>
      </w:pPr>
      <w:r w:rsidRPr="006340A6">
        <w:rPr>
          <w:b/>
          <w:noProof/>
          <w:sz w:val="22"/>
        </w:rPr>
        <w:t>Disciplina:</w:t>
      </w:r>
      <w:r w:rsidRPr="006340A6">
        <w:rPr>
          <w:noProof/>
          <w:sz w:val="22"/>
        </w:rPr>
        <w:t xml:space="preserve"> PI: </w:t>
      </w:r>
      <w:r w:rsidR="006E6BA1">
        <w:rPr>
          <w:noProof/>
          <w:sz w:val="22"/>
        </w:rPr>
        <w:t>Desenvolvimento de Sistemas Web</w:t>
      </w:r>
      <w:r w:rsidRPr="006340A6">
        <w:rPr>
          <w:noProof/>
          <w:sz w:val="22"/>
        </w:rPr>
        <w:t xml:space="preserve"> </w:t>
      </w:r>
      <w:r w:rsidRPr="006340A6">
        <w:rPr>
          <w:b/>
          <w:bCs/>
          <w:noProof/>
          <w:sz w:val="22"/>
        </w:rPr>
        <w:t xml:space="preserve">Código: </w:t>
      </w:r>
      <w:r w:rsidR="006E6BA1" w:rsidRPr="006E6BA1">
        <w:rPr>
          <w:noProof/>
          <w:sz w:val="22"/>
        </w:rPr>
        <w:t>218040</w:t>
      </w:r>
      <w:r w:rsidRPr="006E6BA1">
        <w:rPr>
          <w:sz w:val="22"/>
        </w:rPr>
        <w:t xml:space="preserve"> </w:t>
      </w:r>
    </w:p>
    <w:p w14:paraId="316C66EF" w14:textId="76850CD5" w:rsidR="00023F66" w:rsidRPr="006340A6" w:rsidRDefault="00023F66" w:rsidP="00AF3F54">
      <w:pPr>
        <w:spacing w:after="167"/>
        <w:ind w:left="1" w:firstLine="0"/>
      </w:pPr>
      <w:r w:rsidRPr="006340A6">
        <w:rPr>
          <w:b/>
          <w:bCs/>
          <w:noProof/>
          <w:sz w:val="22"/>
        </w:rPr>
        <w:t>Turma: a confirmar</w:t>
      </w:r>
      <w:r w:rsidRPr="006340A6">
        <w:rPr>
          <w:sz w:val="22"/>
        </w:rPr>
      </w:r>
      <w:r w:rsidR="003D044C">
        <w:rPr>
          <w:sz w:val="22"/>
        </w:rPr>
      </w:r>
      <w:r w:rsidRPr="006340A6">
        <w:rPr>
          <w:sz w:val="22"/>
        </w:rPr>
      </w:r>
    </w:p>
    <w:p w14:paraId="5AE1F0F7" w14:textId="4551A2B4" w:rsidR="00023F66" w:rsidRPr="006340A6" w:rsidRDefault="00023F66" w:rsidP="00AF3F54">
      <w:pPr>
        <w:spacing w:after="167"/>
        <w:ind w:left="1" w:firstLine="0"/>
        <w:rPr>
          <w:noProof/>
        </w:rPr>
      </w:pPr>
      <w:r w:rsidRPr="006340A6">
        <w:rPr>
          <w:b/>
          <w:noProof/>
          <w:sz w:val="22"/>
        </w:rPr>
        <w:t>Professor</w:t>
      </w:r>
      <w:r w:rsidRPr="006340A6">
        <w:rPr>
          <w:noProof/>
          <w:sz w:val="22"/>
        </w:rPr>
        <w:t>: Fernando Luiz de Almeida Silve</w:t>
      </w:r>
      <w:r w:rsidR="00242711" w:rsidRPr="006340A6">
        <w:rPr>
          <w:noProof/>
          <w:sz w:val="22"/>
        </w:rPr>
        <w:t>i</w:t>
      </w:r>
      <w:r w:rsidRPr="006340A6">
        <w:rPr>
          <w:noProof/>
          <w:sz w:val="22"/>
        </w:rPr>
        <w:t xml:space="preserve">ra </w:t>
      </w:r>
    </w:p>
    <w:p w14:paraId="7243413F" w14:textId="4ECFAE2A" w:rsidR="006340A6" w:rsidRPr="006340A6" w:rsidRDefault="00023F66" w:rsidP="00AF3F54">
      <w:pPr>
        <w:spacing w:after="167"/>
        <w:ind w:left="1" w:firstLine="0"/>
        <w:rPr>
          <w:noProof/>
        </w:rPr>
      </w:pPr>
      <w:r w:rsidRPr="006340A6">
        <w:rPr>
          <w:noProof/>
          <w:sz w:val="22"/>
        </w:rPr>
        <w:t xml:space="preserve"> </w:t>
      </w:r>
    </w:p>
    <w:p w14:paraId="20C53C1F" w14:textId="695B0579" w:rsidR="00023F66" w:rsidRPr="006340A6" w:rsidRDefault="003D044C" w:rsidP="00AF3F54">
      <w:pPr>
        <w:spacing w:after="167"/>
        <w:ind w:left="1" w:firstLine="0"/>
        <w:rPr>
          <w:noProof/>
        </w:rPr>
      </w:pPr>
      <w:r>
        <w:rPr>
          <w:b/>
          <w:noProof/>
          <w:sz w:val="22"/>
        </w:rPr>
        <w:t>Nome do Grupo: NutriVibe</w:t>
      </w:r>
      <w:r w:rsidR="00023F66" w:rsidRPr="006340A6">
        <w:rPr>
          <w:b/>
          <w:noProof/>
          <w:sz w:val="22"/>
        </w:rPr>
      </w:r>
      <w:r w:rsidR="00023F66" w:rsidRPr="006340A6">
        <w:rPr>
          <w:noProof/>
          <w:sz w:val="22"/>
        </w:rPr>
      </w:r>
      <w:r>
        <w:rPr>
          <w:noProof/>
          <w:sz w:val="22"/>
        </w:rPr>
      </w:r>
    </w:p>
    <w:p w14:paraId="31CE7DBA" w14:textId="08E2974A" w:rsidR="00023F66" w:rsidRPr="006340A6" w:rsidRDefault="00023F66" w:rsidP="00AF3F54">
      <w:pPr>
        <w:spacing w:after="167"/>
        <w:ind w:left="1" w:firstLine="0"/>
        <w:rPr>
          <w:b/>
          <w:noProof/>
        </w:rPr>
      </w:pPr>
      <w:r w:rsidRPr="006340A6">
        <w:rPr>
          <w:b/>
          <w:noProof/>
          <w:sz w:val="22"/>
        </w:rPr>
        <w:t>Paulo Capreti — RA: 26028858</w:t>
      </w:r>
    </w:p>
    <w:p w14:paraId="224EDA12" w14:textId="72D43B01" w:rsidR="00023F66" w:rsidRPr="006340A6" w:rsidRDefault="00023F66" w:rsidP="00AF3F54">
      <w:pPr>
        <w:spacing w:after="167"/>
        <w:ind w:left="1" w:firstLine="0"/>
        <w:rPr>
          <w:noProof/>
        </w:rPr>
      </w:pPr>
      <w:r w:rsidRPr="006340A6">
        <w:rPr>
          <w:b/>
          <w:noProof/>
          <w:sz w:val="22"/>
        </w:rPr>
        <w:t>Davi Pioli — RA: 26005199</w:t>
      </w:r>
    </w:p>
    <w:p w14:paraId="4610B8AF" w14:textId="46FD53CA" w:rsidR="00023F66" w:rsidRPr="006340A6" w:rsidRDefault="00023F66" w:rsidP="00AF3F54">
      <w:pPr>
        <w:spacing w:after="167"/>
        <w:ind w:left="1" w:firstLine="0"/>
        <w:rPr>
          <w:noProof/>
        </w:rPr>
      </w:pPr>
      <w:r w:rsidRPr="006340A6">
        <w:rPr>
          <w:b/>
          <w:noProof/>
          <w:sz w:val="22"/>
        </w:rPr>
        <w:t>Victor Almeida — RA: 26003836</w:t>
      </w:r>
    </w:p>
    <w:p w14:paraId="50B096E4" w14:textId="50D5C84E" w:rsidR="00023F66" w:rsidRPr="006340A6" w:rsidRDefault="00023F66" w:rsidP="00AF3F54">
      <w:pPr>
        <w:spacing w:after="167"/>
        <w:ind w:left="1" w:firstLine="0"/>
        <w:rPr>
          <w:b/>
          <w:noProof/>
        </w:rPr>
      </w:pPr>
      <w:r w:rsidRPr="006340A6">
        <w:rPr>
          <w:b/>
          <w:noProof/>
          <w:sz w:val="22"/>
        </w:rPr>
        <w:t>Marcelo Dalbone — RA: 25001986</w:t>
      </w:r>
    </w:p>
    <w:p w14:paraId="0A89EABE" w14:textId="1A01AF57" w:rsidR="00023F66" w:rsidRPr="006340A6" w:rsidRDefault="00023F66" w:rsidP="00AF3F54">
      <w:pPr>
        <w:spacing w:after="167"/>
        <w:ind w:left="1" w:firstLine="0"/>
        <w:rPr>
          <w:b/>
          <w:noProof/>
        </w:rPr>
      </w:pPr>
      <w:r w:rsidRPr="006340A6">
        <w:rPr>
          <w:b/>
          <w:noProof/>
          <w:sz w:val="22"/>
        </w:rPr>
        <w:t>Akiane Merbach — RA: 26027003</w:t>
      </w:r>
    </w:p>
    <w:p w14:paraId="2430CFBF" w14:textId="77777777" w:rsidR="006340A6" w:rsidRDefault="006340A6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</w:p>
    <w:p w14:paraId="0231420D" w14:textId="77777777" w:rsidR="006340A6" w:rsidRDefault="006340A6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</w:p>
    <w:p w14:paraId="2D78D2D9" w14:textId="2697998B" w:rsidR="00023F66" w:rsidRDefault="00023F66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  <w:r w:rsidRPr="006C01E8">
        <w:rPr>
          <w:b/>
          <w:noProof/>
          <w:sz w:val="28"/>
          <w:szCs w:val="28"/>
        </w:rPr>
        <w:t>C</w:t>
      </w:r>
      <w:r w:rsidR="008A4439">
        <w:rPr>
          <w:b/>
          <w:noProof/>
          <w:sz w:val="28"/>
          <w:szCs w:val="28"/>
        </w:rPr>
        <w:t>ampinas</w:t>
      </w:r>
      <w:r w:rsidR="008332E6" w:rsidRPr="006C01E8">
        <w:rPr>
          <w:b/>
          <w:noProof/>
          <w:sz w:val="28"/>
          <w:szCs w:val="28"/>
        </w:rPr>
        <w:t xml:space="preserve">, </w:t>
      </w:r>
      <w:r w:rsidR="006E6BA1">
        <w:rPr>
          <w:b/>
          <w:noProof/>
          <w:sz w:val="28"/>
          <w:szCs w:val="28"/>
        </w:rPr>
        <w:t>2</w:t>
      </w:r>
      <w:r w:rsidR="008332E6" w:rsidRPr="006C01E8">
        <w:rPr>
          <w:b/>
          <w:noProof/>
          <w:sz w:val="28"/>
          <w:szCs w:val="28"/>
        </w:rPr>
        <w:t xml:space="preserve">º </w:t>
      </w:r>
      <w:r w:rsidR="008A4439">
        <w:rPr>
          <w:b/>
          <w:noProof/>
          <w:sz w:val="28"/>
          <w:szCs w:val="28"/>
        </w:rPr>
        <w:t>semestre</w:t>
      </w:r>
      <w:r w:rsidR="008332E6" w:rsidRPr="006C01E8">
        <w:rPr>
          <w:b/>
          <w:noProof/>
          <w:sz w:val="28"/>
          <w:szCs w:val="28"/>
        </w:rPr>
        <w:t xml:space="preserve"> de</w:t>
      </w:r>
      <w:r w:rsidRPr="006C01E8">
        <w:rPr>
          <w:b/>
          <w:noProof/>
          <w:sz w:val="28"/>
          <w:szCs w:val="28"/>
        </w:rPr>
        <w:t xml:space="preserve"> 202</w:t>
      </w:r>
      <w:r w:rsidR="00F141AF" w:rsidRPr="006C01E8">
        <w:rPr>
          <w:b/>
          <w:noProof/>
          <w:sz w:val="28"/>
          <w:szCs w:val="28"/>
        </w:rPr>
        <w:t>6</w:t>
      </w:r>
    </w:p>
    <w:p w14:paraId="49E57680" w14:textId="77777777" w:rsidR="003A1F9D" w:rsidRDefault="003A1F9D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</w:p>
    <w:p w14:paraId="0932D711" w14:textId="77777777" w:rsidR="006C01E8" w:rsidRDefault="006C01E8" w:rsidP="00113E6A">
      <w:pPr>
        <w:spacing w:after="167"/>
        <w:ind w:left="1" w:firstLine="0"/>
        <w:jc w:val="center"/>
        <w:rPr>
          <w:noProof/>
          <w:sz w:val="28"/>
          <w:szCs w:val="28"/>
        </w:rPr>
      </w:pPr>
    </w:p>
    <w:p w14:paraId="61E2D24B" w14:textId="77777777" w:rsidR="00242711" w:rsidRPr="00242711" w:rsidRDefault="00242711" w:rsidP="00AF3F54">
      <w:pPr>
        <w:spacing w:before="10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pageBreakBefore/>
        <w:keepNext/>
      </w:pPr>
      <w:r w:rsidRPr="00242711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>1. Ideação do Projeto</w:t>
      </w:r>
    </w:p>
    <w:p>
      <w:pPr>
        <w:keepNext/>
        <w:spacing w:before="200"/>
      </w:pPr>
      <w:r>
        <w:rPr>
          <w:b/>
          <w:sz w:val="22"/>
        </w:rPr>
        <w:t>Problema, público e contexto</w:t>
      </w:r>
    </w:p>
    <w:p>
      <w:pPr>
        <w:widowControl/>
        <w:spacing w:after="160" w:line="276" w:lineRule="auto"/>
      </w:pPr>
      <w:r>
        <w:rPr>
          <w:sz w:val="22"/>
        </w:rPr>
        <w:t>O NutriVibe foi concebido para apoiar a organização da alimentação e a exploração de variedade alimentar, respeitando restrições e seletividade. Na rotina familiar, responsáveis podem encontrar dificuldade para registrar o que foi consumido, reconhecer padrões e apresentar novas possibilidades sem desconsiderar cores, texturas ou alimentos recusados. O projeto reúne essas informações em uma interface acessível pelo navegador.</w:t>
      </w:r>
    </w:p>
    <w:p>
      <w:pPr>
        <w:widowControl/>
        <w:spacing w:after="160" w:line="276" w:lineRule="auto"/>
      </w:pPr>
      <w:r>
        <w:rPr>
          <w:sz w:val="22"/>
        </w:rPr>
        <w:t>O público-alvo previsto são responsáveis e crianças, especialmente famílias que enfrentam seletividade alimentar. O setor impactado é o de educação e promoção da saúde no cotidiano. A identificação desse público orienta o produto; não representa uma população já atendida ou uma pesquisa de campo concluída. O projeto não realiza diagnóstico, tratamento ou prescrição de dieta.</w:t>
      </w:r>
    </w:p>
    <w:p>
      <w:pPr>
        <w:keepNext/>
        <w:spacing w:before="200"/>
      </w:pPr>
      <w:r>
        <w:rPr>
          <w:b/>
          <w:sz w:val="22"/>
        </w:rPr>
        <w:t>Solução e valor entregue</w:t>
      </w:r>
    </w:p>
    <w:p>
      <w:pPr>
        <w:widowControl/>
        <w:spacing w:after="160" w:line="276" w:lineRule="auto"/>
      </w:pPr>
      <w:r>
        <w:rPr>
          <w:sz w:val="22"/>
        </w:rPr>
        <w:t>A solução é composta por uma landing page e um aplicativo Web separado. A primeira apresenta a proposta e recebe contatos com consentimento. O aplicativo permite cadastrar preferências, registrar alimentos por refeição e data, consultar o resumo diário e explorar sugestões compatíveis com o perfil. A foto é uma alternativa de entrada: o usuário confirma ou corrige o alimento, escolhe a referência nutricional e informa o peso antes do cálculo.</w:t>
      </w:r>
    </w:p>
    <w:p>
      <w:pPr>
        <w:widowControl/>
        <w:spacing w:after="160" w:line="276" w:lineRule="auto"/>
      </w:pPr>
      <w:r>
        <w:rPr>
          <w:sz w:val="22"/>
        </w:rPr>
        <w:t>O valor entregue é reduzir a dispersão das informações e tornar o acompanhamento diário compreensível. A recomendação procura ampliar a variedade de grupos alimentares registrados, sem afirmar que a ausência de um grupo demonstra deficiência nutricional. A estimativa de nutrientes apresenta referências e limitações, em vez de deduzir ingredientes ou gramas pela aparência de uma foto.</w:t>
      </w:r>
    </w:p>
    <w:p>
      <w:pPr>
        <w:keepNext/>
        <w:spacing w:before="200"/>
      </w:pPr>
      <w:r>
        <w:rPr>
          <w:b/>
          <w:sz w:val="22"/>
        </w:rPr>
        <w:t>Relação com os Objetivos de Desenvolvimento Sustentável</w:t>
      </w:r>
    </w:p>
    <w:p>
      <w:pPr>
        <w:widowControl/>
        <w:spacing w:after="160" w:line="276" w:lineRule="auto"/>
      </w:pPr>
      <w:r>
        <w:rPr>
          <w:sz w:val="22"/>
        </w:rPr>
        <w:t>O ODS 3 — Saúde e Bem-Estar — relaciona-se ao apoio educativo e à organização de informações alimentares. O ODS 12 — Consumo e Produção Responsáveis — aparece nos conteúdos sobre planejamento e redução de desperdício. Esses vínculos expressam a finalidade da proposta; benefícios clínicos, mudanças de hábito e redução efetiva de desperdício ainda dependem de avaliação com usuários.</w:t>
      </w:r>
    </w:p>
    <w:p>
      <w:pPr>
        <w:keepNext/>
        <w:spacing w:before="200"/>
      </w:pPr>
      <w:r>
        <w:rPr>
          <w:b/>
          <w:sz w:val="22"/>
        </w:rPr>
        <w:t>Viabilidade no semestre</w:t>
      </w:r>
    </w:p>
    <w:p>
      <w:pPr>
        <w:widowControl/>
        <w:spacing w:after="160" w:line="276" w:lineRule="auto"/>
      </w:pPr>
      <w:r>
        <w:rPr>
          <w:sz w:val="22"/>
        </w:rPr>
        <w:t>Conforme informado pela equipe, o projeto começou em agosto de 2026, com implementação do aplicativo concentrada em outubro. A viabilidade foi favorecida pelo uso de HTML, CSS e JavaScript, catálogo delimitado, módulos reutilizáveis e entregas incrementais. O resultado atual inclui publicação na Vercel e persistência de contatos no Neon, mantendo os registros alimentares no navegador.</w:t>
      </w:r>
    </w:p>
    <w:p w14:paraId="3ECE2F34" w14:textId="3131BF02" w:rsidR="00242711" w:rsidRPr="00242711" w:rsidRDefault="00242711" w:rsidP="00AF3F54">
      <w:pPr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keepNext/>
      </w:pPr>
      <w:r w:rsidRPr="00242711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2. Protótipo da Solução</w:t>
      </w:r>
    </w:p>
    <w:p>
      <w:pPr>
        <w:keepNext/>
        <w:spacing w:before="200"/>
      </w:pPr>
      <w:r>
        <w:rPr>
          <w:b/>
          <w:sz w:val="22"/>
        </w:rPr>
        <w:t>Das telas iniciais à interface navegável</w:t>
      </w:r>
    </w:p>
    <w:p>
      <w:pPr>
        <w:widowControl/>
        <w:spacing w:after="160" w:line="276" w:lineRule="auto"/>
      </w:pPr>
      <w:r>
        <w:rPr>
          <w:sz w:val="22"/>
        </w:rPr>
        <w:t>A representação visual evoluiu para páginas implementadas. A landing page concentra apresentação do problema, solução, funcionalidades e formulário. O aplicativo adota uma organização própria de ferramenta: navegação lateral no computador, painel do dia e controles de registro. As cores verde e amarelo identificam a marca; fundos sólidos e hierarquia tipográfica mantêm legibilidade. A logo é utilizada com transparência e margens reduzidas.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929"/>
        <w:gridCol w:w="2929"/>
        <w:gridCol w:w="2929"/>
      </w:tblGrid>
      <w:tr>
        <w:trPr>
          <w:tblHeader/>
          <w:cantSplit/>
        </w:trPr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b/>
                <w:sz w:val="20"/>
              </w:rPr>
              <w:t>Tela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b/>
                <w:sz w:val="20"/>
              </w:rPr>
              <w:t>Interação principal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b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Visão geral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Consultar indicadores e registros de hoje; abrir o diário.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Entender o estado atual sem percorrer todas as páginas.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Preferências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Informar nome, restrições, cores, texturas e alimentos evitados.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Orientar filtros e sugestões de acordo com o perfil.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Diário alimentar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Selecionar dia/refeição; buscar alimento ou usar foto; confirmar peso.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Registrar uma entrada coerente e editável por remoção.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Meu dia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Escolher data e consultar grupos, nutrientes e sugestões.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Acompanhar apenas o dia selecionado e reconhecer dados ausentes.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Aprender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Consultar conteúdos e perguntas frequentes.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Compreender cuidados e limites de uso.</w:t>
            </w:r>
          </w:p>
        </w:tc>
      </w:tr>
    </w:tbl>
    <w:p/>
    <w:p>
      <w:pPr>
        <w:widowControl/>
        <w:spacing w:after="160" w:line="276" w:lineRule="auto"/>
      </w:pPr>
      <w:r>
        <w:rPr>
          <w:sz w:val="22"/>
        </w:rPr>
        <w:t>Fluxo principal: Preferências → Diário alimentar → seleção ou identificação → confirmação de referência e peso → registro → Meu dia. Quando o reconhecimento não oferece resultado aceitável, o usuário informa o alimento pelo catálogo ou por nome. Um prato composto não é convertido automaticamente em ingredientes ou valores nutricionais presumidos.</w:t>
      </w:r>
    </w:p>
    <w:p>
      <w:pPr>
        <w:keepNext/>
      </w:pPr>
      <w:r>
        <w:rPr>
          <w:sz w:val="22"/>
        </w:rPr>
        <w:drawing>
          <wp:inline xmlns:a="http://schemas.openxmlformats.org/drawingml/2006/main" xmlns:pic="http://schemas.openxmlformats.org/drawingml/2006/picture">
            <wp:extent cx="5212080" cy="39294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ao-geral-12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2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sz w:val="18"/>
        </w:rPr>
        <w:t>Figura 1 — Visão geral do aplicativo em 1280 pixels. Captura do fluxo técnico de teste; os dados apresentados pertencem ao cenário de validação.</w:t>
      </w:r>
    </w:p>
    <w:p>
      <w:pPr>
        <w:widowControl/>
        <w:spacing w:after="160" w:line="276" w:lineRule="auto"/>
      </w:pPr>
      <w:r>
        <w:rPr>
          <w:sz w:val="22"/>
        </w:rPr>
        <w:t>As versões móveis também estão documentadas nas capturas visao-geral-360.png e recomendacoes-360.png, na pasta de evidências do projeto. As imagens completas permitem conferir a disposição vertical sem reduzir o conteúdo a uma reprodução ilegível neste relatório.</w:t>
      </w:r>
    </w:p>
    <w:p>
      <w:pPr>
        <w:widowControl/>
        <w:spacing w:after="160" w:line="276" w:lineRule="auto"/>
      </w:pPr>
      <w:r>
        <w:rPr>
          <w:sz w:val="22"/>
        </w:rPr>
        <w:t>A solução foi projetada para Web responsiva. No celular, o menu concentra a navegação e os cartões se reorganizam; no computador, a navegação lateral separa o espaço de trabalho da página de apresentação. As capturas são evidências da interface implementada, não substituem testes de usabilidade com público externo.</w:t>
      </w:r>
    </w:p>
    <w:p w14:paraId="23787103" w14:textId="330C6374" w:rsidR="00317127" w:rsidRPr="00317127" w:rsidRDefault="00000000" w:rsidP="00113E6A">
      <w:pPr>
        <w:spacing w:after="160" w:before="280"/>
        <w:ind w:left="0" w:firstLine="0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keepNext/>
      </w:pPr>
      <w:r w:rsidRPr="00AF3F54">
        <w:rPr>
          <w:sz w:val="32"/>
          <w:szCs w:val="32"/>
        </w:rPr>
        <w:lastRenderedPageBreak/>
        <w:t xml:space="preserve"> </w:t>
      </w:r>
      <w:r w:rsidR="00317127" w:rsidRPr="00317127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3. Planejamento do Projeto</w:t>
      </w:r>
    </w:p>
    <w:p>
      <w:pPr>
        <w:keepNext/>
        <w:spacing w:before="200"/>
      </w:pPr>
      <w:r>
        <w:rPr>
          <w:b/>
          <w:sz w:val="22"/>
        </w:rPr>
        <w:t>Backlog e priorização</w:t>
      </w:r>
    </w:p>
    <w:p>
      <w:pPr>
        <w:widowControl/>
        <w:spacing w:after="160" w:line="276" w:lineRule="auto"/>
      </w:pPr>
      <w:r>
        <w:rPr>
          <w:sz w:val="22"/>
        </w:rPr>
        <w:t>O planejamento utiliza o backlog exportado do Jira, com tarefas TRAB-26 a TRAB-57, preservado em documentacoes/historico/backlog-jira.json. As etapas S1, S2 e S3 organizam incrementos por etiquetas; não há confirmação de sprints nativas criadas na ferramenta. A ordem de implementação considera dependências: estrutura e identidade, preferências, diário, resumo, reconhecimento, integração e validação.</w:t>
      </w:r>
    </w:p>
    <w:p>
      <w:pPr>
        <w:widowControl/>
        <w:spacing w:after="160" w:line="276" w:lineRule="auto"/>
      </w:pPr>
      <w:r>
        <w:rPr>
          <w:sz w:val="22"/>
        </w:rPr>
        <w:t>O escopo acadêmico inicial do backlog previa frontend em HTML, CSS e JavaScript, sem backend e banco obrigatórios. Posteriormente, a solicitação do projeto foi ampliada para publicação, contatos persistentes e análise de fotos. Assim, Node.js e Neon são ampliações da solução entregue, e não requisitos atribuídos retroativamente ao backlog original. O enquadramento dessa ampliação na entrega acadêmica deve ser alinhado com o docente.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929"/>
        <w:gridCol w:w="2929"/>
        <w:gridCol w:w="2929"/>
      </w:tblGrid>
      <w:tr>
        <w:trPr>
          <w:tblHeader/>
          <w:cantSplit/>
        </w:trPr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b/>
                <w:sz w:val="20"/>
              </w:rPr>
              <w:t>Prioridade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b/>
                <w:sz w:val="20"/>
              </w:rPr>
              <w:t>Entrega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b/>
                <w:sz w:val="20"/>
              </w:rPr>
              <w:t>Critério de conclusão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Essencial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Perfil, restrições e persistência.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Preferências salvas e recarregadas; importação inválida rejeitada.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Essencial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Registro por data/refeição e remoção.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Entrada aparece no dia correto e pode ser removida.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Essencial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Resumo e recomendações.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Grupos e registros do dia corretos; conflitos excluídos.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Complementar implementada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Foto e nutrição confirmada.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sz w:val="20"/>
              </w:rPr>
              <w:t>Recusa/correção possíveis; peso e referência validados.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Complementar implementada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Landing page, contatos e publicação.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Consentimento validado e gravação persistente pelo servidor.</w:t>
            </w:r>
          </w:p>
        </w:tc>
      </w:tr>
    </w:tbl>
    <w:p/>
    <w:p>
      <w:pPr>
        <w:keepNext/>
        <w:spacing w:before="200"/>
      </w:pPr>
      <w:r>
        <w:rPr>
          <w:b/>
          <w:sz w:val="22"/>
        </w:rPr>
        <w:t>Responsabilidades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4393"/>
        <w:gridCol w:w="4393"/>
      </w:tblGrid>
      <w:tr>
        <w:trPr>
          <w:tblHeader/>
          <w:cantSplit/>
        </w:trPr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b/>
                <w:sz w:val="20"/>
              </w:rPr>
              <w:t>Frente de trabalho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Paulo Capreti</w:t>
            </w:r>
          </w:p>
        </w:tc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JavaScript e interações do aplicativo.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Davi Pioli</w:t>
            </w:r>
          </w:p>
        </w:tc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HTML e acompanhamento do Kanban.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Victor Almeida</w:t>
            </w:r>
          </w:p>
        </w:tc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CSS, responsividade e identidade visual.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Marcelo Dalbone</w:t>
            </w:r>
          </w:p>
        </w:tc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Pesquisas e apoio à contextualização e aos requisitos.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Akiane Merbach</w:t>
            </w:r>
          </w:p>
        </w:tc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Pesquisas e apoio às referências alimentares e limitações técnicas.</w:t>
            </w:r>
          </w:p>
        </w:tc>
      </w:tr>
    </w:tbl>
    <w:p/>
    <w:p>
      <w:pPr>
        <w:keepNext/>
        <w:spacing w:before="200"/>
      </w:pPr>
      <w:r>
        <w:rPr>
          <w:b/>
          <w:sz w:val="22"/>
        </w:rPr>
        <w:t>Scrum e Kanban</w:t>
      </w:r>
    </w:p>
    <w:p>
      <w:pPr>
        <w:widowControl/>
        <w:spacing w:after="160" w:line="276" w:lineRule="auto"/>
      </w:pPr>
      <w:r>
        <w:rPr>
          <w:sz w:val="22"/>
        </w:rPr>
        <w:t>O Scrum orienta a entrega em incrementos verificáveis, revisão do resultado e adaptação do próximo ciclo. O Kanban torna tarefas, responsáveis e bloqueios visíveis. O quadro abaixo sintetiza o acompanhamento proposto a partir das evidências do repositório; não é uma reprodução dos status atuais do Jira.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929"/>
        <w:gridCol w:w="2929"/>
        <w:gridCol w:w="2929"/>
      </w:tblGrid>
      <w:tr>
        <w:trPr>
          <w:tblHeader/>
          <w:cantSplit/>
        </w:trPr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b/>
                <w:sz w:val="20"/>
              </w:rPr>
              <w:t>A Fazer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b/>
                <w:sz w:val="20"/>
              </w:rPr>
              <w:t>Em Andamento</w:t>
            </w:r>
          </w:p>
        </w:tc>
        <w:tc>
          <w:tcPr>
            <w:tcW w:type="dxa" w:w="2929"/>
          </w:tcPr>
          <w:p>
            <w:pPr>
              <w:keepNext/>
              <w:spacing w:after="80"/>
            </w:pPr>
            <w:r>
              <w:rPr>
                <w:b/>
                <w:sz w:val="20"/>
              </w:rPr>
              <w:t>Concluído tecnicamente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Validação com usuários e profissionais; ampliar fotos e aparelhos de teste.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Revisão do relatório e conferência da apresentação acadêmica.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Fluxo perfil/diário/resumo, reconhecimento com confirmação, contatos e publicação.</w:t>
            </w:r>
          </w:p>
        </w:tc>
      </w:tr>
    </w:tbl>
    <w:p/>
    <w:p>
      <w:pPr>
        <w:widowControl/>
        <w:spacing w:after="160" w:line="276" w:lineRule="auto"/>
      </w:pPr>
      <w:r>
        <w:rPr>
          <w:sz w:val="22"/>
        </w:rPr>
        <w:t>A conclusão de uma tarefa deve exigir código funcional e evidência de verificação. Separar desenvolvimento técnico, revisão documental e avaliação externa evita atribuir a uma funcionalidade pronta um impacto social ainda não medido. As próximas etapas priorizam validação do produto e revisão das limitações antes da expansão do escopo.</w:t>
      </w:r>
    </w:p>
    <w:p w14:paraId="65D1A33C" w14:textId="6694FED4" w:rsidR="00382010" w:rsidRPr="00382010" w:rsidRDefault="00382010" w:rsidP="00AF3F54">
      <w:pPr>
        <w:spacing w:before="28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:sz w:val="32"/>
          <w:szCs w:val="32"/>
          <w14:ligatures w14:val="none"/>
        </w:rPr>
        <w:keepNext/>
      </w:pPr>
      <w:r w:rsidRPr="00382010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4. Levantamento de Requisitos</w:t>
      </w:r>
    </w:p>
    <w:p>
      <w:pPr>
        <w:keepNext/>
        <w:spacing w:before="200"/>
      </w:pPr>
      <w:r>
        <w:rPr>
          <w:b/>
          <w:sz w:val="22"/>
        </w:rPr>
        <w:t>Requisitos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929"/>
        <w:gridCol w:w="2929"/>
        <w:gridCol w:w="2929"/>
      </w:tblGrid>
      <w:tr>
        <w:trPr>
          <w:tblHeader/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b/>
                <w:sz w:val="20"/>
              </w:rPr>
              <w:t>Condição verificável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RF01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Cadastrar perfil e preferências.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Salvar e recuperar restrições, cores, texturas e alimentos evitados.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RF02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Registrar e remover alimentos.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Relacionar entrada a data/refeição e refletir a remoção no diário.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RF03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Pesquisar e filtrar catálogo.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Aceitar busca sem acentos e apresentar estado vazio quando necessário.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RF04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Identificar alimento por foto.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Permitir recusa, confirmação e correção manual.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RF05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Calcular nutrientes.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Exigir referência compatível e peso válido.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RF06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Exibir resumo e sugestões.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Usar o dia selecionado e excluir opções incompatíveis.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RF07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Gerenciar backup local.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Exportar JSON, validar importação e apagar dados mediante confirmação.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RF08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Apresentar conteúdo educativo.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Oferecer orientações e explicar os limites da aplicação.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RF09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Receber contatos na landing page.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Validar nome, e-mail e consentimento antes da persistência.</w:t>
            </w:r>
          </w:p>
        </w:tc>
      </w:tr>
    </w:tbl>
    <w:p/>
    <w:p>
      <w:pPr>
        <w:keepNext/>
        <w:spacing w:before="200"/>
      </w:pPr>
      <w:r>
        <w:rPr>
          <w:b/>
          <w:sz w:val="22"/>
        </w:rPr>
        <w:t>Requisitos não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4393"/>
        <w:gridCol w:w="4393"/>
      </w:tblGrid>
      <w:tr>
        <w:trPr>
          <w:tblHeader/>
          <w:cantSplit/>
        </w:trPr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b/>
                <w:sz w:val="20"/>
              </w:rPr>
              <w:t>Área</w:t>
            </w:r>
          </w:p>
        </w:tc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b/>
                <w:sz w:val="20"/>
              </w:rPr>
              <w:t>Condição adotada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Usabilidade</w:t>
            </w:r>
          </w:p>
        </w:tc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Rótulos, foco visível, mensagens de erro e navegação responsiva.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Segurança</w:t>
            </w:r>
          </w:p>
        </w:tc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Segredos no servidor; validação de origem, corpo e entradas; SQL parametrizado.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Confiabilidade</w:t>
            </w:r>
          </w:p>
        </w:tc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Tratamento de falhas de rede/armazenamento e recusa de identificação incerta.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Rastreabilidade</w:t>
            </w:r>
          </w:p>
        </w:tc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Referências TACO, origem dos modelos e resultados de avaliação documentados.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Compatibilidade</w:t>
            </w:r>
          </w:p>
        </w:tc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Navegador com JavaScript e WebAssembly; Node.js 24 para o servidor.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Privacidade</w:t>
            </w:r>
          </w:p>
        </w:tc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Diário no navegador e separação entre dados alimentares e contatos remotos.</w:t>
            </w:r>
          </w:p>
        </w:tc>
      </w:tr>
    </w:tbl>
    <w:p/>
    <w:p>
      <w:pPr>
        <w:keepNext/>
        <w:spacing w:before="200"/>
      </w:pPr>
      <w:r>
        <w:rPr>
          <w:b/>
          <w:sz w:val="22"/>
        </w:rPr>
        <w:t>Regras de negócio e restrições</w:t>
      </w:r>
    </w:p>
    <w:p>
      <w:pPr>
        <w:widowControl/>
        <w:spacing w:after="160" w:line="276" w:lineRule="auto"/>
      </w:pPr>
      <w:r>
        <w:rPr>
          <w:sz w:val="22"/>
        </w:rPr>
        <w:t>RN01: sugestões consideram somente a data selecionada e não relaxam restrições para completar a lista. RN02: alimentos confirmados e referências nutricionais precisam ser compatíveis. RN03: o peso deve ser numérico, positivo e não superior a 5000 g por registro calculado. RN04: nutriente ausente permanece não informado; ausência não equivale a zero. RN05: contato exige consentimento explícito.</w:t>
      </w:r>
    </w:p>
    <w:p>
      <w:pPr>
        <w:widowControl/>
        <w:spacing w:after="160" w:line="276" w:lineRule="auto"/>
      </w:pPr>
      <w:r>
        <w:rPr>
          <w:sz w:val="22"/>
        </w:rPr>
        <w:t>O catálogo é delimitado, a foto não confirma alergênicos ou ingredientes ocultos e a qualidade varia conforme cena e alimento. Não há autenticação ou sincronização remota do diário. O primeiro reconhecimento requer download volumoso. As recomendações apoiam variedade; não prescrevem quantidades nem diagnosticam deficiências. Esses limites integram os requisitos de transparência da solução.</w:t>
      </w:r>
    </w:p>
    <w:p w14:paraId="5A7BE8A8" w14:textId="77777777" w:rsidR="00317127" w:rsidRPr="00317127" w:rsidRDefault="00317127" w:rsidP="00AF3F54">
      <w:pPr>
        <w:spacing w:before="280" w:beforeAutospacing="1" w:after="100" w:afterAutospacing="1" w:line="240" w:lineRule="auto"/>
        <w:ind w:left="0" w:firstLine="0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keepNext/>
      </w:pPr>
      <w:r w:rsidRPr="00317127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5. Desenvolvimento do Projeto</w:t>
      </w:r>
    </w:p>
    <w:p>
      <w:pPr>
        <w:keepNext/>
        <w:spacing w:before="200"/>
      </w:pPr>
      <w:r>
        <w:rPr>
          <w:b/>
          <w:sz w:val="22"/>
        </w:rPr>
        <w:t>Arquitetura e organização</w:t>
      </w:r>
    </w:p>
    <w:p>
      <w:pPr>
        <w:widowControl/>
        <w:spacing w:after="160" w:line="276" w:lineRule="auto"/>
      </w:pPr>
      <w:r>
        <w:rPr>
          <w:sz w:val="22"/>
        </w:rPr>
        <w:t>O frontend foi desenvolvido com HTML semântico, CSS e JavaScript modular. O backend Node.js atende serviços HTTP; a Vercel hospeda os arquivos públicos e a função serverless. A análise principal de fotos ocorre no navegador com SigLIP quantizado e ONNX Runtime Web. A integração com PostgreSQL/Neon é destinada aos contatos da landing page.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4393"/>
        <w:gridCol w:w="4393"/>
      </w:tblGrid>
      <w:tr>
        <w:trPr>
          <w:tblHeader/>
          <w:cantSplit/>
        </w:trPr>
        <w:tc>
          <w:tcPr>
            <w:tcW w:type="dxa" w:w="4393"/>
          </w:tcPr>
          <w:p>
            <w:pPr>
              <w:spacing w:after="80"/>
            </w:pPr>
            <w:r>
              <w:rPr>
                <w:b/>
                <w:sz w:val="20"/>
              </w:rPr>
              <w:t>Pasta/arquivo</w:t>
            </w:r>
          </w:p>
        </w:tc>
        <w:tc>
          <w:tcPr>
            <w:tcW w:type="dxa" w:w="4393"/>
          </w:tcPr>
          <w:p>
            <w:pPr>
              <w:spacing w:after="80"/>
            </w:pPr>
            <w:r>
              <w:rPr>
                <w:b/>
                <w:sz w:val="20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html e css</w:t>
            </w:r>
          </w:p>
        </w:tc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Páginas e estilos separados para landing page e aplicativo.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javascript/aplicativo/app.js</w:t>
            </w:r>
          </w:p>
        </w:tc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Eventos, renderização, estado e integração dos fluxos.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engine.js e store.js</w:t>
            </w:r>
          </w:p>
        </w:tc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Regras de recomendação; validação e persistência local.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nutrition.js e dados/nutricao.js</w:t>
            </w:r>
          </w:p>
        </w:tc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Cálculo proporcional e referências TACO.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vision-local-entry.js e vision-semantic-policy.js</w:t>
            </w:r>
          </w:p>
        </w:tc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Execução visual local, ranking, limiares e recusa.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servidor e api/index.mjs</w:t>
            </w:r>
          </w:p>
        </w:tc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Handler HTTP, contatos e adaptação serverless.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ferramentas, testes e documentacoes</w:t>
            </w:r>
          </w:p>
        </w:tc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Preparação de artefatos, verificações e evidências.</w:t>
            </w:r>
          </w:p>
        </w:tc>
      </w:tr>
    </w:tbl>
    <w:p/>
    <w:p>
      <w:pPr>
        <w:keepNext/>
        <w:spacing w:before="200"/>
      </w:pPr>
      <w:r>
        <w:rPr>
          <w:b/>
          <w:sz w:val="22"/>
        </w:rPr>
        <w:t>Funcionamento do JavaScript</w:t>
      </w:r>
    </w:p>
    <w:p>
      <w:pPr>
        <w:widowControl/>
        <w:spacing w:after="160" w:line="276" w:lineRule="auto"/>
      </w:pPr>
      <w:r>
        <w:rPr>
          <w:sz w:val="22"/>
        </w:rPr>
        <w:t>Trecho de javascript/aplicativo/engine.js, linhas 29–31:</w:t>
      </w:r>
    </w:p>
    <w:p>
      <w:r>
        <w:rPr>
          <w:rFonts w:ascii="Consolas" w:hAnsi="Consolas"/>
          <w:sz w:val="18"/>
        </w:rPr>
        <w:t xml:space="preserve">  return records.filter((r) =&gt; r.date === date);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export function recommend(records, profile, date) {</w:t>
      </w:r>
    </w:p>
    <w:p>
      <w:pPr>
        <w:widowControl/>
        <w:spacing w:after="160" w:line="276" w:lineRule="auto"/>
      </w:pPr>
      <w:r>
        <w:rPr>
          <w:sz w:val="22"/>
        </w:rPr>
        <w:t>O filtro isola a data solicitada antes de produzir totais e sugestões. A recomendação elimina incompatibilidades e alimentos já consumidos; prioriza grupos ausentes e considera preferências. Os módulos separam regras da tela, permitindo testes sem depender de clique manual para cada cenário.</w:t>
      </w:r>
    </w:p>
    <w:p>
      <w:pPr>
        <w:widowControl/>
        <w:spacing w:after="160" w:line="276" w:lineRule="auto"/>
      </w:pPr>
      <w:r>
        <w:rPr>
          <w:sz w:val="22"/>
        </w:rPr>
        <w:t>Trecho de javascript/aplicativo/store.js, linhas 79–82:</w:t>
      </w:r>
    </w:p>
    <w:p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  <w:t>export function persist(state) {</w:t>
      </w:r>
      <w:r>
        <w:rPr>
          <w:rFonts w:ascii="Consolas" w:hAnsi="Consolas"/>
          <w:sz w:val="18"/>
        </w:rPr>
        <w:br/>
        <w:t xml:space="preserve">  localStorage.setItem(KEY, JSON.stringify(validState(state)));</w:t>
      </w:r>
      <w:r>
        <w:rPr>
          <w:rFonts w:ascii="Consolas" w:hAnsi="Consolas"/>
          <w:sz w:val="18"/>
        </w:rPr>
        <w:br/>
        <w:t>}</w:t>
      </w:r>
    </w:p>
    <w:p>
      <w:pPr>
        <w:widowControl/>
        <w:spacing w:after="160" w:line="276" w:lineRule="auto"/>
      </w:pPr>
      <w:r>
        <w:rPr>
          <w:sz w:val="22"/>
        </w:rPr>
        <w:t>O estado é validado, convertido em JSON e salvo na chave nutrivibe-v2 do localStorage. A importação exige estrutura válida e rejeita registros inconsistentes. A tela só sinaliza sucesso depois da persistência; em erro de leitura, o código evita sobrescrever dados que não conseguiu recuperar.</w:t>
      </w:r>
    </w:p>
    <w:p>
      <w:pPr>
        <w:keepNext/>
        <w:spacing w:before="200"/>
      </w:pPr>
      <w:r>
        <w:rPr>
          <w:b/>
          <w:sz w:val="22"/>
        </w:rPr>
        <w:t>Reconhecimento e estimativa nutricional</w:t>
      </w:r>
    </w:p>
    <w:p>
      <w:pPr>
        <w:widowControl/>
        <w:spacing w:after="160" w:line="276" w:lineRule="auto"/>
      </w:pPr>
      <w:r>
        <w:rPr>
          <w:sz w:val="22"/>
        </w:rPr>
        <w:t>O modelo transforma a imagem em um vetor visual e compara sua similaridade com classes de alimentos, pratos e controles negativos. Limiares de score e margem podem levar à recusa e à entrada manual. O resultado é uma hipótese a confirmar, não uma probabilidade clínica. O cálculo nutricional é posterior: o usuário confirma referência TACO e gramas.</w:t>
      </w:r>
    </w:p>
    <w:p>
      <w:pPr>
        <w:widowControl/>
        <w:spacing w:after="160" w:line="276" w:lineRule="auto"/>
      </w:pPr>
      <w:r>
        <w:rPr>
          <w:sz w:val="22"/>
        </w:rPr>
        <w:t>A regra de cálculo é valor consumido = valor da referência × gramas informadas ÷ gramas-base. Por exemplo, 150 g representam 1,5 vez uma referência expressa por 100 g. O recorte utilizado contém 43 referências com preparo e proveniência. Dados ausentes permanecem nulos e o resumo informa cobertura parcial.</w:t>
      </w:r>
    </w:p>
    <w:p>
      <w:pPr>
        <w:keepNext/>
        <w:spacing w:before="200"/>
      </w:pPr>
      <w:r>
        <w:rPr>
          <w:b/>
          <w:sz w:val="22"/>
        </w:rPr>
        <w:t>Backend, API e modelagem do banco</w:t>
      </w:r>
    </w:p>
    <w:p>
      <w:pPr>
        <w:widowControl/>
        <w:spacing w:after="160" w:line="276" w:lineRule="auto"/>
      </w:pPr>
      <w:r>
        <w:rPr>
          <w:sz w:val="22"/>
        </w:rPr>
        <w:t>GET /api/status informa disponibilidade dos serviços. POST /api/contacts valida e grava nome, e-mail e consentimento. POST /api/identify mantém o adaptador remoto opcional; a configuração atual browser-local executa a identificação no aparelho. OpenAI e Vercel AI Gateway são alternativas dependentes de credenciais/créditos, não o motor gratuito atual.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4393"/>
        <w:gridCol w:w="4393"/>
      </w:tblGrid>
      <w:tr>
        <w:trPr>
          <w:tblHeader/>
          <w:cantSplit/>
        </w:trPr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b/>
                <w:sz w:val="20"/>
              </w:rPr>
              <w:t>Campo de contacts</w:t>
            </w:r>
          </w:p>
        </w:tc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b/>
                <w:sz w:val="20"/>
              </w:rPr>
              <w:t>Tipo e regra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email</w:t>
            </w:r>
          </w:p>
        </w:tc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TEXT, chave primária; identifica contato sem duplicar a mesma chave.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name</w:t>
            </w:r>
          </w:p>
        </w:tc>
        <w:tc>
          <w:tcPr>
            <w:tcW w:type="dxa" w:w="4393"/>
          </w:tcPr>
          <w:p>
            <w:pPr>
              <w:keepNext/>
              <w:spacing w:after="80"/>
            </w:pPr>
            <w:r>
              <w:rPr>
                <w:sz w:val="20"/>
              </w:rPr>
              <w:t>TEXT NOT NULL; nome validado pelo servidor.</w:t>
            </w:r>
          </w:p>
        </w:tc>
      </w:tr>
      <w:tr>
        <w:trPr>
          <w:cantSplit/>
        </w:trPr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consent_at</w:t>
            </w:r>
          </w:p>
        </w:tc>
        <w:tc>
          <w:tcPr>
            <w:tcW w:type="dxa" w:w="4393"/>
          </w:tcPr>
          <w:p>
            <w:pPr>
              <w:spacing w:after="80"/>
            </w:pPr>
            <w:r>
              <w:rPr>
                <w:sz w:val="20"/>
              </w:rPr>
              <w:t>TEXT NOT NULL; data/hora ISO do consentimento registrada pelo servidor.</w:t>
            </w:r>
          </w:p>
        </w:tc>
      </w:tr>
    </w:tbl>
    <w:p/>
    <w:p>
      <w:pPr>
        <w:widowControl/>
        <w:spacing w:after="160" w:line="276" w:lineRule="auto"/>
      </w:pPr>
      <w:r>
        <w:rPr>
          <w:sz w:val="22"/>
        </w:rPr>
        <w:t>A gravação utiliza parâmetros SQL e atualiza o contato quando o e-mail já existe. Na nuvem, a conexão é obtida do ambiente e aponta para o banco separado nutrivibe-production. Sem PostgreSQL, o modo local utiliza SQLite. O diário e as preferências não são gravados nessa tabela: permanecem no navegador. Credenciais não integram arquivos públicos ou documentos de entrega.</w:t>
      </w:r>
    </w:p>
    <w:p>
      <w:pPr>
        <w:widowControl/>
        <w:spacing w:after="160" w:line="276" w:lineRule="auto"/>
      </w:pPr>
      <w:r>
        <w:rPr>
          <w:sz w:val="22"/>
        </w:rPr>
        <w:t>Foram concluídos os fluxos de perfil, catálogo, diário, resumo, backup, educação, contato e reconhecimento confirmado. As telas foram diferenciadas visualmente e publicadas. Contas, sincronização, gamificação completa e avaliação externa permanecem como evoluções, sem serem apresentadas como funcionalidades entregues.</w:t>
      </w:r>
    </w:p>
    <w:p w14:paraId="5FC6C824" w14:textId="77777777" w:rsidR="003D6F4A" w:rsidRPr="003D6F4A" w:rsidRDefault="003D6F4A" w:rsidP="00AF3F54">
      <w:pPr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keepNext/>
      </w:pPr>
      <w:r w:rsidRPr="003D6F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6. Testes</w:t>
      </w:r>
    </w:p>
    <w:p>
      <w:pPr>
        <w:keepNext/>
        <w:spacing w:before="200"/>
      </w:pPr>
      <w:r>
        <w:rPr>
          <w:b/>
          <w:sz w:val="22"/>
        </w:rPr>
        <w:t>Estratégia de validação</w:t>
      </w:r>
    </w:p>
    <w:p>
      <w:pPr>
        <w:widowControl/>
        <w:spacing w:after="160" w:line="276" w:lineRule="auto"/>
      </w:pPr>
      <w:r>
        <w:rPr>
          <w:sz w:val="22"/>
        </w:rPr>
        <w:t>A validação combina testes automatizados das regras, integração do servidor, fluxo ponta a ponta e avaliação comparativa de reconhecimento. A finalidade é verificar comportamento esperado, identificar entradas inválidas e registrar limites. As evidências de execução pertencem às revisões técnicas já realizadas; não constituem pesquisa com usuários externos.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929"/>
        <w:gridCol w:w="2929"/>
        <w:gridCol w:w="2929"/>
      </w:tblGrid>
      <w:tr>
        <w:trPr>
          <w:tblHeader/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b/>
                <w:sz w:val="20"/>
              </w:rPr>
              <w:t>Tipo e caso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b/>
                <w:sz w:val="20"/>
              </w:rPr>
              <w:t>Finalidade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b/>
                <w:sz w:val="20"/>
              </w:rPr>
              <w:t>Resultado registrado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Regras: lactose, cor verde e outros filtros.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Impedir sugestões incompatíveis e não relaxar restrições.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Cenários automatizados aprovados.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Nutrição: referência, peso e ausências.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Validar proporcionalidade e evitar zero para valor desconhecido.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Cálculos e rejeições previstos aprovados.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Persistência e importação JSON.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Preservar estado e rejeitar estrutura/registros inválidos.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Validação e fluxos de backup aprovados.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Integração: handler e banco.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Conferir roteamento, SQL parametrizado e ausência de fallback efêmero em nuvem.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Testes de integração aprovados.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Chromium: registro e resumo.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Confirmar dados após recarga, remoção, foto e cálculo.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Fluxo ponta a ponta aprovado.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Interface: 360, 768 e 1280 pixels.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Verificar navegação, links locais e transbordamento.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Cinco telas verificadas sem transbordamento nos cenários.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Reconhecimento: fotos e controles negativos.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Medir erros, recusas e diferenças entre alternativas.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SigLIP selecionado; limitações registradas.</w:t>
            </w:r>
          </w:p>
        </w:tc>
      </w:tr>
    </w:tbl>
    <w:p/>
    <w:p>
      <w:pPr>
        <w:widowControl/>
        <w:spacing w:after="160" w:line="276" w:lineRule="auto"/>
      </w:pPr>
      <w:r>
        <w:rPr>
          <w:sz w:val="22"/>
        </w:rPr>
        <w:t>A suíte Node.js registrou 25 testes aprovados. O fluxo Chromium também verificou contatos, preferências, busca, importação/exportação e menu móvel. Um caso concreto registra Banana com referência TACO e 100 g, recarrega a página e confere a presença no diário e o valor de 98,2 kcal no resumo. Outro caso busca por texto sem acento, verificando a recuperação de Maçã.</w:t>
      </w:r>
    </w:p>
    <w:p>
      <w:pPr>
        <w:keepNext/>
        <w:spacing w:before="200"/>
      </w:pPr>
      <w:r>
        <w:rPr>
          <w:b/>
          <w:sz w:val="22"/>
        </w:rPr>
        <w:t>Avaliação de fotos e correções</w:t>
      </w:r>
    </w:p>
    <w:p>
      <w:pPr>
        <w:widowControl/>
        <w:spacing w:after="160" w:line="276" w:lineRule="auto"/>
      </w:pPr>
      <w:r>
        <w:rPr>
          <w:sz w:val="22"/>
        </w:rPr>
        <w:t>Foram comparados MobileNet, CLIP e SigLIP. Para o modelo selecionado, a avaliação documentada reuniu 148 imagens: 108 fotos de alimentos/pratos e 40 controles negativos. Houve 94 acertos do alimento/prato principal entre as 108 fotos de comida, aproximadamente 87%; na coleta adicional de 50 fotos de comida, houve 40 acertos, ou 80%. São resultados de amostra, sem garantia de acerto em fotos novas.</w:t>
      </w:r>
    </w:p>
    <w:p>
      <w:pPr>
        <w:widowControl/>
        <w:spacing w:after="160" w:line="276" w:lineRule="auto"/>
      </w:pPr>
      <w:r>
        <w:rPr>
          <w:sz w:val="22"/>
        </w:rPr>
        <w:t>Os erros incluíram plantas e folhas confundidas com comida. As correções adotadas foram recusa por classe negativa/score/margem, confirmação obrigatória e correção manual. Pratos compostos não recebem ingredientes ou nutrientes presumidos. Valores sem referência continuam ausentes. O diário permanece utilizável pelo catálogo quando a foto falha.</w:t>
      </w:r>
    </w:p>
    <w:p>
      <w:pPr>
        <w:widowControl/>
        <w:spacing w:after="160" w:line="276" w:lineRule="auto"/>
      </w:pPr>
      <w:r>
        <w:rPr>
          <w:sz w:val="22"/>
        </w:rPr>
        <w:t>Os scripts estão em testes/; as capturas, em documentacoes/evidencias/; os manifestos, fontes e resultados por imagem, em documentacoes/avaliacao-imagens/. Não foi documentada uma avaliação de usabilidade com comunidade externa. A validação técnica não comprova aceitação, impacto clínico ou mudança de hábitos.</w:t>
      </w:r>
    </w:p>
    <w:p w14:paraId="301DB636" w14:textId="053D911A" w:rsidR="00317127" w:rsidRPr="00317127" w:rsidRDefault="00317127" w:rsidP="00AF3F54">
      <w:pPr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keepNext/>
      </w:pPr>
      <w:r w:rsidRPr="00317127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7. Implantação</w:t>
      </w:r>
    </w:p>
    <w:p>
      <w:pPr>
        <w:keepNext/>
        <w:spacing w:before="200"/>
      </w:pPr>
      <w:r>
        <w:rPr>
          <w:b/>
          <w:sz w:val="22"/>
        </w:rPr>
        <w:t>Acesso à versão publicada</w:t>
      </w:r>
    </w:p>
    <w:p>
      <w:pPr>
        <w:widowControl/>
        <w:spacing w:after="160" w:line="276" w:lineRule="auto"/>
      </w:pPr>
      <w:r>
        <w:rPr>
          <w:sz w:val="22"/>
        </w:rPr>
        <w:t>Landing page: https://nutrivibe-gamma.vercel.app . Aplicativo: https://nutrivibe-gamma.vercel.app/app . A implantação foi realizada na Vercel, com serviços de contato persistidos em Neon. A disponibilidade depende da conectividade e dos serviços utilizados; não foi definido acordo de nível de serviço.</w:t>
      </w:r>
    </w:p>
    <w:p>
      <w:pPr>
        <w:keepNext/>
        <w:spacing w:before="200"/>
      </w:pPr>
      <w:r>
        <w:rPr>
          <w:b/>
          <w:sz w:val="22"/>
        </w:rPr>
        <w:t>Execução local</w:t>
      </w:r>
    </w:p>
    <w:p>
      <w:pPr>
        <w:widowControl/>
        <w:spacing w:after="160" w:line="276" w:lineRule="auto"/>
      </w:pPr>
      <w:r>
        <w:rPr>
          <w:sz w:val="22"/>
        </w:rPr>
        <w:t>Pré-requisitos: Node.js 24, npm e navegador atualizado com JavaScript e WebAssembly. Na raiz do repositório, executar os comandos abaixo. O build prepara recursos públicos e verifica/prepara os artefatos do reconhecimento; em máquina nova, requer internet para instalação e download.</w:t>
      </w:r>
    </w:p>
    <w:p>
      <w:pPr>
        <w:widowControl/>
        <w:spacing w:after="160" w:line="276" w:lineRule="auto"/>
      </w:pPr>
      <w:r>
        <w:rPr>
          <w:sz w:val="22"/>
        </w:rPr>
        <w:t>npm ci — Instala as versões fixadas no package-lock.json.</w:t>
      </w:r>
    </w:p>
    <w:p>
      <w:pPr>
        <w:widowControl/>
        <w:spacing w:after="160" w:line="276" w:lineRule="auto"/>
      </w:pPr>
      <w:r>
        <w:rPr>
          <w:sz w:val="22"/>
        </w:rPr>
        <w:t>npm run build — Prepara public, o modelo e o bundle visual.</w:t>
      </w:r>
    </w:p>
    <w:p>
      <w:pPr>
        <w:widowControl/>
        <w:spacing w:after="160" w:line="276" w:lineRule="auto"/>
      </w:pPr>
      <w:r>
        <w:rPr>
          <w:sz w:val="22"/>
        </w:rPr>
        <w:t>npm test — Executa a suíte automatizada Node.js.</w:t>
      </w:r>
    </w:p>
    <w:p>
      <w:pPr>
        <w:widowControl/>
        <w:spacing w:after="160" w:line="276" w:lineRule="auto"/>
      </w:pPr>
      <w:r>
        <w:rPr>
          <w:sz w:val="22"/>
        </w:rPr>
        <w:t>npm start — Inicia o servidor local na porta padrão 8080.</w:t>
      </w:r>
    </w:p>
    <w:p>
      <w:pPr>
        <w:widowControl/>
        <w:spacing w:after="160" w:line="276" w:lineRule="auto"/>
      </w:pPr>
      <w:r>
        <w:rPr>
          <w:sz w:val="22"/>
        </w:rPr>
        <w:t>Abrir http://localhost:8080 para a apresentação e http://localhost:8080/html/aplicativo/index.html para o aplicativo. O uso por file:// não é adequado, pois módulos, fetch e caminhos de modelo dependem de um servidor HTTP.</w:t>
      </w:r>
    </w:p>
    <w:p>
      <w:pPr>
        <w:keepNext/>
        <w:spacing w:before="200"/>
      </w:pPr>
      <w:r>
        <w:rPr>
          <w:b/>
          <w:sz w:val="22"/>
        </w:rPr>
        <w:t>Configuração e requisitos operacionais</w:t>
      </w:r>
    </w:p>
    <w:p>
      <w:pPr>
        <w:widowControl/>
        <w:spacing w:after="160" w:line="276" w:lineRule="auto"/>
      </w:pPr>
      <w:r>
        <w:rPr>
          <w:sz w:val="22"/>
        </w:rPr>
        <w:t>NUTRIVIBE_VISION_PROVIDER=browser-local seleciona o reconhecimento local. POSTGRES_URL ou DATABASE_URL define a conexão PostgreSQL. As variáveis são configuradas no ambiente do processo/provedor; não há carregamento automático de arquivo .env pelo código atual. Sem banco remoto, o servidor local usa SQLite; na nuvem, a ausência de persistência configurada não é substituída por arquivo temporário.</w:t>
      </w:r>
    </w:p>
    <w:p>
      <w:pPr>
        <w:widowControl/>
        <w:spacing w:after="160" w:line="276" w:lineRule="auto"/>
      </w:pPr>
      <w:r>
        <w:rPr>
          <w:sz w:val="22"/>
        </w:rPr>
        <w:t>Na Vercel, o build gera public e api/index.mjs exporta o handler serverless. vercel.json define redirecionamentos, rotas, cache dos modelos e cabeçalhos. O primeiro reconhecimento exige aproximadamente 112 MB; as fotos são processadas no aparelho nesse modo. O usuário deve manter backup do diário se pretende limpar o navegador ou trocar de dispositivo.</w:t>
      </w:r>
    </w:p>
    <w:p w14:paraId="6E8BC6BA" w14:textId="77777777" w:rsidR="00442295" w:rsidRPr="00442295" w:rsidRDefault="00442295" w:rsidP="00442295">
      <w:pPr>
        <w:spacing w:before="280" w:beforeAutospacing="1" w:after="100" w:afterAutospacing="1" w:line="240" w:lineRule="auto"/>
        <w:ind w:left="0" w:firstLine="0"/>
        <w:jc w:val="left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keepNext/>
      </w:pPr>
      <w:r w:rsidRPr="00442295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8. Manutenção / Evoluções Futuras</w:t>
      </w:r>
    </w:p>
    <w:p>
      <w:pPr>
        <w:keepNext/>
        <w:spacing w:before="200"/>
      </w:pPr>
      <w:r>
        <w:rPr>
          <w:b/>
          <w:sz w:val="22"/>
        </w:rPr>
        <w:t>Limitações e prioridades de evolução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929"/>
        <w:gridCol w:w="2929"/>
        <w:gridCol w:w="2929"/>
      </w:tblGrid>
      <w:tr>
        <w:trPr>
          <w:tblHeader/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b/>
                <w:sz w:val="20"/>
              </w:rPr>
              <w:t>Prioridade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b/>
                <w:sz w:val="20"/>
              </w:rPr>
              <w:t>Evolução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b/>
                <w:sz w:val="20"/>
              </w:rPr>
              <w:t>Motivo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Alta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Avaliação com responsáveis, profissionais e docente.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Validar necessidades, linguagem, utilidade e limites do produto.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Alta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Fotos mais variadas e celulares reais.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Ampliar cobertura e medir falsos positivos, latência e consumo de memória.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Alta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Revisão de acessibilidade.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Verificar teclado, contraste e tecnologias assistivas além das checagens atuais.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Média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Redução do primeiro download.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Melhorar uso em conexões lentas e aparelhos com menos recursos.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Média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Ampliação de catálogo e preparações.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Atender situações reais sem atribuir nutrientes sem referência.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Planejada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Contas e sincronização.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Exigir autenticação, autorização, retenção e desenho de privacidade antes de persistir o diário remotamente.</w:t>
            </w:r>
          </w:p>
        </w:tc>
      </w:tr>
      <w:tr>
        <w:trPr>
          <w:cantSplit/>
        </w:trPr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Planejada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Gamificação e novos conteúdos.</w:t>
            </w:r>
          </w:p>
        </w:tc>
        <w:tc>
          <w:tcPr>
            <w:tcW w:type="dxa" w:w="2929"/>
          </w:tcPr>
          <w:p>
            <w:pPr>
              <w:spacing w:after="80"/>
            </w:pPr>
            <w:r>
              <w:rPr>
                <w:sz w:val="20"/>
              </w:rPr>
              <w:t>Introduzir recursos educativos após validação de adequação ao público.</w:t>
            </w:r>
          </w:p>
        </w:tc>
      </w:tr>
    </w:tbl>
    <w:p/>
    <w:p>
      <w:pPr>
        <w:widowControl/>
        <w:spacing w:after="160" w:line="276" w:lineRule="auto"/>
      </w:pPr>
      <w:r>
        <w:rPr>
          <w:sz w:val="22"/>
        </w:rPr>
        <w:t>O reconhecimento não deve ser usado para garantir ausência de alergênicos ou identificar peso. Uma futura mudança de provedor exige comparação por qualidade, custo e privacidade. O limitador da API atual usa memória do processo: em infraestrutura serverless com múltiplas instâncias, um controle distribuído será necessário para uma política global de limitação.</w:t>
      </w:r>
    </w:p>
    <w:p>
      <w:pPr>
        <w:widowControl/>
        <w:spacing w:after="160" w:line="276" w:lineRule="auto"/>
      </w:pPr>
      <w:r>
        <w:rPr>
          <w:sz w:val="22"/>
        </w:rPr>
        <w:t>As evoluções devem manter correção manual, validação de entradas e rastreabilidade das fontes. A expansão do escopo não deve eliminar os cuidados que tornaram os resultados verificáveis: referência explícita, distinção entre hipótese e confirmação e comunicação de dados ausentes.</w:t>
      </w:r>
    </w:p>
    <w:p w14:paraId="6A2F57EE" w14:textId="77777777" w:rsidR="003D6F4A" w:rsidRPr="003D6F4A" w:rsidRDefault="003D6F4A" w:rsidP="00AF3F54">
      <w:pPr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keepNext/>
      </w:pPr>
      <w:r w:rsidRPr="003D6F4A"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9. Considerações Finais</w:t>
      </w:r>
    </w:p>
    <w:p>
      <w:pPr>
        <w:widowControl/>
        <w:spacing w:after="160" w:line="276" w:lineRule="auto"/>
      </w:pPr>
      <w:r>
        <w:rPr>
          <w:sz w:val="22"/>
        </w:rPr>
        <w:t>O NutriVibe evoluiu de uma proposta de educação alimentar para uma solução Web navegável, com apresentação e aplicativo separados. O produto organiza preferências, registros, resumo e sugestões em um fluxo coerente e oferece foto como apoio à entrada de dados, sem transformar reconhecimento visual em garantia de composição nutricional.</w:t>
      </w:r>
    </w:p>
    <w:p>
      <w:pPr>
        <w:widowControl/>
        <w:spacing w:after="160" w:line="276" w:lineRule="auto"/>
      </w:pPr>
      <w:r>
        <w:rPr>
          <w:sz w:val="22"/>
        </w:rPr>
        <w:t>Os principais resultados técnicos são o fluxo completo de perfil e diário, o cálculo proporcional com referências TACO, o backup local, o cadastro consentido de contatos no Neon, a publicação na Vercel e a seleção de um modelo após comparação documentada. Testes automatizados e no navegador forneceram evidências de funcionamento e revelaram limites incorporados ao tratamento de erros e à confirmação manual.</w:t>
      </w:r>
    </w:p>
    <w:p>
      <w:pPr>
        <w:widowControl/>
        <w:spacing w:after="160" w:line="276" w:lineRule="auto"/>
      </w:pPr>
      <w:r>
        <w:rPr>
          <w:sz w:val="22"/>
        </w:rPr>
        <w:t>A contribuição pretendida é facilitar a organização da rotina e o acesso a orientações de apoio, com respeito às preferências. O projeto não apresenta como concluídas melhorias clínicas, mudanças de hábitos ou impactos comunitários sem avaliação. O próximo passo é aproximar a solução dos usuários e profissionais para testar a utilidade real e orientar sua continuidade.</w:t>
      </w:r>
    </w:p>
    <w:p>
      <w:pPr>
        <w:widowControl/>
        <w:spacing w:after="160" w:line="276" w:lineRule="auto"/>
      </w:pPr>
      <w:r>
        <w:rPr>
          <w:sz w:val="22"/>
        </w:rPr>
        <w:t>Para o grupo, a experiência articula programação, estruturação de páginas, identidade visual, gestão de tarefas, pesquisa e análise crítica de resultados. A separação de responsabilidades favorece a colaboração, mas a qualidade depende da integração entre essas frentes. O repositório e as evidências permitem revisar decisões e distinguir o que foi implementado do que ainda precisa ser validado.</w:t>
      </w:r>
    </w:p>
    <w:p>
      <w:pPr>
        <w:keepNext/>
        <w:spacing w:before="200"/>
      </w:pPr>
      <w:r>
        <w:rPr>
          <w:b/>
          <w:sz w:val="22"/>
        </w:rPr>
        <w:t>Fontes e evidências do projeto</w:t>
      </w:r>
    </w:p>
    <w:p>
      <w:pPr>
        <w:widowControl/>
        <w:spacing w:after="160" w:line="276" w:lineRule="auto"/>
      </w:pPr>
      <w:r>
        <w:rPr>
          <w:sz w:val="22"/>
        </w:rPr>
        <w:t>Repositório: https://github.com/huezinho/projeto . Backlog fornecido: documentacoes/historico/backlog-jira.json. Documento anterior: documentacoes/segunda-entrega/trabalho.pdf. Detalhamento técnico: documentacoes/implementacao.md e documentacoes/nutricao.md. Avaliação visual: documentacoes/avaliacao-imagens/README.md. Capturas: documentacoes/evidencias/. Os caminhos são relativos à pasta NutriVibe do repositório.</w:t>
      </w:r>
    </w:p>
    <w:sectPr w:rsidR="00317127" w:rsidRPr="00317127" w:rsidSect="00A21D2D">
      <w:headerReference w:type="default" r:id="rId8"/>
      <w:pgSz w:w="11906" w:h="16838" w:code="9"/>
      <w:pgMar w:top="1418" w:right="1418" w:bottom="1418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E9996" w14:textId="77777777" w:rsidR="00AD30D4" w:rsidRDefault="00AD30D4" w:rsidP="00A21D2D">
      <w:pPr>
        <w:spacing w:line="240" w:lineRule="auto"/>
      </w:pPr>
      <w:r>
        <w:separator/>
      </w:r>
    </w:p>
  </w:endnote>
  <w:endnote w:type="continuationSeparator" w:id="0">
    <w:p w14:paraId="5B3EF695" w14:textId="77777777" w:rsidR="00AD30D4" w:rsidRDefault="00AD30D4" w:rsidP="00A21D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EE6D0" w14:textId="77777777" w:rsidR="00AD30D4" w:rsidRDefault="00AD30D4" w:rsidP="00A21D2D">
      <w:pPr>
        <w:spacing w:line="240" w:lineRule="auto"/>
      </w:pPr>
      <w:r>
        <w:separator/>
      </w:r>
    </w:p>
  </w:footnote>
  <w:footnote w:type="continuationSeparator" w:id="0">
    <w:p w14:paraId="65D027AF" w14:textId="77777777" w:rsidR="00AD30D4" w:rsidRDefault="00AD30D4" w:rsidP="00A21D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C159" w14:textId="7CF8F859" w:rsidR="00A21D2D" w:rsidRDefault="00A21D2D" w:rsidP="00A21D2D">
    <w:pPr>
      <w:pStyle w:val="Cabealho"/>
      <w:jc w:val="right"/>
    </w:pPr>
    <w:r>
      <w:rPr>
        <w:noProof/>
      </w:rPr>
      <w:drawing>
        <wp:inline distT="0" distB="0" distL="0" distR="0" wp14:anchorId="765C7653" wp14:editId="54344211">
          <wp:extent cx="899160" cy="561975"/>
          <wp:effectExtent l="0" t="0" r="0" b="0"/>
          <wp:docPr id="1132746087" name="Picture 1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Picture 1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160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BD9"/>
    <w:multiLevelType w:val="hybridMultilevel"/>
    <w:tmpl w:val="50D2EBDE"/>
    <w:lvl w:ilvl="0" w:tplc="2E4C5F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A9F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079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F482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364B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C408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EC5D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AA10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70F8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E6566C"/>
    <w:multiLevelType w:val="multilevel"/>
    <w:tmpl w:val="8A4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B2AAD"/>
    <w:multiLevelType w:val="multilevel"/>
    <w:tmpl w:val="DF6C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F4D43"/>
    <w:multiLevelType w:val="hybridMultilevel"/>
    <w:tmpl w:val="7C82059A"/>
    <w:lvl w:ilvl="0" w:tplc="617C49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FA0A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32BF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60AF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128A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B84E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683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3A77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7434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1C4F92"/>
    <w:multiLevelType w:val="multilevel"/>
    <w:tmpl w:val="A93AC6D0"/>
    <w:lvl w:ilvl="0">
      <w:start w:val="1"/>
      <w:numFmt w:val="decimal"/>
      <w:pStyle w:val="Ttulo1"/>
      <w:lvlText w:val="%1."/>
      <w:lvlJc w:val="left"/>
      <w:pPr>
        <w:ind w:left="41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41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51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9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66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73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8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7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95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CC6A51"/>
    <w:multiLevelType w:val="multilevel"/>
    <w:tmpl w:val="FB6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756DB"/>
    <w:multiLevelType w:val="multilevel"/>
    <w:tmpl w:val="968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61882"/>
    <w:multiLevelType w:val="hybridMultilevel"/>
    <w:tmpl w:val="B8E48B40"/>
    <w:lvl w:ilvl="0" w:tplc="BBA8B5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0EB8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1AAF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2232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62E5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3418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460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4C95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986C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CC6B36"/>
    <w:multiLevelType w:val="hybridMultilevel"/>
    <w:tmpl w:val="8CD40BB6"/>
    <w:lvl w:ilvl="0" w:tplc="A694FD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6AA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5A97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4F8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E4B8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8C4E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8A78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24A7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D87A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022479"/>
    <w:multiLevelType w:val="multilevel"/>
    <w:tmpl w:val="FFD8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0B7"/>
    <w:multiLevelType w:val="hybridMultilevel"/>
    <w:tmpl w:val="91FE30CC"/>
    <w:lvl w:ilvl="0" w:tplc="8ED62B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3296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6E32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5684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A6BA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6C2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6AED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CEC3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5CCA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6375FE"/>
    <w:multiLevelType w:val="multilevel"/>
    <w:tmpl w:val="CE82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07AF6"/>
    <w:multiLevelType w:val="multilevel"/>
    <w:tmpl w:val="F35C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A5FF4"/>
    <w:multiLevelType w:val="multilevel"/>
    <w:tmpl w:val="A69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63D90"/>
    <w:multiLevelType w:val="multilevel"/>
    <w:tmpl w:val="189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37749"/>
    <w:multiLevelType w:val="multilevel"/>
    <w:tmpl w:val="0D7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82BFD"/>
    <w:multiLevelType w:val="multilevel"/>
    <w:tmpl w:val="774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105AC"/>
    <w:multiLevelType w:val="multilevel"/>
    <w:tmpl w:val="909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A17FC"/>
    <w:multiLevelType w:val="multilevel"/>
    <w:tmpl w:val="939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50176"/>
    <w:multiLevelType w:val="multilevel"/>
    <w:tmpl w:val="98B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5150F"/>
    <w:multiLevelType w:val="multilevel"/>
    <w:tmpl w:val="37E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45A82"/>
    <w:multiLevelType w:val="multilevel"/>
    <w:tmpl w:val="0A8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A6493"/>
    <w:multiLevelType w:val="multilevel"/>
    <w:tmpl w:val="6F5A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C69C8"/>
    <w:multiLevelType w:val="multilevel"/>
    <w:tmpl w:val="CD12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33FEB"/>
    <w:multiLevelType w:val="multilevel"/>
    <w:tmpl w:val="CCDC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999518">
    <w:abstractNumId w:val="3"/>
  </w:num>
  <w:num w:numId="2" w16cid:durableId="1494103056">
    <w:abstractNumId w:val="8"/>
  </w:num>
  <w:num w:numId="3" w16cid:durableId="101461532">
    <w:abstractNumId w:val="0"/>
  </w:num>
  <w:num w:numId="4" w16cid:durableId="229924917">
    <w:abstractNumId w:val="10"/>
  </w:num>
  <w:num w:numId="5" w16cid:durableId="1845590725">
    <w:abstractNumId w:val="7"/>
  </w:num>
  <w:num w:numId="6" w16cid:durableId="810900338">
    <w:abstractNumId w:val="4"/>
  </w:num>
  <w:num w:numId="7" w16cid:durableId="1998605667">
    <w:abstractNumId w:val="12"/>
  </w:num>
  <w:num w:numId="8" w16cid:durableId="778338061">
    <w:abstractNumId w:val="14"/>
  </w:num>
  <w:num w:numId="9" w16cid:durableId="129515007">
    <w:abstractNumId w:val="6"/>
  </w:num>
  <w:num w:numId="10" w16cid:durableId="1906724821">
    <w:abstractNumId w:val="11"/>
  </w:num>
  <w:num w:numId="11" w16cid:durableId="255136477">
    <w:abstractNumId w:val="22"/>
  </w:num>
  <w:num w:numId="12" w16cid:durableId="1152986096">
    <w:abstractNumId w:val="18"/>
  </w:num>
  <w:num w:numId="13" w16cid:durableId="296299815">
    <w:abstractNumId w:val="21"/>
  </w:num>
  <w:num w:numId="14" w16cid:durableId="905071993">
    <w:abstractNumId w:val="23"/>
  </w:num>
  <w:num w:numId="15" w16cid:durableId="1785226214">
    <w:abstractNumId w:val="24"/>
  </w:num>
  <w:num w:numId="16" w16cid:durableId="449740515">
    <w:abstractNumId w:val="9"/>
  </w:num>
  <w:num w:numId="17" w16cid:durableId="1770155231">
    <w:abstractNumId w:val="15"/>
  </w:num>
  <w:num w:numId="18" w16cid:durableId="2024940579">
    <w:abstractNumId w:val="20"/>
  </w:num>
  <w:num w:numId="19" w16cid:durableId="116459111">
    <w:abstractNumId w:val="13"/>
  </w:num>
  <w:num w:numId="20" w16cid:durableId="317878162">
    <w:abstractNumId w:val="5"/>
  </w:num>
  <w:num w:numId="21" w16cid:durableId="347491882">
    <w:abstractNumId w:val="1"/>
  </w:num>
  <w:num w:numId="22" w16cid:durableId="874854703">
    <w:abstractNumId w:val="2"/>
  </w:num>
  <w:num w:numId="23" w16cid:durableId="838619533">
    <w:abstractNumId w:val="19"/>
  </w:num>
  <w:num w:numId="24" w16cid:durableId="2114324884">
    <w:abstractNumId w:val="17"/>
  </w:num>
  <w:num w:numId="25" w16cid:durableId="20678766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B37"/>
    <w:rsid w:val="00023F66"/>
    <w:rsid w:val="00037A4F"/>
    <w:rsid w:val="00076B37"/>
    <w:rsid w:val="000D2B41"/>
    <w:rsid w:val="000D465C"/>
    <w:rsid w:val="00113E6A"/>
    <w:rsid w:val="00166D86"/>
    <w:rsid w:val="002040F2"/>
    <w:rsid w:val="00242711"/>
    <w:rsid w:val="00246560"/>
    <w:rsid w:val="00295357"/>
    <w:rsid w:val="002C4FCA"/>
    <w:rsid w:val="002D7049"/>
    <w:rsid w:val="00317127"/>
    <w:rsid w:val="00382010"/>
    <w:rsid w:val="003A1F9D"/>
    <w:rsid w:val="003D044C"/>
    <w:rsid w:val="003D6F4A"/>
    <w:rsid w:val="00442295"/>
    <w:rsid w:val="00473BA2"/>
    <w:rsid w:val="00476509"/>
    <w:rsid w:val="004D62B5"/>
    <w:rsid w:val="005432A3"/>
    <w:rsid w:val="005465C1"/>
    <w:rsid w:val="00572BCE"/>
    <w:rsid w:val="00592CF8"/>
    <w:rsid w:val="005E52D5"/>
    <w:rsid w:val="006340A6"/>
    <w:rsid w:val="00640624"/>
    <w:rsid w:val="00662ED2"/>
    <w:rsid w:val="006C01E8"/>
    <w:rsid w:val="006E6BA1"/>
    <w:rsid w:val="006F3908"/>
    <w:rsid w:val="00792F75"/>
    <w:rsid w:val="00794A01"/>
    <w:rsid w:val="008332E6"/>
    <w:rsid w:val="00854803"/>
    <w:rsid w:val="008A4439"/>
    <w:rsid w:val="008B5206"/>
    <w:rsid w:val="00A21D2D"/>
    <w:rsid w:val="00A41D80"/>
    <w:rsid w:val="00A5739F"/>
    <w:rsid w:val="00AD30D4"/>
    <w:rsid w:val="00AD4F47"/>
    <w:rsid w:val="00AF3F54"/>
    <w:rsid w:val="00DA1614"/>
    <w:rsid w:val="00EF1102"/>
    <w:rsid w:val="00F141AF"/>
    <w:rsid w:val="00FB0472"/>
    <w:rsid w:val="00FE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8F68"/>
  <w15:docId w15:val="{8B0B6C46-43F4-4E03-A6CB-35FDA882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159" w:line="259" w:lineRule="auto"/>
      <w:ind w:left="140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6"/>
      </w:numPr>
      <w:spacing w:after="159" w:line="259" w:lineRule="auto"/>
      <w:ind w:left="14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Cabealho">
    <w:name w:val="header"/>
    <w:basedOn w:val="Normal"/>
    <w:link w:val="CabealhoChar"/>
    <w:uiPriority w:val="99"/>
    <w:unhideWhenUsed/>
    <w:rsid w:val="00A21D2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1D2D"/>
    <w:rPr>
      <w:rFonts w:ascii="Arial" w:eastAsia="Arial" w:hAnsi="Arial" w:cs="Arial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A21D2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1D2D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1590</Words>
  <Characters>8588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LUIZ DE ALMEIDA SILVEIRA</dc:creator>
  <cp:keywords/>
  <cp:lastModifiedBy>FERNANDO LUIZ DE ALMEIDA SILVEIRA</cp:lastModifiedBy>
  <cp:revision>32</cp:revision>
  <cp:lastPrinted>2025-03-20T19:06:00Z</cp:lastPrinted>
  <dcterms:created xsi:type="dcterms:W3CDTF">2025-03-20T19:06:00Z</dcterms:created>
  <dcterms:modified xsi:type="dcterms:W3CDTF">2026-09-07T20:40:00Z</dcterms:modified>
</cp:coreProperties>
</file>