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交接日期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{{交接日期}}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{{单位工程}}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{{分部工程}}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交接内容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交接依据：施工合同、设计文件、GB50231-2009 及现行验收规范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施工单位自检结论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项目经理：____________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监理单位意见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总监理工程师：____________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建设单位意见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项目负责人：____________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spacing w:after="40" w:before="0"/>
      </w:pPr>
      <w:r>
        <w:rPr>
          <w:rFonts w:ascii="宋体" w:hAnsi="宋体" w:eastAsia="宋体"/>
          <w:b w:val="0"/>
          <w:sz w:val="18"/>
        </w:rPr>
        <w:t>施工单位（技术负责人）：____________    质量检查员：____________</w:t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监理单位（专业工程师）：____________    日期：____________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