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D1DD0">
      <w:pPr>
        <w:spacing w:after="80"/>
        <w:jc w:val="center"/>
      </w:pPr>
      <w:r>
        <w:rPr>
          <w:rFonts w:ascii="宋体" w:hAnsi="宋体" w:eastAsia="宋体"/>
          <w:b/>
          <w:sz w:val="32"/>
        </w:rPr>
        <w:t>系统联动试运行记录表</w:t>
      </w:r>
    </w:p>
    <w:tbl>
      <w:tblPr>
        <w:tblStyle w:val="33"/>
        <w:tblW w:w="104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2822"/>
        <w:gridCol w:w="2953"/>
        <w:gridCol w:w="1650"/>
        <w:gridCol w:w="1652"/>
      </w:tblGrid>
      <w:tr w14:paraId="1C0D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9" w:type="dxa"/>
            <w:vAlign w:val="center"/>
          </w:tcPr>
          <w:p w14:paraId="01008AFC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单位(子单位)</w:t>
            </w:r>
            <w:r>
              <w:rPr>
                <w:rFonts w:ascii="宋体" w:hAnsi="宋体" w:eastAsia="宋体"/>
                <w:b/>
                <w:sz w:val="20"/>
              </w:rP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工程名称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15E40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bCs/>
                <w:sz w:val="2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{{单位工程}}</w:t>
            </w:r>
          </w:p>
        </w:tc>
        <w:tc>
          <w:tcPr>
            <w:tcW w:w="2953" w:type="dxa"/>
            <w:vAlign w:val="center"/>
          </w:tcPr>
          <w:p w14:paraId="3092E953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分部(子分部)</w:t>
            </w:r>
            <w:r>
              <w:rPr>
                <w:rFonts w:ascii="宋体" w:hAnsi="宋体" w:eastAsia="宋体"/>
                <w:b/>
                <w:sz w:val="20"/>
              </w:rP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工程名称</w:t>
            </w:r>
          </w:p>
        </w:tc>
        <w:tc>
          <w:tcPr>
            <w:tcW w:w="3302" w:type="dxa"/>
            <w:gridSpan w:val="2"/>
            <w:shd w:val="clear" w:color="auto" w:fill="auto"/>
            <w:vAlign w:val="center"/>
          </w:tcPr>
          <w:p w14:paraId="4D4B4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bCs/>
                <w:sz w:val="20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>{{分部工程}}</w:t>
            </w:r>
            <w:r>
              <w:rPr>
                <w:rFonts w:ascii="Times New Roman" w:hAnsi="Times New Roman" w:eastAsia="宋体"/>
                <w:b w:val="0"/>
                <w:bCs/>
                <w:sz w:val="18"/>
              </w:rPr>
              <w:t/>
            </w:r>
          </w:p>
        </w:tc>
      </w:tr>
      <w:tr w14:paraId="5C15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9" w:type="dxa"/>
            <w:vAlign w:val="center"/>
          </w:tcPr>
          <w:p w14:paraId="1996DDFF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安装单位</w:t>
            </w:r>
          </w:p>
        </w:tc>
        <w:tc>
          <w:tcPr>
            <w:tcW w:w="2822" w:type="dxa"/>
            <w:shd w:val="clear" w:color="auto" w:fill="auto"/>
            <w:vAlign w:val="center"/>
          </w:tcPr>
          <w:p w14:paraId="6AD08A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宋体" w:cstheme="minorBidi"/>
                <w:b w:val="0"/>
                <w:bCs/>
                <w:sz w:val="2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{{施工单位}}</w:t>
            </w:r>
          </w:p>
        </w:tc>
        <w:tc>
          <w:tcPr>
            <w:tcW w:w="2953" w:type="dxa"/>
            <w:vAlign w:val="center"/>
          </w:tcPr>
          <w:p w14:paraId="3AF070CD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项目经理</w:t>
            </w:r>
            <w:r>
              <w:rPr>
                <w:rFonts w:ascii="宋体" w:hAnsi="宋体" w:eastAsia="宋体"/>
                <w:b/>
                <w:sz w:val="20"/>
              </w:rP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(负责人)</w:t>
            </w:r>
          </w:p>
        </w:tc>
        <w:tc>
          <w:tcPr>
            <w:tcW w:w="3302" w:type="dxa"/>
            <w:gridSpan w:val="2"/>
            <w:shd w:val="clear" w:color="auto" w:fill="auto"/>
            <w:vAlign w:val="center"/>
          </w:tcPr>
          <w:p w14:paraId="33923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 w:cstheme="minorBidi"/>
                <w:b w:val="0"/>
                <w:bCs/>
                <w:sz w:val="20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{{项目经理}}</w:t>
            </w:r>
            <w:r>
              <w:rPr>
                <w:rFonts w:hint="eastAsia" w:ascii="Times New Roman" w:hAnsi="Times New Roman"/>
                <w:b w:val="0"/>
                <w:bCs/>
                <w:sz w:val="18"/>
                <w:lang w:val="en-US" w:eastAsia="zh-CN"/>
              </w:rPr>
              <w:t/>
            </w:r>
          </w:p>
        </w:tc>
      </w:tr>
      <w:tr w14:paraId="5804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9" w:type="dxa"/>
            <w:vAlign w:val="center"/>
          </w:tcPr>
          <w:p w14:paraId="60828F31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系统名称</w:t>
            </w:r>
          </w:p>
        </w:tc>
        <w:tc>
          <w:tcPr>
            <w:tcW w:w="2822" w:type="dxa"/>
            <w:vAlign w:val="center"/>
          </w:tcPr>
          <w:p w14:paraId="348F3906">
            <w:pPr>
              <w:spacing w:before="40" w:after="40"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{{系统名称}}</w:t>
            </w:r>
            <w:r>
              <w:rPr>
                <w:rFonts w:hint="eastAsia"/>
              </w:rPr>
              <w:t/>
            </w:r>
            <w:r>
              <w:rPr>
                <w:rFonts w:hint="eastAsia"/>
                <w:lang w:val="en-US" w:eastAsia="zh-CN"/>
              </w:rPr>
              <w:t/>
            </w:r>
          </w:p>
        </w:tc>
        <w:tc>
          <w:tcPr>
            <w:tcW w:w="2953" w:type="dxa"/>
            <w:vAlign w:val="center"/>
          </w:tcPr>
          <w:p w14:paraId="6F61C9DF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联动试运行</w:t>
            </w:r>
            <w:r>
              <w:rPr>
                <w:rFonts w:ascii="宋体" w:hAnsi="宋体" w:eastAsia="宋体"/>
                <w:b/>
                <w:sz w:val="20"/>
              </w:rP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w="3302" w:type="dxa"/>
            <w:gridSpan w:val="2"/>
            <w:vAlign w:val="center"/>
          </w:tcPr>
          <w:p w14:paraId="0A1EDE8B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 xml:space="preserve">        年      月      日</w:t>
            </w:r>
          </w:p>
        </w:tc>
      </w:tr>
      <w:tr w14:paraId="3A5B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9" w:type="dxa"/>
            <w:vAlign w:val="center"/>
          </w:tcPr>
          <w:p w14:paraId="17A51C47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标准名称及</w:t>
            </w:r>
            <w:r>
              <w:rPr>
                <w:rFonts w:ascii="宋体" w:hAnsi="宋体" w:eastAsia="宋体"/>
                <w:b/>
                <w:sz w:val="20"/>
              </w:rPr>
              <w:br w:type="textWrapping"/>
            </w: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9077" w:type="dxa"/>
            <w:gridSpan w:val="4"/>
            <w:vAlign w:val="center"/>
          </w:tcPr>
          <w:p w14:paraId="353A8B65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{{标准编号}}</w:t>
            </w:r>
          </w:p>
        </w:tc>
      </w:tr>
      <w:tr w14:paraId="1505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9" w:type="dxa"/>
            <w:vAlign w:val="center"/>
          </w:tcPr>
          <w:p w14:paraId="7DA1CB50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822" w:type="dxa"/>
            <w:vAlign w:val="center"/>
          </w:tcPr>
          <w:p w14:paraId="4A483ED4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检查项目</w:t>
            </w:r>
          </w:p>
        </w:tc>
        <w:tc>
          <w:tcPr>
            <w:tcW w:w="2953" w:type="dxa"/>
            <w:vAlign w:val="center"/>
          </w:tcPr>
          <w:p w14:paraId="69F3C40B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技术要求</w:t>
            </w:r>
          </w:p>
        </w:tc>
        <w:tc>
          <w:tcPr>
            <w:tcW w:w="1650" w:type="dxa"/>
            <w:vAlign w:val="center"/>
          </w:tcPr>
          <w:p w14:paraId="34A566F5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检查结果</w:t>
            </w:r>
          </w:p>
        </w:tc>
        <w:tc>
          <w:tcPr>
            <w:tcW w:w="1652" w:type="dxa"/>
            <w:vAlign w:val="center"/>
          </w:tcPr>
          <w:p w14:paraId="314DD4F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 w14:paraId="436CC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5FA4A53C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</w:t>
            </w:r>
          </w:p>
        </w:tc>
        <w:tc>
          <w:tcPr>
            <w:tcW w:w="2822" w:type="dxa"/>
            <w:vAlign w:val="center"/>
          </w:tcPr>
          <w:p w14:paraId="47634AC5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机械设备及附属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装置安装完成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情况</w:t>
            </w:r>
          </w:p>
        </w:tc>
        <w:tc>
          <w:tcPr>
            <w:tcW w:w="2953" w:type="dxa"/>
            <w:vAlign w:val="center"/>
          </w:tcPr>
          <w:p w14:paraId="59B30841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机械设备及其附属装置、管线等均已安装完毕，安装记录及资料齐全（GB50231-2009 第7.1.1条第1款）</w:t>
            </w:r>
          </w:p>
        </w:tc>
        <w:tc>
          <w:tcPr>
            <w:tcW w:w="1650" w:type="dxa"/>
            <w:vAlign w:val="center"/>
          </w:tcPr>
          <w:p w14:paraId="4489F134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16D8BE68">
            <w:pPr>
              <w:spacing w:before="40" w:after="40" w:line="280" w:lineRule="exact"/>
              <w:jc w:val="center"/>
            </w:pPr>
          </w:p>
        </w:tc>
      </w:tr>
      <w:tr w14:paraId="0155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4EB4398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2</w:t>
            </w:r>
          </w:p>
        </w:tc>
        <w:tc>
          <w:tcPr>
            <w:tcW w:w="2822" w:type="dxa"/>
            <w:vAlign w:val="center"/>
          </w:tcPr>
          <w:p w14:paraId="644DB8ED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设备安装水平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及几何精度</w:t>
            </w:r>
          </w:p>
        </w:tc>
        <w:tc>
          <w:tcPr>
            <w:tcW w:w="2953" w:type="dxa"/>
            <w:vAlign w:val="center"/>
          </w:tcPr>
          <w:p w14:paraId="3D47BFD4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机械设备的安装水平已调整至允许的范围，与安装有关的几何精度经检验合格（GB50231-2009 第7.1.1条第2、3款）</w:t>
            </w:r>
          </w:p>
        </w:tc>
        <w:tc>
          <w:tcPr>
            <w:tcW w:w="1650" w:type="dxa"/>
            <w:vAlign w:val="center"/>
          </w:tcPr>
          <w:p w14:paraId="77AFDBEB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25D1C18A">
            <w:pPr>
              <w:spacing w:before="40" w:after="40" w:line="280" w:lineRule="exact"/>
              <w:jc w:val="center"/>
            </w:pPr>
          </w:p>
        </w:tc>
      </w:tr>
      <w:tr w14:paraId="58DF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787F834C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3</w:t>
            </w:r>
          </w:p>
        </w:tc>
        <w:tc>
          <w:tcPr>
            <w:tcW w:w="2822" w:type="dxa"/>
            <w:vAlign w:val="center"/>
          </w:tcPr>
          <w:p w14:paraId="45828E89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试运转资源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准备</w:t>
            </w:r>
          </w:p>
        </w:tc>
        <w:tc>
          <w:tcPr>
            <w:tcW w:w="2953" w:type="dxa"/>
            <w:vAlign w:val="center"/>
          </w:tcPr>
          <w:p w14:paraId="50E6B485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试运转需要的动力、介质、材料、机具、检验仪器等符合试运转的要求（GB50231-2009 第7.1.1条第4款）</w:t>
            </w:r>
          </w:p>
        </w:tc>
        <w:tc>
          <w:tcPr>
            <w:tcW w:w="1650" w:type="dxa"/>
            <w:vAlign w:val="center"/>
          </w:tcPr>
          <w:p w14:paraId="2B038DC7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4956F298">
            <w:pPr>
              <w:spacing w:before="40" w:after="40" w:line="280" w:lineRule="exact"/>
              <w:jc w:val="center"/>
            </w:pPr>
          </w:p>
        </w:tc>
      </w:tr>
      <w:tr w14:paraId="24A9A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6D9FE39E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4</w:t>
            </w:r>
          </w:p>
        </w:tc>
        <w:tc>
          <w:tcPr>
            <w:tcW w:w="2822" w:type="dxa"/>
            <w:vAlign w:val="center"/>
          </w:tcPr>
          <w:p w14:paraId="2984485B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各系统联合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调试</w:t>
            </w:r>
          </w:p>
        </w:tc>
        <w:tc>
          <w:tcPr>
            <w:tcW w:w="2953" w:type="dxa"/>
            <w:vAlign w:val="center"/>
          </w:tcPr>
          <w:p w14:paraId="7241D306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润滑、液压、冷却、水、气（汽）和电气等系统，符合系统单独调试和主机联合调试的要求（GB50231-2009 第7.1.1条第5款）</w:t>
            </w:r>
          </w:p>
        </w:tc>
        <w:tc>
          <w:tcPr>
            <w:tcW w:w="1650" w:type="dxa"/>
            <w:vAlign w:val="center"/>
          </w:tcPr>
          <w:p w14:paraId="07022298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19200FA1">
            <w:pPr>
              <w:spacing w:before="40" w:after="40" w:line="280" w:lineRule="exact"/>
              <w:jc w:val="center"/>
            </w:pPr>
          </w:p>
        </w:tc>
      </w:tr>
      <w:tr w14:paraId="69A4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358B8A0D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5</w:t>
            </w:r>
          </w:p>
        </w:tc>
        <w:tc>
          <w:tcPr>
            <w:tcW w:w="2822" w:type="dxa"/>
            <w:vAlign w:val="center"/>
          </w:tcPr>
          <w:p w14:paraId="50EADADB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安全防护设施</w:t>
            </w:r>
          </w:p>
        </w:tc>
        <w:tc>
          <w:tcPr>
            <w:tcW w:w="2953" w:type="dxa"/>
            <w:vAlign w:val="center"/>
          </w:tcPr>
          <w:p w14:paraId="5D0D8BC7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对人身或机械设备可能造成损伤的部位，相应的安全设施和安全防护装置已设置完善（GB50231-2009 第7.1.1条第6款）</w:t>
            </w:r>
          </w:p>
        </w:tc>
        <w:tc>
          <w:tcPr>
            <w:tcW w:w="1650" w:type="dxa"/>
            <w:vAlign w:val="center"/>
          </w:tcPr>
          <w:p w14:paraId="08A735A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0F743BB0">
            <w:pPr>
              <w:spacing w:before="40" w:after="40" w:line="280" w:lineRule="exact"/>
              <w:jc w:val="center"/>
            </w:pPr>
          </w:p>
        </w:tc>
      </w:tr>
      <w:tr w14:paraId="276B3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675A5EA9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6</w:t>
            </w:r>
          </w:p>
        </w:tc>
        <w:tc>
          <w:tcPr>
            <w:tcW w:w="2822" w:type="dxa"/>
            <w:vAlign w:val="center"/>
          </w:tcPr>
          <w:p w14:paraId="22256755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试运转方案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审批</w:t>
            </w:r>
          </w:p>
        </w:tc>
        <w:tc>
          <w:tcPr>
            <w:tcW w:w="2953" w:type="dxa"/>
            <w:vAlign w:val="center"/>
          </w:tcPr>
          <w:p w14:paraId="6AF82A6C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对大型、复杂和精密设备，编制的试运转方案或试运转操作规程已经有关技术主管批准和同意（GB50231-2009 第7.1.1条第7款）</w:t>
            </w:r>
          </w:p>
        </w:tc>
        <w:tc>
          <w:tcPr>
            <w:tcW w:w="1650" w:type="dxa"/>
            <w:vAlign w:val="center"/>
          </w:tcPr>
          <w:p w14:paraId="7030B5F0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259E5DB5">
            <w:pPr>
              <w:spacing w:before="40" w:after="40" w:line="280" w:lineRule="exact"/>
              <w:jc w:val="center"/>
            </w:pPr>
          </w:p>
        </w:tc>
      </w:tr>
      <w:tr w14:paraId="6A393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1E3CBE98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7</w:t>
            </w:r>
          </w:p>
        </w:tc>
        <w:tc>
          <w:tcPr>
            <w:tcW w:w="2822" w:type="dxa"/>
            <w:vAlign w:val="center"/>
          </w:tcPr>
          <w:p w14:paraId="0FE2FDD7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试运转环境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w="2953" w:type="dxa"/>
            <w:vAlign w:val="center"/>
          </w:tcPr>
          <w:p w14:paraId="1CAB91C4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试运转机械设备周围的环境已清扫干净，不得产生粉尘和较大的噪声（GB50231-2009 第7.1.1条第8款）</w:t>
            </w:r>
          </w:p>
        </w:tc>
        <w:tc>
          <w:tcPr>
            <w:tcW w:w="1650" w:type="dxa"/>
            <w:vAlign w:val="center"/>
          </w:tcPr>
          <w:p w14:paraId="636B4684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2D282037">
            <w:pPr>
              <w:spacing w:before="40" w:after="40" w:line="280" w:lineRule="exact"/>
              <w:jc w:val="center"/>
            </w:pPr>
          </w:p>
        </w:tc>
      </w:tr>
      <w:tr w14:paraId="10A74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7FC3CE5A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8</w:t>
            </w:r>
          </w:p>
        </w:tc>
        <w:tc>
          <w:tcPr>
            <w:tcW w:w="2822" w:type="dxa"/>
            <w:vAlign w:val="center"/>
          </w:tcPr>
          <w:p w14:paraId="4D6585D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电气和操作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控制系统调试</w:t>
            </w:r>
          </w:p>
        </w:tc>
        <w:tc>
          <w:tcPr>
            <w:tcW w:w="2953" w:type="dxa"/>
            <w:vAlign w:val="center"/>
          </w:tcPr>
          <w:p w14:paraId="2E8D2954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电气和操作控制系统调试合格，模拟试验动作正确无误，联锁及报警系统符合规范要求（GB50231-2009 第7.2条）</w:t>
            </w:r>
          </w:p>
        </w:tc>
        <w:tc>
          <w:tcPr>
            <w:tcW w:w="1650" w:type="dxa"/>
            <w:vAlign w:val="center"/>
          </w:tcPr>
          <w:p w14:paraId="542090E1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2EA3FED0">
            <w:pPr>
              <w:spacing w:before="40" w:after="40" w:line="280" w:lineRule="exact"/>
              <w:jc w:val="center"/>
            </w:pPr>
          </w:p>
        </w:tc>
      </w:tr>
      <w:tr w14:paraId="2CCA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072F642F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9</w:t>
            </w:r>
          </w:p>
        </w:tc>
        <w:tc>
          <w:tcPr>
            <w:tcW w:w="2822" w:type="dxa"/>
            <w:vAlign w:val="center"/>
          </w:tcPr>
          <w:p w14:paraId="09885E27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润滑系统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调试</w:t>
            </w:r>
          </w:p>
        </w:tc>
        <w:tc>
          <w:tcPr>
            <w:tcW w:w="2953" w:type="dxa"/>
            <w:vAlign w:val="center"/>
          </w:tcPr>
          <w:p w14:paraId="631AE279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润滑系统的润滑油、脂，其性能、规格和数量符合随机技术文件的规定，系统调试合格（GB50231-2009 第7.3条）</w:t>
            </w:r>
          </w:p>
        </w:tc>
        <w:tc>
          <w:tcPr>
            <w:tcW w:w="1650" w:type="dxa"/>
            <w:vAlign w:val="center"/>
          </w:tcPr>
          <w:p w14:paraId="599A16B9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7D151185">
            <w:pPr>
              <w:spacing w:before="40" w:after="40" w:line="280" w:lineRule="exact"/>
              <w:jc w:val="center"/>
            </w:pPr>
          </w:p>
        </w:tc>
      </w:tr>
      <w:tr w14:paraId="67F3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614AB36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10</w:t>
            </w:r>
          </w:p>
        </w:tc>
        <w:tc>
          <w:tcPr>
            <w:tcW w:w="2822" w:type="dxa"/>
            <w:vAlign w:val="center"/>
          </w:tcPr>
          <w:p w14:paraId="0AC41F50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液压系统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调试</w:t>
            </w:r>
          </w:p>
        </w:tc>
        <w:tc>
          <w:tcPr>
            <w:tcW w:w="2953" w:type="dxa"/>
            <w:vAlign w:val="center"/>
          </w:tcPr>
          <w:p w14:paraId="3A22D886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液压系统调试合格，工作压力稳定，无渗漏现象，各执行元件动作正确（GB50231-2009 第7.4条）</w:t>
            </w:r>
          </w:p>
        </w:tc>
        <w:tc>
          <w:tcPr>
            <w:tcW w:w="1650" w:type="dxa"/>
            <w:vAlign w:val="center"/>
          </w:tcPr>
          <w:p w14:paraId="698110C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465CCAD2">
            <w:pPr>
              <w:spacing w:before="40" w:after="40" w:line="280" w:lineRule="exact"/>
              <w:jc w:val="center"/>
            </w:pPr>
          </w:p>
        </w:tc>
      </w:tr>
      <w:tr w14:paraId="2743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0704CF11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11</w:t>
            </w:r>
          </w:p>
        </w:tc>
        <w:tc>
          <w:tcPr>
            <w:tcW w:w="2822" w:type="dxa"/>
            <w:vAlign w:val="center"/>
          </w:tcPr>
          <w:p w14:paraId="2C2F8656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气动、冷却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系统调试</w:t>
            </w:r>
          </w:p>
        </w:tc>
        <w:tc>
          <w:tcPr>
            <w:tcW w:w="2953" w:type="dxa"/>
            <w:vAlign w:val="center"/>
          </w:tcPr>
          <w:p w14:paraId="0C10787A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气动、冷却系统调试合格，压力、流量等参数符合设计要求，工作正常（GB50231-2009 第7.5条）</w:t>
            </w:r>
          </w:p>
        </w:tc>
        <w:tc>
          <w:tcPr>
            <w:tcW w:w="1650" w:type="dxa"/>
            <w:vAlign w:val="center"/>
          </w:tcPr>
          <w:p w14:paraId="66C1E808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126E7B92">
            <w:pPr>
              <w:spacing w:before="40" w:after="40" w:line="280" w:lineRule="exact"/>
              <w:jc w:val="center"/>
            </w:pPr>
          </w:p>
        </w:tc>
      </w:tr>
      <w:tr w14:paraId="31CA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02089719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12</w:t>
            </w:r>
          </w:p>
        </w:tc>
        <w:tc>
          <w:tcPr>
            <w:tcW w:w="2822" w:type="dxa"/>
            <w:vAlign w:val="center"/>
          </w:tcPr>
          <w:p w14:paraId="710A3A5C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加热系统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调试</w:t>
            </w:r>
          </w:p>
        </w:tc>
        <w:tc>
          <w:tcPr>
            <w:tcW w:w="2953" w:type="dxa"/>
            <w:vAlign w:val="center"/>
          </w:tcPr>
          <w:p w14:paraId="2AEEFE0E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加热系统调试合格，温度控制准确，安全保护装置可靠（GB50231-2009 第7.6条）</w:t>
            </w:r>
          </w:p>
        </w:tc>
        <w:tc>
          <w:tcPr>
            <w:tcW w:w="1650" w:type="dxa"/>
            <w:vAlign w:val="center"/>
          </w:tcPr>
          <w:p w14:paraId="42777AE9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1718809C">
            <w:pPr>
              <w:spacing w:before="40" w:after="40" w:line="280" w:lineRule="exact"/>
              <w:jc w:val="center"/>
            </w:pPr>
          </w:p>
        </w:tc>
      </w:tr>
      <w:tr w14:paraId="4702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7178B886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13</w:t>
            </w:r>
          </w:p>
        </w:tc>
        <w:tc>
          <w:tcPr>
            <w:tcW w:w="2822" w:type="dxa"/>
            <w:vAlign w:val="center"/>
          </w:tcPr>
          <w:p w14:paraId="0569FCA5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机械设备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动作试验</w:t>
            </w:r>
          </w:p>
        </w:tc>
        <w:tc>
          <w:tcPr>
            <w:tcW w:w="2953" w:type="dxa"/>
            <w:vAlign w:val="center"/>
          </w:tcPr>
          <w:p w14:paraId="0EB49225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机械设备动作试验合格，各运动机构启动、变速、换向、停机、制动和联锁等动作正确、灵敏、可靠（GB50231-2009 第7.7条）</w:t>
            </w:r>
          </w:p>
        </w:tc>
        <w:tc>
          <w:tcPr>
            <w:tcW w:w="1650" w:type="dxa"/>
            <w:vAlign w:val="center"/>
          </w:tcPr>
          <w:p w14:paraId="0786E33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4B17765A">
            <w:pPr>
              <w:spacing w:before="40" w:after="40" w:line="280" w:lineRule="exact"/>
              <w:jc w:val="center"/>
            </w:pPr>
          </w:p>
        </w:tc>
      </w:tr>
      <w:tr w14:paraId="6694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60B24AE0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14</w:t>
            </w:r>
          </w:p>
        </w:tc>
        <w:tc>
          <w:tcPr>
            <w:tcW w:w="2822" w:type="dxa"/>
            <w:vAlign w:val="center"/>
          </w:tcPr>
          <w:p w14:paraId="6D26DEE6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整机空负荷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试运转</w:t>
            </w:r>
          </w:p>
        </w:tc>
        <w:tc>
          <w:tcPr>
            <w:tcW w:w="2953" w:type="dxa"/>
            <w:vAlign w:val="center"/>
          </w:tcPr>
          <w:p w14:paraId="4B9C8FA9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整机空负荷试运转合格，主运动机构和各运动部件运行平稳，无不正常声响，轴承温度和温升符合规定，各系统工作正常（GB50231-2009 第7.8条）</w:t>
            </w:r>
          </w:p>
        </w:tc>
        <w:tc>
          <w:tcPr>
            <w:tcW w:w="1650" w:type="dxa"/>
            <w:vAlign w:val="center"/>
          </w:tcPr>
          <w:p w14:paraId="2E1616ED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191873C8">
            <w:pPr>
              <w:spacing w:before="40" w:after="40" w:line="280" w:lineRule="exact"/>
              <w:jc w:val="center"/>
            </w:pPr>
          </w:p>
        </w:tc>
      </w:tr>
      <w:tr w14:paraId="2271D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389" w:type="dxa"/>
            <w:vAlign w:val="center"/>
          </w:tcPr>
          <w:p w14:paraId="3623FAD3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15</w:t>
            </w:r>
          </w:p>
        </w:tc>
        <w:tc>
          <w:tcPr>
            <w:tcW w:w="2822" w:type="dxa"/>
            <w:vAlign w:val="center"/>
          </w:tcPr>
          <w:p w14:paraId="1D1E3DBD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系统联动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运行验证</w:t>
            </w:r>
          </w:p>
        </w:tc>
        <w:tc>
          <w:tcPr>
            <w:tcW w:w="2953" w:type="dxa"/>
            <w:vAlign w:val="center"/>
          </w:tcPr>
          <w:p w14:paraId="4332130E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各设备联合联动运行正常，工艺流程衔接正确，联锁逻辑准确可靠，中控室与现场设备状态显示一致</w:t>
            </w:r>
          </w:p>
        </w:tc>
        <w:tc>
          <w:tcPr>
            <w:tcW w:w="1650" w:type="dxa"/>
            <w:vAlign w:val="center"/>
          </w:tcPr>
          <w:p w14:paraId="716B95F2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□合格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□不合格</w:t>
            </w:r>
          </w:p>
        </w:tc>
        <w:tc>
          <w:tcPr>
            <w:tcW w:w="1652" w:type="dxa"/>
            <w:vAlign w:val="center"/>
          </w:tcPr>
          <w:p w14:paraId="4B777111">
            <w:pPr>
              <w:spacing w:before="40" w:after="40" w:line="280" w:lineRule="exact"/>
              <w:jc w:val="center"/>
            </w:pPr>
          </w:p>
        </w:tc>
      </w:tr>
      <w:tr w14:paraId="3ECC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66" w:type="dxa"/>
            <w:gridSpan w:val="5"/>
            <w:vAlign w:val="center"/>
          </w:tcPr>
          <w:p w14:paraId="4A4A8F4F">
            <w:pPr>
              <w:spacing w:before="40" w:after="40" w:line="280" w:lineRule="exact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联动试运行情况记录</w:t>
            </w:r>
          </w:p>
        </w:tc>
      </w:tr>
      <w:tr w14:paraId="2E0B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  <w:jc w:val="center"/>
        </w:trPr>
        <w:tc>
          <w:tcPr>
            <w:tcW w:w="10466" w:type="dxa"/>
            <w:gridSpan w:val="5"/>
            <w:vAlign w:val="center"/>
          </w:tcPr>
          <w:p w14:paraId="46CD2506">
            <w:pPr>
              <w:spacing w:before="40" w:after="40" w:line="280" w:lineRule="exact"/>
              <w:jc w:val="center"/>
            </w:pPr>
          </w:p>
        </w:tc>
      </w:tr>
      <w:tr w14:paraId="354C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466" w:type="dxa"/>
            <w:gridSpan w:val="5"/>
            <w:vAlign w:val="center"/>
          </w:tcPr>
          <w:p w14:paraId="054609B0">
            <w:pPr>
              <w:spacing w:before="40" w:after="40" w:line="280" w:lineRule="exact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试运行结论：□合格    □不合格</w:t>
            </w:r>
          </w:p>
        </w:tc>
      </w:tr>
      <w:tr w14:paraId="426E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4211" w:type="dxa"/>
            <w:gridSpan w:val="2"/>
            <w:vAlign w:val="top"/>
          </w:tcPr>
          <w:p w14:paraId="248339DF">
            <w:pPr>
              <w:spacing w:before="40" w:after="40" w:line="360" w:lineRule="exact"/>
              <w:jc w:val="center"/>
              <w:rPr>
                <w:rFonts w:ascii="Times New Roman" w:hAnsi="Times New Roman" w:eastAsia="宋体"/>
                <w:b/>
                <w:bCs w:val="0"/>
                <w:sz w:val="18"/>
              </w:rPr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建设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</w:p>
          <w:p w14:paraId="54F2EF9B">
            <w:pPr>
              <w:spacing w:before="40" w:after="40" w:line="360" w:lineRule="exact"/>
              <w:jc w:val="center"/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6255" w:type="dxa"/>
            <w:gridSpan w:val="3"/>
            <w:vAlign w:val="top"/>
          </w:tcPr>
          <w:p w14:paraId="4B9A9E5E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专业技术负责人： </w:t>
            </w:r>
          </w:p>
          <w:p w14:paraId="3B680271">
            <w:pPr>
              <w:spacing w:before="40" w:after="40" w:line="360" w:lineRule="exact"/>
              <w:ind w:firstLine="1620" w:firstLineChars="900"/>
              <w:jc w:val="left"/>
            </w:pP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               年    月    日</w:t>
            </w:r>
          </w:p>
        </w:tc>
      </w:tr>
      <w:tr w14:paraId="5331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4211" w:type="dxa"/>
            <w:gridSpan w:val="2"/>
            <w:vAlign w:val="top"/>
          </w:tcPr>
          <w:p w14:paraId="7EE241A3">
            <w:pPr>
              <w:spacing w:before="40" w:after="40" w:line="360" w:lineRule="exact"/>
              <w:jc w:val="center"/>
            </w:pP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施工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6255" w:type="dxa"/>
            <w:gridSpan w:val="3"/>
            <w:vAlign w:val="top"/>
          </w:tcPr>
          <w:p w14:paraId="32D948E5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专业工长(施工员)：              </w:t>
            </w:r>
          </w:p>
          <w:p w14:paraId="56ADA2DB">
            <w:pPr>
              <w:spacing w:before="40" w:after="40" w:line="360" w:lineRule="exact"/>
              <w:ind w:firstLine="2340" w:firstLineChars="1300"/>
              <w:jc w:val="left"/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    年    月    日</w:t>
            </w:r>
          </w:p>
        </w:tc>
      </w:tr>
      <w:tr w14:paraId="5DAE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4211" w:type="dxa"/>
            <w:gridSpan w:val="2"/>
            <w:vAlign w:val="top"/>
          </w:tcPr>
          <w:p w14:paraId="4C0D89EC">
            <w:pPr>
              <w:spacing w:before="40" w:after="40" w:line="360" w:lineRule="exact"/>
              <w:jc w:val="center"/>
            </w:pPr>
            <w:r>
              <w:rPr>
                <w:rFonts w:ascii="Times New Roman" w:hAnsi="Times New Roman" w:eastAsia="宋体"/>
                <w:b/>
                <w:bCs w:val="0"/>
                <w:sz w:val="18"/>
              </w:rPr>
              <w:t>监理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单位</w:t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bCs w:val="0"/>
                <w:sz w:val="18"/>
              </w:rPr>
              <w:t>检查结果</w:t>
            </w:r>
            <w:r>
              <w:rPr>
                <w:rFonts w:hint="eastAsia" w:ascii="Times New Roman" w:hAnsi="Times New Roman"/>
                <w:b/>
                <w:bCs w:val="0"/>
                <w:sz w:val="18"/>
                <w:lang w:val="en-US" w:eastAsia="zh-CN"/>
              </w:rPr>
              <w:t>确认</w:t>
            </w:r>
          </w:p>
        </w:tc>
        <w:tc>
          <w:tcPr>
            <w:tcW w:w="6255" w:type="dxa"/>
            <w:gridSpan w:val="3"/>
            <w:vAlign w:val="top"/>
          </w:tcPr>
          <w:p w14:paraId="437343A4">
            <w:pPr>
              <w:spacing w:before="40" w:after="40" w:line="360" w:lineRule="exact"/>
              <w:jc w:val="left"/>
              <w:rPr>
                <w:rFonts w:ascii="Times New Roman" w:hAnsi="Times New Roman" w:eastAsia="宋体"/>
                <w:b w:val="0"/>
                <w:bCs/>
                <w:sz w:val="18"/>
              </w:rPr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 xml:space="preserve">专业监理工程师：                    </w:t>
            </w:r>
          </w:p>
          <w:p w14:paraId="788EA402">
            <w:pPr>
              <w:spacing w:before="40" w:after="40" w:line="360" w:lineRule="exact"/>
              <w:ind w:firstLine="2520" w:firstLineChars="1400"/>
              <w:jc w:val="left"/>
            </w:pPr>
            <w:r>
              <w:rPr>
                <w:rFonts w:ascii="Times New Roman" w:hAnsi="Times New Roman" w:eastAsia="宋体"/>
                <w:b w:val="0"/>
                <w:bCs/>
                <w:sz w:val="18"/>
              </w:rPr>
              <w:t>年    月    日</w:t>
            </w:r>
          </w:p>
        </w:tc>
      </w:tr>
    </w:tbl>
    <w:p w14:paraId="15FDC90B">
      <w:pPr>
        <w:spacing w:before="120"/>
        <w:jc w:val="left"/>
      </w:pPr>
      <w:r>
        <w:rPr>
          <w:rFonts w:ascii="宋体" w:hAnsi="宋体" w:eastAsia="宋体"/>
          <w:b w:val="0"/>
          <w:sz w:val="18"/>
        </w:rPr>
        <w:t>说明：本表作为工业设备安装工程质量检验评定的依据。联动试运行记录应如实填写，数据准确可靠。试运行应按先公用设备或附属设备后主机、先部件后单机、先单机后联机、先手动后电动、先无负荷后带负荷的原则进行。</w:t>
      </w:r>
    </w:p>
    <w:sectPr>
      <w:pgSz w:w="11906" w:h="16838"/>
      <w:pgMar w:top="850" w:right="720" w:bottom="85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434E5"/>
    <w:rsid w:val="379B6009"/>
    <w:rsid w:val="4F9D525A"/>
    <w:rsid w:val="63D9055B"/>
    <w:rsid w:val="7A5213A8"/>
    <w:rsid w:val="7D90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1232</Words>
  <Characters>1445</Characters>
  <Lines>0</Lines>
  <Paragraphs>0</Paragraphs>
  <TotalTime>4</TotalTime>
  <ScaleCrop>false</ScaleCrop>
  <LinksUpToDate>false</LinksUpToDate>
  <CharactersWithSpaces>1565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ღ暖阳᭄ꦿ</cp:lastModifiedBy>
  <dcterms:modified xsi:type="dcterms:W3CDTF">2026-10-20T06:02:54Z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eyJoZGlkIjoiOTg5NzczODlmNzJiYzYwNWE4N2M1OTViZGVmNzU4MjAiLCJ1c2VySWQiOiI1OTE0Nzk2MzgifQ==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6723C4CB5694434BB0EAFDFB0A3DF03E_12</vt:lpwstr>
  </property>
</Properties>
</file>