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xmlns:w14="http://schemas.microsoft.com/office/word/2010/wordml" w14:paraId="7B4F1D11">
      <ns0:pPr>
        <ns0:jc ns0:val="left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>
      <ns0:br ns0:type="page"/>
    </ns0:p>
    <ns0:p xmlns:w14="http://schemas.microsoft.com/office/word/2010/wordml" w14:paraId="10460B6C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22927AF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23557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608139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490024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{{分部工程}}</ns0:t>
            </ns0:r>
          </ns0:p>
        </ns0:tc>
      </ns0:tr>
      <ns0:tr w14:paraId="19D4AF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090A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2CC805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5018F9E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E93118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40A6D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03C2BD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1F1AA0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{{设备位号}}</ns0:t>
            </ns0:r>
          </ns0:p>
        </ns0:tc>
      </ns0:tr>
      <ns0:tr w14:paraId="77F1AC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7C298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6AE82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</ns0:p>
        </ns0:tc>
        <ns0:tc>
          <ns0:tcPr>
            <ns0:tcW ns0:w="2075" ns0:type="dxa"/>
            <ns0:vAlign ns0:val="center"/>
          </ns0:tcPr>
          <ns0:p w14:paraId="4E02B73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C8C467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37095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6C57EA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33E8448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F8143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711F35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08AB1C4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A115F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0D31A4D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0265D6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BADB7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</ns0:tcPr>
          <ns0:p>
            <ns0:r>
              <ns0:t>闸门本体安装质量及水平度</ns0:t>
            </ns0:r>
          </ns0:p>
        </ns0:tc>
        <ns0:tc>
          <ns0:tcPr>
            <ns0:tcW ns0:w="2075" ns0:type="dxa"/>
          </ns0:tcPr>
          <ns0:p w14:paraId="567C8F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1423C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0CDC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092A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</ns0:tcPr>
          <ns0:p>
            <ns0:r>
              <ns0:t>液压驱动系统安装及调试</ns0:t>
            </ns0:r>
          </ns0:p>
        </ns0:tc>
        <ns0:tc>
          <ns0:tcPr>
            <ns0:tcW ns0:w="2075" ns0:type="dxa"/>
          </ns0:tcPr>
          <ns0:p w14:paraId="367C7D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D2B4A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701F7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202711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</ns0:tcPr>
          <ns0:p>
            <ns0:r>
              <ns0:t>密封装置安装及密封性能</ns0:t>
            </ns0:r>
          </ns0:p>
        </ns0:tc>
        <ns0:tc>
          <ns0:tcPr>
            <ns0:tcW ns0:w="2075" ns0:type="dxa"/>
          </ns0:tcPr>
          <ns0:p w14:paraId="6035C4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B4F7D9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6F556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7B0A9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</ns0:tcPr>
          <ns0:p>
            <ns0:r>
              <ns0:t>限位开关及安全装置</ns0:t>
            </ns0:r>
          </ns0:p>
        </ns0:tc>
        <ns0:tc>
          <ns0:tcPr>
            <ns0:tcW ns0:w="2075" ns0:type="dxa"/>
          </ns0:tcPr>
          <ns0:p w14:paraId="59E242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C679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2F48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650933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</ns0:tcPr>
          <ns0:p>
            <ns0:r>
              <ns0:t>电气控制系统及仪表</ns0:t>
            </ns0:r>
          </ns0:p>
        </ns0:tc>
        <ns0:tc>
          <ns0:tcPr>
            <ns0:tcW ns0:w="2075" ns0:type="dxa"/>
          </ns0:tcPr>
          <ns0:p w14:paraId="14818A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84EEE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5F8F1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F7379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</ns0:tcPr>
          <ns0:p>
            <ns0:r>
              <ns0:t>导向装置及滚轮</ns0:t>
            </ns0:r>
          </ns0:p>
        </ns0:tc>
        <ns0:tc>
          <ns0:tcPr>
            <ns0:tcW ns0:w="2075" ns0:type="dxa"/>
          </ns0:tcPr>
          <ns0:p w14:paraId="46B709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AAB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A791C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556C1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</ns0:tcPr>
          <ns0:p>
            <ns0:r>
              <ns0:t>紧固件及连接件</ns0:t>
            </ns0:r>
          </ns0:p>
        </ns0:tc>
        <ns0:tc>
          <ns0:tcPr>
            <ns0:tcW ns0:w="2075" ns0:type="dxa"/>
          </ns0:tcPr>
          <ns0:p w14:paraId="4E48D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0E40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EE4E0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DBD1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</ns0:tcPr>
          <ns0:p>
            <ns0:r>
              <ns0:t>外观及油漆</ns0:t>
            </ns0:r>
          </ns0:p>
        </ns0:tc>
        <ns0:tc>
          <ns0:tcPr>
            <ns0:tcW ns0:w="2075" ns0:type="dxa"/>
          </ns0:tcPr>
          <ns0:p w14:paraId="43F3D2B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3389BA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B6155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A8E18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</ns0:tcPr>
          <ns0:p>
            <ns0:r>
              <ns0:t>其他</ns0:t>
            </ns0:r>
          </ns0:p>
        </ns0:tc>
        <ns0:tc>
          <ns0:tcPr>
            <ns0:tcW ns0:w="2075" ns0:type="dxa"/>
          </ns0:tcPr>
          <ns0:p w14:paraId="261F59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8A2D1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CDEE04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4C37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2E702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3F4EA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04874F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F7759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闸门垂直度≤1/1000</ns0:t>
            </ns0:r>
          </ns0:p>
        </ns0:tc>
        <ns0:tc>
          <ns0:tcPr>
            <ns0:tcW ns0:w="2075" ns0:type="dxa"/>
          </ns0:tcPr>
          <ns0:p w14:paraId="37358C9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A8B08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EB6C5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64743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液压系统压力符合设计值</ns0:t>
            </ns0:r>
          </ns0:p>
        </ns0:tc>
        <ns0:tc>
          <ns0:tcPr>
            <ns0:tcW ns0:w="2075" ns0:type="dxa"/>
          </ns0:tcPr>
          <ns0:p w14:paraId="204B92F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3312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634AF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9856C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密封面无渗漏</ns0:t>
            </ns0:r>
          </ns0:p>
        </ns0:tc>
        <ns0:tc>
          <ns0:tcPr>
            <ns0:tcW ns0:w="2075" ns0:type="dxa"/>
          </ns0:tcPr>
          <ns0:p w14:paraId="528B2F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A7C28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DE0B8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0089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限位动作准确可靠</ns0:t>
            </ns0:r>
          </ns0:p>
        </ns0:tc>
        <ns0:tc>
          <ns0:tcPr>
            <ns0:tcW ns0:w="2075" ns0:type="dxa"/>
          </ns0:tcPr>
          <ns0:p w14:paraId="64ADBB8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0245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B45673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E43D4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电机绝缘电阻≥0.5MΩ</ns0:t>
            </ns0:r>
          </ns0:p>
        </ns0:tc>
        <ns0:tc>
          <ns0:tcPr>
            <ns0:tcW ns0:w="2075" ns0:type="dxa"/>
          </ns0:tcPr>
          <ns0:p w14:paraId="25D4684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BAE84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0BF4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8975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导向间隙符合设计要求</ns0:t>
            </ns0:r>
          </ns0:p>
        </ns0:tc>
        <ns0:tc>
          <ns0:tcPr>
            <ns0:tcW ns0:w="2075" ns0:type="dxa"/>
          </ns0:tcPr>
          <ns0:p w14:paraId="0D99DA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648987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3AD6B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F70D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紧固牢固无松动</ns0:t>
            </ns0:r>
          </ns0:p>
        </ns0:tc>
        <ns0:tc>
          <ns0:tcPr>
            <ns0:tcW ns0:w="2075" ns0:type="dxa"/>
          </ns0:tcPr>
          <ns0:p w14:paraId="0356AA3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8545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8401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54A64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油漆完好无脱落</ns0:t>
            </ns0:r>
          </ns0:p>
        </ns0:tc>
        <ns0:tc>
          <ns0:tcPr>
            <ns0:tcW ns0:w="2075" ns0:type="dxa"/>
          </ns0:tcPr>
          <ns0:p w14:paraId="2B3E57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CBA98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6400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E8E1E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-</ns0:t>
            </ns0:r>
          </ns0:p>
        </ns0:tc>
        <ns0:tc>
          <ns0:tcPr>
            <ns0:tcW ns0:w="2075" ns0:type="dxa"/>
          </ns0:tcPr>
          <ns0:p w14:paraId="5B6468A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38BB5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85123F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A9251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157B28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4C2295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42FF11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闸门启闭动作平稳，无卡涩和异常振动。液压驱动系统压力稳定，双缸同步性好，闸门升降平稳无抖动。密封面接触良好，无渗漏现象。限位开关动作准确，安全装置灵敏可靠。电气控制系统运行正常，各仪表指示准确。各项指标均满足设计要求。</ns0:t>
            </ns0:r>
          </ns0:p>
          <ns0:p w14:paraId="6191210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27F06F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E415B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F44621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17E3B26A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418FF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C8408E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/>
          </ns0:p>
        </ns0:tc>
      </ns0:tr>
      <ns0:tr w14:paraId="69FE8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969AF7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798DF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021BE6F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B9B24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55B65DA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1.缺陷：闸门开启到位后略有偏心。</ns0:t>
              <ns0:br/>
              <ns0:t xml:space="preserve">  整改：调整液压缸同步阀及限位开关位置，重新校准后偏心消除。</ns0:t>
              <ns0:br/>
              <ns0:t>2.缺陷：液压系统接头处有微量渗漏。</ns0:t>
              <ns0:br/>
              <ns0:t xml:space="preserve">  整改：紧固接头并更换密封件，渗漏消除，系统压力稳定。</ns0:t>
              <ns0:br/>
              <ns0:t>3.缺陷：上限位开关动作略有延迟。</ns0:t>
              <ns0:br/>
              <ns0:t xml:space="preserve">  整改：调整限位开关感应距离并紧固安装支架，动作恢复正常。</ns0:t>
              <ns0:br/>
              <ns0:t>4.缺陷：闸门底部密封条局部压紧力不足。</ns0:t>
              <ns0:br/>
              <ns0:t xml:space="preserve">  整改：调整密封压板螺栓均匀紧固，密封效果改善合格。</ns0:t>
            </ns0:r>
          </ns0:p>
          <ns0:p w14:paraId="5DA8705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C1DFC6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B6AD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32BDD3C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C7D153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A2A91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DE225E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F60FF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00D9D8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</ns0:tc>
      </ns0:tr>
      <ns0:tr w14:paraId="7017F2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0F9FECF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B64D4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0C6BE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F3665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235F0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04E10AF8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车间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负责人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：</ns0:t>
            </ns0:r>
          </ns0:p>
          <ns0:p w14:paraId="31A52962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83B16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DB0CA86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2A709D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3F07ED0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F3C0E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9B161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9C236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1FCAC031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