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dGAMLSS:</w:t>
      </w:r>
      <w:r>
        <w:t xml:space="preserve"> </w:t>
      </w:r>
      <w:r>
        <w:t xml:space="preserve">An</w:t>
      </w:r>
      <w:r>
        <w:t xml:space="preserve"> </w:t>
      </w:r>
      <w:r>
        <w:t xml:space="preserve">exact,</w:t>
      </w:r>
      <w:r>
        <w:t xml:space="preserve"> </w:t>
      </w:r>
      <w:r>
        <w:t xml:space="preserve">distributed</w:t>
      </w:r>
      <w:r>
        <w:t xml:space="preserve"> </w:t>
      </w:r>
      <w:r>
        <w:t xml:space="preserve">algorithm</w:t>
      </w:r>
      <w:r>
        <w:t xml:space="preserve"> </w:t>
      </w:r>
      <w:r>
        <w:t xml:space="preserve">to</w:t>
      </w:r>
      <w:r>
        <w:t xml:space="preserve"> </w:t>
      </w:r>
      <w:r>
        <w:t xml:space="preserve">fit</w:t>
      </w:r>
      <w:r>
        <w:t xml:space="preserve"> </w:t>
      </w:r>
      <w:r>
        <w:t xml:space="preserve">Generalized</w:t>
      </w:r>
      <w:r>
        <w:t xml:space="preserve"> </w:t>
      </w:r>
      <w:r>
        <w:t xml:space="preserve">Additive</w:t>
      </w:r>
      <w:r>
        <w:t xml:space="preserve"> </w:t>
      </w:r>
      <w:r>
        <w:t xml:space="preserve">Models</w:t>
      </w:r>
      <w:r>
        <w:t xml:space="preserve"> </w:t>
      </w:r>
      <w:r>
        <w:t xml:space="preserve">for</w:t>
      </w:r>
      <w:r>
        <w:t xml:space="preserve"> </w:t>
      </w:r>
      <w:r>
        <w:t xml:space="preserve">Location,</w:t>
      </w:r>
      <w:r>
        <w:t xml:space="preserve"> </w:t>
      </w:r>
      <w:r>
        <w:t xml:space="preserve">Scale,</w:t>
      </w:r>
      <w:r>
        <w:t xml:space="preserve"> </w:t>
      </w:r>
      <w:r>
        <w:t xml:space="preserve">and</w:t>
      </w:r>
      <w:r>
        <w:t xml:space="preserve"> </w:t>
      </w:r>
      <w:r>
        <w:t xml:space="preserve">Shape</w:t>
      </w:r>
      <w:r>
        <w:t xml:space="preserve"> </w:t>
      </w:r>
      <w:r>
        <w:t xml:space="preserve">for</w:t>
      </w:r>
      <w:r>
        <w:t xml:space="preserve"> </w:t>
      </w:r>
      <w:r>
        <w:t xml:space="preserve">privacy-preserving</w:t>
      </w:r>
      <w:r>
        <w:t xml:space="preserve"> </w:t>
      </w:r>
      <w:r>
        <w:t xml:space="preserve">biomedical</w:t>
      </w:r>
      <w:r>
        <w:t xml:space="preserve"> </w:t>
      </w:r>
      <w:r>
        <w:t xml:space="preserve">inference</w:t>
      </w:r>
    </w:p>
    <w:p>
      <w:pPr>
        <w:pStyle w:val="Author"/>
      </w:pPr>
      <w:r>
        <w:t xml:space="preserve">Fengling Hu</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Jiayi</w:t>
      </w:r>
      <w:r>
        <w:t xml:space="preserve"> </w:t>
      </w:r>
      <w:r>
        <w:t xml:space="preserve">Tong</w:t>
      </w:r>
      <w:r>
        <w:rPr>
          <w:vertAlign w:val="superscript"/>
        </w:rPr>
        <w:t xml:space="preserve">2</w:t>
      </w:r>
      <w:r>
        <w:t xml:space="preserve">,</w:t>
      </w:r>
      <w:r>
        <w:t xml:space="preserve"> </w:t>
      </w:r>
      <w:r>
        <w:t xml:space="preserve">Yong</w:t>
      </w:r>
      <w:r>
        <w:t xml:space="preserve"> </w:t>
      </w:r>
      <w:r>
        <w:t xml:space="preserve">Chen</w:t>
      </w:r>
      <w:r>
        <w:rPr>
          <w:vertAlign w:val="superscript"/>
        </w:rPr>
        <w:t xml:space="preserve">2</w:t>
      </w:r>
      <w:r>
        <w:t xml:space="preserve">,</w:t>
      </w:r>
      <w:r>
        <w:t xml:space="preserve"> </w:t>
      </w:r>
      <w:r>
        <w:t xml:space="preserve">and</w:t>
      </w:r>
      <w:r>
        <w:t xml:space="preserve"> </w:t>
      </w:r>
      <w:r>
        <w:t xml:space="preserve">Russell</w:t>
      </w:r>
      <w:r>
        <w:t xml:space="preserve"> </w:t>
      </w:r>
      <w:r>
        <w:t xml:space="preserve">T.</w:t>
      </w:r>
      <w:r>
        <w:t xml:space="preserve"> </w:t>
      </w:r>
      <w:r>
        <w:t xml:space="preserve">Shinohara</w:t>
      </w:r>
      <w:r>
        <w:rPr>
          <w:vertAlign w:val="superscript"/>
        </w:rPr>
        <w:t xml:space="preserve">1</w:t>
      </w:r>
      <w:r>
        <w:rPr>
          <w:vertAlign w:val="superscript"/>
        </w:rPr>
        <w:t xml:space="preserve">,</w:t>
      </w:r>
      <w:r>
        <w:rPr>
          <w:vertAlign w:val="superscript"/>
        </w:rPr>
        <w:t xml:space="preserve">3</w:t>
      </w:r>
    </w:p>
    <w:p>
      <w:pPr>
        <w:pStyle w:val="Date"/>
      </w:pPr>
      <w:r>
        <w:t xml:space="preserve">24</w:t>
      </w:r>
      <w:r>
        <w:t xml:space="preserve"> </w:t>
      </w:r>
      <w:r>
        <w:t xml:space="preserve">May,</w:t>
      </w:r>
      <w:r>
        <w:t xml:space="preserve"> </w:t>
      </w:r>
      <w:r>
        <w:t xml:space="preserve">2024</w:t>
      </w:r>
    </w:p>
    <w:p>
      <w:pPr>
        <w:pStyle w:val="FirstParagraph"/>
      </w:pPr>
      <w:r>
        <w:rPr>
          <w:vertAlign w:val="superscript"/>
        </w:rPr>
        <w:t xml:space="preserve">1</w:t>
      </w:r>
      <w:r>
        <w:t xml:space="preserve"> </w:t>
      </w:r>
      <w:r>
        <w:t xml:space="preserve">Penn Statistics in Imaging and Visualization Endeavor (PennSIVE), Department of Biostatistics, Epidemiology, and Informatics, Perelman School of Medicine, University of Pennsylvania</w:t>
      </w:r>
      <w:r>
        <w:br/>
      </w:r>
      <w:r>
        <w:rPr>
          <w:vertAlign w:val="superscript"/>
        </w:rPr>
        <w:t xml:space="preserve">2</w:t>
      </w:r>
      <w:r>
        <w:t xml:space="preserve"> </w:t>
      </w:r>
      <w:r>
        <w:t xml:space="preserve">Penn Computing, Inference, and Learning Lab (PennCIL), Department of Biostatistics, Epidemiology, and Informatics, Perelman School of Medicine, University of Pennsylvania</w:t>
      </w:r>
      <w:r>
        <w:br/>
      </w:r>
      <w:r>
        <w:rPr>
          <w:vertAlign w:val="superscript"/>
        </w:rPr>
        <w:t xml:space="preserve">3</w:t>
      </w:r>
      <w:r>
        <w:t xml:space="preserve"> </w:t>
      </w:r>
      <w:r>
        <w:t xml:space="preserve">Center for Biomedical Image Computing and Analytics (CBICA), Perelman School of Medicine, University of Pennsylvania</w:t>
      </w:r>
    </w:p>
    <w:p>
      <w:pPr>
        <w:pStyle w:val="BodyText"/>
      </w:pPr>
      <w:r>
        <w:rPr>
          <w:vertAlign w:val="superscript"/>
        </w:rPr>
        <w:t xml:space="preserve">✉</w:t>
      </w:r>
      <w:r>
        <w:t xml:space="preserve"> </w:t>
      </w:r>
      <w:r>
        <w:t xml:space="preserve">Correspondence:</w:t>
      </w:r>
      <w:r>
        <w:t xml:space="preserve"> </w:t>
      </w:r>
      <w:hyperlink r:id="rId21">
        <w:r>
          <w:rPr>
            <w:rStyle w:val="Hyperlink"/>
          </w:rPr>
          <w:t xml:space="preserve">Fengling Hu &lt;</w:t>
        </w:r>
        <w:hyperlink r:id="rId20">
          <w:r>
            <w:rPr>
              <w:rStyle w:val="Hyperlink"/>
            </w:rPr>
            <w:t xml:space="preserve">fengling.hu@pennmedicine.upenn.edu</w:t>
          </w:r>
        </w:hyperlink>
        <w:r>
          <w:rPr>
            <w:rStyle w:val="Hyperlink"/>
          </w:rPr>
          <w:t xml:space="preserve">; 423 Guardian Dr, Philadelphia, PA 19104&gt;</w:t>
        </w:r>
      </w:hyperlink>
    </w:p>
    <w:bookmarkStart w:id="22" w:name="credit-author-statement"/>
    <w:p>
      <w:pPr>
        <w:pStyle w:val="Heading1"/>
      </w:pPr>
      <w:r>
        <w:t xml:space="preserve">CRediT author statement</w:t>
      </w:r>
    </w:p>
    <w:p>
      <w:pPr>
        <w:pStyle w:val="FirstParagraph"/>
      </w:pPr>
      <w:r>
        <w:rPr>
          <w:bCs/>
          <w:b/>
        </w:rPr>
        <w:t xml:space="preserve">Fengling Hu:</w:t>
      </w:r>
      <w:r>
        <w:t xml:space="preserve"> </w:t>
      </w:r>
      <w:r>
        <w:t xml:space="preserve">Conceptualization, Methodology, Software, Validation, Formal Analysis, Investigation, Data Curation, Writing – Original Draft, Writing – Review &amp; Editing, Visualization.</w:t>
      </w:r>
      <w:r>
        <w:t xml:space="preserve"> </w:t>
      </w:r>
      <w:r>
        <w:rPr>
          <w:bCs/>
          <w:b/>
        </w:rPr>
        <w:t xml:space="preserve">Jiayi Tong:</w:t>
      </w:r>
      <w:r>
        <w:t xml:space="preserve"> </w:t>
      </w:r>
      <w:r>
        <w:t xml:space="preserve">Methodology, Validation, Resources, Investigation, Writing – Review &amp; Editing.</w:t>
      </w:r>
      <w:r>
        <w:t xml:space="preserve"> </w:t>
      </w:r>
      <w:r>
        <w:rPr>
          <w:bCs/>
          <w:b/>
        </w:rPr>
        <w:t xml:space="preserve">Yong Chen:</w:t>
      </w:r>
      <w:r>
        <w:t xml:space="preserve"> </w:t>
      </w:r>
      <w:r>
        <w:t xml:space="preserve">Methodology, Validation, Resources, Investigation, Writing – Review &amp; Editing, Supervision.</w:t>
      </w:r>
      <w:r>
        <w:t xml:space="preserve"> </w:t>
      </w:r>
      <w:r>
        <w:rPr>
          <w:bCs/>
          <w:b/>
        </w:rPr>
        <w:t xml:space="preserve">Russell T. Shinohara:</w:t>
      </w:r>
      <w:r>
        <w:t xml:space="preserve"> </w:t>
      </w:r>
      <w:r>
        <w:t xml:space="preserve">Conceptualization, Methodology, Validation, Resources, Investigation, Writing – Review &amp; Editing, Supervision, Project administration, Funding acquisition.</w:t>
      </w:r>
    </w:p>
    <w:bookmarkEnd w:id="22"/>
    <w:bookmarkStart w:id="23" w:name="disclosures-and-conflicts-of-interest"/>
    <w:p>
      <w:pPr>
        <w:pStyle w:val="Heading1"/>
      </w:pPr>
      <w:r>
        <w:t xml:space="preserve">Disclosures and Conflicts of Interest</w:t>
      </w:r>
    </w:p>
    <w:p>
      <w:pPr>
        <w:pStyle w:val="FirstParagraph"/>
      </w:pPr>
      <w:r>
        <w:t xml:space="preserve">TODO</w:t>
      </w:r>
    </w:p>
    <w:bookmarkEnd w:id="23"/>
    <w:bookmarkStart w:id="24" w:name="funding"/>
    <w:p>
      <w:pPr>
        <w:pStyle w:val="Heading1"/>
      </w:pPr>
      <w:r>
        <w:t xml:space="preserve">Funding</w:t>
      </w:r>
    </w:p>
    <w:p>
      <w:pPr>
        <w:pStyle w:val="FirstParagraph"/>
      </w:pPr>
      <w:r>
        <w:t xml:space="preserve">TODO</w:t>
      </w:r>
    </w:p>
    <w:p>
      <w:r>
        <w:br w:type="page"/>
      </w:r>
    </w:p>
    <w:bookmarkEnd w:id="24"/>
    <w:bookmarkStart w:id="27" w:name="hello-bookdown"/>
    <w:p>
      <w:pPr>
        <w:pStyle w:val="Heading1"/>
      </w:pPr>
      <w:r>
        <w:rPr>
          <w:rStyle w:val="SectionNumber"/>
        </w:rPr>
        <w:t xml:space="preserve">1</w:t>
      </w:r>
      <w:r>
        <w:tab/>
      </w:r>
      <w:r>
        <w:t xml:space="preserve">Hello bookdown</w:t>
      </w:r>
    </w:p>
    <w:p>
      <w:pPr>
        <w:pStyle w:val="FirstParagraph"/>
      </w:pPr>
      <w:r>
        <w:t xml:space="preserve">All chapters start with a first-level heading followed by your chapter title, like the line above. There should be only one first-level heading (</w:t>
      </w:r>
      <w:r>
        <w:rPr>
          <w:rStyle w:val="VerbatimChar"/>
        </w:rPr>
        <w:t xml:space="preserve">#</w:t>
      </w:r>
      <w:r>
        <w:t xml:space="preserve">) per .Rmd file.</w:t>
      </w:r>
    </w:p>
    <w:bookmarkStart w:id="26" w:name="a-section"/>
    <w:p>
      <w:pPr>
        <w:pStyle w:val="Heading2"/>
      </w:pPr>
      <w:r>
        <w:rPr>
          <w:rStyle w:val="SectionNumber"/>
        </w:rPr>
        <w:t xml:space="preserve">1.1</w:t>
      </w:r>
      <w:r>
        <w:tab/>
      </w:r>
      <w:r>
        <w:t xml:space="preserve">A section</w:t>
      </w:r>
    </w:p>
    <w:p>
      <w:pPr>
        <w:pStyle w:val="FirstParagraph"/>
      </w:pPr>
      <w:r>
        <w:t xml:space="preserve">All chapter sections start with a second-level (</w:t>
      </w:r>
      <w:r>
        <w:rPr>
          <w:rStyle w:val="VerbatimChar"/>
        </w:rPr>
        <w:t xml:space="preserve">##</w:t>
      </w:r>
      <w:r>
        <w:t xml:space="preserve">) or higher heading followed by your section title, like the sections above and below here. You can have as many as you want within a chapter.</w:t>
      </w:r>
    </w:p>
    <w:bookmarkStart w:id="25" w:name="an-unnumbered-section"/>
    <w:p>
      <w:pPr>
        <w:pStyle w:val="Heading3"/>
      </w:pPr>
      <w:r>
        <w:t xml:space="preserve">An unnumbered section</w:t>
      </w:r>
    </w:p>
    <w:p>
      <w:pPr>
        <w:pStyle w:val="FirstParagraph"/>
      </w:pPr>
      <w:r>
        <w:t xml:space="preserve">Chapters and sections are numbered by default. To un-number a heading, add a</w:t>
      </w:r>
      <w:r>
        <w:t xml:space="preserve"> </w:t>
      </w:r>
      <w:r>
        <w:rPr>
          <w:rStyle w:val="VerbatimChar"/>
        </w:rPr>
        <w:t xml:space="preserve">{.unnumbered}</w:t>
      </w:r>
      <w:r>
        <w:t xml:space="preserve"> </w:t>
      </w:r>
      <w:r>
        <w:t xml:space="preserve">or the shorter</w:t>
      </w:r>
      <w:r>
        <w:t xml:space="preserve"> </w:t>
      </w:r>
      <w:r>
        <w:rPr>
          <w:rStyle w:val="VerbatimChar"/>
        </w:rPr>
        <w:t xml:space="preserve">{-}</w:t>
      </w:r>
      <w:r>
        <w:t xml:space="preserve"> </w:t>
      </w:r>
      <w:r>
        <w:t xml:space="preserve">at the end of the heading, like in this section.</w:t>
      </w:r>
    </w:p>
    <w:bookmarkEnd w:id="25"/>
    <w:bookmarkEnd w:id="26"/>
    <w:bookmarkEnd w:id="27"/>
    <w:bookmarkStart w:id="30" w:name="methods"/>
    <w:p>
      <w:pPr>
        <w:pStyle w:val="Heading1"/>
      </w:pPr>
      <w:r>
        <w:rPr>
          <w:rStyle w:val="SectionNumber"/>
        </w:rPr>
        <w:t xml:space="preserve">2</w:t>
      </w:r>
      <w:r>
        <w:tab/>
      </w:r>
      <w:r>
        <w:t xml:space="preserve">Methods</w:t>
      </w:r>
    </w:p>
    <w:p>
      <w:pPr>
        <w:pStyle w:val="FirstParagraph"/>
      </w:pPr>
      <w:r>
        <w:t xml:space="preserve">We develop a distributed GAMLSS algorithm (dGAMLSS) based on the Rigby and Stasinopoulos (RS) algorithm for GAMLSS fitting</w:t>
      </w:r>
      <w:r>
        <w:t xml:space="preserve"> </w:t>
      </w:r>
      <w:r>
        <w:t xml:space="preserve">(</w:t>
      </w:r>
      <w:hyperlink w:anchor="ref-rigbySemiparametricAdditiveModel1996">
        <w:r>
          <w:rPr>
            <w:rStyle w:val="Hyperlink"/>
            <w:bCs/>
            <w:b/>
          </w:rPr>
          <w:t xml:space="preserve">rigbySemiparametricAdditiveModel1996?</w:t>
        </w:r>
      </w:hyperlink>
      <w:r>
        <w:t xml:space="preserve">;</w:t>
      </w:r>
      <w:r>
        <w:t xml:space="preserve"> </w:t>
      </w:r>
      <w:hyperlink w:anchor="ref-rigbyGeneralizedAdditiveModels2005">
        <w:r>
          <w:rPr>
            <w:rStyle w:val="Hyperlink"/>
            <w:bCs/>
            <w:b/>
          </w:rPr>
          <w:t xml:space="preserve">rigbyGeneralizedAdditiveModels2005?</w:t>
        </w:r>
      </w:hyperlink>
      <w:r>
        <w:t xml:space="preserve">)</w:t>
      </w:r>
      <w:r>
        <w:t xml:space="preserve">. Ultimately, the dGAMLSS algorithm provides distributed machinery for exact fitting of GAMLSS for distributions with up to four parameters across multiple sites without sharing any patient-level data. For each parameter, dGAMLSS can fit fixed effect covariates as well as up to one smooth term defined as either a fixed effect B-spline or a penalized B-spline with known penalty weight</w:t>
      </w:r>
      <w:r>
        <w:t xml:space="preserve"> </w:t>
      </w:r>
      <w:r>
        <w:t xml:space="preserve">(</w:t>
      </w:r>
      <w:hyperlink w:anchor="ref-eilersFlexibleSmoothingBsplines1996">
        <w:r>
          <w:rPr>
            <w:rStyle w:val="Hyperlink"/>
            <w:bCs/>
            <w:b/>
          </w:rPr>
          <w:t xml:space="preserve">eilersFlexibleSmoothingBsplines1996?</w:t>
        </w:r>
      </w:hyperlink>
      <w:r>
        <w:t xml:space="preserve">)</w:t>
      </w:r>
      <w:r>
        <w:t xml:space="preserve">. Additionally, dGAMLSS enables distributed inference using observed Hessian matrices from each site. Finally, dGAMLSS provides model-based centiles, allowing for normative outcome modeling.</w:t>
      </w:r>
    </w:p>
    <w:bookmarkStart w:id="28" w:name="distributed-rs-algorithm"/>
    <w:p>
      <w:pPr>
        <w:pStyle w:val="Heading2"/>
      </w:pPr>
      <w:r>
        <w:rPr>
          <w:rStyle w:val="SectionNumber"/>
        </w:rPr>
        <w:t xml:space="preserve">2.1</w:t>
      </w:r>
      <w:r>
        <w:tab/>
      </w:r>
      <w:r>
        <w:t xml:space="preserve">Distributed RS algorithm</w:t>
      </w:r>
    </w:p>
    <w:p>
      <w:pPr>
        <w:pStyle w:val="FirstParagraph"/>
      </w:pPr>
      <w:r>
        <w:t xml:space="preserve">The gold-standard, pooled RS algorithm is provided in Appendix B of</w:t>
      </w:r>
      <w:r>
        <w:t xml:space="preserve"> </w:t>
      </w:r>
      <w:r>
        <w:t xml:space="preserve">(</w:t>
      </w:r>
      <w:hyperlink w:anchor="ref-rigbyGeneralizedAdditiveModels2005">
        <w:r>
          <w:rPr>
            <w:rStyle w:val="Hyperlink"/>
            <w:bCs/>
            <w:b/>
          </w:rPr>
          <w:t xml:space="preserve">rigbyGeneralizedAdditiveModels2005?</w:t>
        </w:r>
      </w:hyperlink>
      <w:r>
        <w:t xml:space="preserve">)</w:t>
      </w:r>
      <w:r>
        <w:t xml:space="preserve">. Briefly, the RS algorithm consists of two cycles which result in maximization of the pooled likelihood with respect to the fixed effect and smoothing coefficients. The outer cycle iterates across the GAMLSS distribution-specific parameters in order from</w:t>
      </w:r>
      <w:r>
        <w:t xml:space="preserve"> </w:t>
      </w:r>
      <m:oMath>
        <m:r>
          <m:t>μ</m:t>
        </m:r>
      </m:oMath>
      <w:r>
        <w:t xml:space="preserve"> </w:t>
      </w:r>
      <w:r>
        <w:t xml:space="preserve">to</w:t>
      </w:r>
      <w:r>
        <w:t xml:space="preserve"> </w:t>
      </w:r>
      <m:oMath>
        <m:r>
          <m:t>τ</m:t>
        </m:r>
      </m:oMath>
      <w:r>
        <w:t xml:space="preserve">. Meanwhile, the inner cycle performs Newton-Raphson updates on the outer-cycle parameter-wise coefficients while keeping coefficients for all other parameters constant. Each inner cycle is completed when the parameter-wise coefficients converge. The outer cycle is completed when all parameter-wise coefficients converge.</w:t>
      </w:r>
    </w:p>
    <w:p>
      <w:pPr>
        <w:pStyle w:val="BodyText"/>
      </w:pPr>
      <w:r>
        <w:t xml:space="preserve">Notably, the pooled RS algorithm describes an additional backfitting cycle within the inner cycle. This backfitting lets GAMLSS fit multiple smooth terms for each parameter, similarly to a generalized additive model (GAM) [TODO]. We forego discussion of the RS backfitting algorithm here – in the distributed setting, backfitting tends to require a prohibitive number of additional communication rounds within each inner cycle. Instead, we provide a distributed RS approach for fitting up to one smooth term per parameter, using either a fixed effect spline design matrix or a penalized spline with a fixed penalty.</w:t>
      </w:r>
    </w:p>
    <w:p>
      <w:pPr>
        <w:pStyle w:val="BodyText"/>
      </w:pPr>
      <w:r>
        <w:t xml:space="preserve">We provide some notation:</w:t>
      </w:r>
    </w:p>
    <w:p>
      <w:pPr>
        <w:pStyle w:val="BodyText"/>
      </w:pPr>
      <m:oMath>
        <m:r>
          <m:t>m</m:t>
        </m:r>
      </m:oMath>
      <w:r>
        <w:t xml:space="preserve"> </w:t>
      </w:r>
      <w:r>
        <w:t xml:space="preserve">Total number of sites.</w:t>
      </w:r>
      <w:r>
        <w:t xml:space="preserve"> </w:t>
      </w:r>
      <m:oMath>
        <m:r>
          <m:t>i</m:t>
        </m:r>
      </m:oMath>
      <w:r>
        <w:t xml:space="preserve"> </w:t>
      </w:r>
      <w:r>
        <w:t xml:space="preserve">Index of sites,</w:t>
      </w:r>
      <w:r>
        <w:t xml:space="preserve"> </w:t>
      </w:r>
      <m:oMath>
        <m:r>
          <m:t>1</m:t>
        </m:r>
        <m:r>
          <m:rPr>
            <m:sty m:val="p"/>
          </m:rPr>
          <m:t>,</m:t>
        </m:r>
        <m:r>
          <m:rPr>
            <m:sty m:val="p"/>
          </m:rPr>
          <m:t>…</m:t>
        </m:r>
        <m:r>
          <m:rPr>
            <m:sty m:val="p"/>
          </m:rPr>
          <m:t>,</m:t>
        </m:r>
        <m:r>
          <m:t>m</m:t>
        </m:r>
      </m:oMath>
      <w:r>
        <w:t xml:space="preserve">.</w:t>
      </w:r>
    </w:p>
    <w:p>
      <w:pPr>
        <w:pStyle w:val="BodyText"/>
      </w:pPr>
      <m:oMath>
        <m:r>
          <m:t>n</m:t>
        </m:r>
      </m:oMath>
      <w:r>
        <w:t xml:space="preserve"> </w:t>
      </w:r>
      <w:r>
        <w:t xml:space="preserve">Total number of subjects across all sites.</w:t>
      </w:r>
      <w:r>
        <w:t xml:space="preserve"> </w:t>
      </w:r>
      <m:oMath>
        <m:sSub>
          <m:e>
            <m:r>
              <m:t>n</m:t>
            </m:r>
          </m:e>
          <m:sub>
            <m:r>
              <m:t>i</m:t>
            </m:r>
          </m:sub>
        </m:sSub>
      </m:oMath>
      <w:r>
        <w:t xml:space="preserve"> </w:t>
      </w:r>
      <w:r>
        <w:t xml:space="preserve">Number of subjects in site</w:t>
      </w:r>
      <w:r>
        <w:t xml:space="preserve"> </w:t>
      </w:r>
      <m:oMath>
        <m:r>
          <m:t>i</m:t>
        </m:r>
      </m:oMath>
      <w:r>
        <w:t xml:space="preserve">.</w:t>
      </w:r>
      <w:r>
        <w:t xml:space="preserve"> </w:t>
      </w:r>
      <m:oMath>
        <m:r>
          <m:t>j</m:t>
        </m:r>
      </m:oMath>
      <w:r>
        <w:t xml:space="preserve"> </w:t>
      </w:r>
      <w:r>
        <w:t xml:space="preserve">Index of subjects within a specific site,</w:t>
      </w:r>
      <w:r>
        <w:t xml:space="preserve"> </w:t>
      </w:r>
      <m:oMath>
        <m:r>
          <m:t>1</m:t>
        </m:r>
        <m:r>
          <m:rPr>
            <m:sty m:val="p"/>
          </m:rPr>
          <m:t>,</m:t>
        </m:r>
        <m:r>
          <m:rPr>
            <m:sty m:val="p"/>
          </m:rPr>
          <m:t>…</m:t>
        </m:r>
        <m:r>
          <m:rPr>
            <m:sty m:val="p"/>
          </m:rPr>
          <m:t>,</m:t>
        </m:r>
        <m:sSub>
          <m:e>
            <m:r>
              <m:t>n</m:t>
            </m:r>
          </m:e>
          <m:sub>
            <m:r>
              <m:t>i</m:t>
            </m:r>
          </m:sub>
        </m:sSub>
      </m:oMath>
      <w:r>
        <w:t xml:space="preserve">.</w:t>
      </w:r>
    </w:p>
    <w:p>
      <w:pPr>
        <w:pStyle w:val="BodyText"/>
      </w:pPr>
      <m:oMath>
        <m:r>
          <m:t>p</m:t>
        </m:r>
      </m:oMath>
      <w:r>
        <w:t xml:space="preserve"> </w:t>
      </w:r>
      <w:r>
        <w:t xml:space="preserve">Total number of GAMLSS parameters depending on distribution,</w:t>
      </w:r>
      <w:r>
        <w:t xml:space="preserve"> </w:t>
      </w:r>
      <m:oMath>
        <m:r>
          <m:t>p</m:t>
        </m:r>
        <m:r>
          <m:rPr>
            <m:sty m:val="p"/>
          </m:rPr>
          <m:t>=</m:t>
        </m:r>
        <m:r>
          <m:t>2</m:t>
        </m:r>
        <m:r>
          <m:rPr>
            <m:sty m:val="p"/>
          </m:rPr>
          <m:t>,</m:t>
        </m:r>
        <m:r>
          <m:t>3</m:t>
        </m:r>
      </m:oMath>
      <w:r>
        <w:t xml:space="preserve">, or</w:t>
      </w:r>
      <w:r>
        <w:t xml:space="preserve"> </w:t>
      </w:r>
      <m:oMath>
        <m:r>
          <m:t>4</m:t>
        </m:r>
      </m:oMath>
      <w:r>
        <w:t xml:space="preserve">.</w:t>
      </w:r>
      <w:r>
        <w:t xml:space="preserve"> </w:t>
      </w:r>
      <m:oMath>
        <m:r>
          <m:t>p</m:t>
        </m:r>
        <m:r>
          <m:rPr>
            <m:sty m:val="p"/>
          </m:rPr>
          <m:t>=</m:t>
        </m:r>
        <m:r>
          <m:t>4</m:t>
        </m:r>
      </m:oMath>
      <w:r>
        <w:t xml:space="preserve"> </w:t>
      </w:r>
      <w:r>
        <w:t xml:space="preserve">corresponds to distributions with</w:t>
      </w:r>
      <w:r>
        <w:t xml:space="preserve"> </w:t>
      </w:r>
      <m:oMath>
        <m:r>
          <m:t>μ</m:t>
        </m:r>
      </m:oMath>
      <w:r>
        <w:t xml:space="preserve">,</w:t>
      </w:r>
      <w:r>
        <w:t xml:space="preserve"> </w:t>
      </w:r>
      <m:oMath>
        <m:r>
          <m:t>σ</m:t>
        </m:r>
      </m:oMath>
      <w:r>
        <w:t xml:space="preserve">,</w:t>
      </w:r>
      <w:r>
        <w:t xml:space="preserve"> </w:t>
      </w:r>
      <m:oMath>
        <m:r>
          <m:t>ν</m:t>
        </m:r>
      </m:oMath>
      <w:r>
        <w:t xml:space="preserve">, and</w:t>
      </w:r>
      <w:r>
        <w:t xml:space="preserve"> </w:t>
      </w:r>
      <m:oMath>
        <m:r>
          <m:t>τ</m:t>
        </m:r>
      </m:oMath>
      <w:r>
        <w:t xml:space="preserve"> </w:t>
      </w:r>
      <w:r>
        <w:t xml:space="preserve">parameters.</w:t>
      </w:r>
      <w:r>
        <w:t xml:space="preserve"> </w:t>
      </w:r>
      <m:oMath>
        <m:r>
          <m:t>k</m:t>
        </m:r>
      </m:oMath>
      <w:r>
        <w:t xml:space="preserve"> </w:t>
      </w:r>
      <w:r>
        <w:t xml:space="preserve">GAMLSS parameter index,</w:t>
      </w:r>
      <w:r>
        <w:t xml:space="preserve"> </w:t>
      </w:r>
      <m:oMath>
        <m:r>
          <m:t>1</m:t>
        </m:r>
        <m:r>
          <m:rPr>
            <m:sty m:val="p"/>
          </m:rPr>
          <m:t>,</m:t>
        </m:r>
        <m:r>
          <m:rPr>
            <m:sty m:val="p"/>
          </m:rPr>
          <m:t>…</m:t>
        </m:r>
        <m:r>
          <m:rPr>
            <m:sty m:val="p"/>
          </m:rPr>
          <m:t>,</m:t>
        </m:r>
        <m:r>
          <m:t>p</m:t>
        </m:r>
      </m:oMath>
      <w:r>
        <w:t xml:space="preserve">.</w:t>
      </w:r>
      <w:r>
        <w:t xml:space="preserve"> </w:t>
      </w:r>
      <m:oMath>
        <m:sSub>
          <m:e>
            <m:r>
              <m:t>β</m:t>
            </m:r>
          </m:e>
          <m:sub>
            <m:r>
              <m:t>k</m:t>
            </m:r>
          </m:sub>
        </m:sSub>
      </m:oMath>
      <w:r>
        <w:t xml:space="preserve"> </w:t>
      </w:r>
      <w:r>
        <w:t xml:space="preserve">Pooled fixed effect coefficients for parameter</w:t>
      </w:r>
      <w:r>
        <w:t xml:space="preserve"> </w:t>
      </w:r>
      <m:oMath>
        <m:r>
          <m:t>k</m:t>
        </m:r>
      </m:oMath>
      <w:r>
        <w:t xml:space="preserve">.</w:t>
      </w:r>
      <w:r>
        <w:t xml:space="preserve"> </w:t>
      </w:r>
      <m:oMath>
        <m:sSub>
          <m:e>
            <m:r>
              <m:t>γ</m:t>
            </m:r>
          </m:e>
          <m:sub>
            <m:r>
              <m:t>k</m:t>
            </m:r>
          </m:sub>
        </m:sSub>
      </m:oMath>
      <w:r>
        <w:t xml:space="preserve"> </w:t>
      </w:r>
      <w:r>
        <w:t xml:space="preserve">(Optional) pooled smooth effect coefficients for parameter</w:t>
      </w:r>
      <w:r>
        <w:t xml:space="preserve"> </w:t>
      </w:r>
      <m:oMath>
        <m:r>
          <m:t>k</m:t>
        </m:r>
      </m:oMath>
      <w:r>
        <w:t xml:space="preserve">.</w:t>
      </w:r>
    </w:p>
    <w:p>
      <w:pPr>
        <w:pStyle w:val="BodyText"/>
      </w:pPr>
      <m:oMath>
        <m:sSub>
          <m:e>
            <m:r>
              <m:rPr>
                <m:sty m:val="b"/>
              </m:rPr>
              <m:t>θ</m:t>
            </m:r>
          </m:e>
          <m:sub>
            <m:r>
              <m:t>i</m:t>
            </m:r>
            <m:r>
              <m:t>k</m:t>
            </m:r>
          </m:sub>
        </m:sSub>
      </m:oMath>
      <w:r>
        <w:t xml:space="preserve"> </w:t>
      </w:r>
      <w:r>
        <w:t xml:space="preserve">Fitted GAMLSS canonical parameter for site</w:t>
      </w:r>
      <w:r>
        <w:t xml:space="preserve"> </w:t>
      </w:r>
      <m:oMath>
        <m:r>
          <m:t>i</m:t>
        </m:r>
      </m:oMath>
      <w:r>
        <w:t xml:space="preserve"> </w:t>
      </w:r>
      <w:r>
        <w:t xml:space="preserve">for parameter</w:t>
      </w:r>
      <w:r>
        <w:t xml:space="preserve"> </w:t>
      </w:r>
      <m:oMath>
        <m:r>
          <m:t>k</m:t>
        </m:r>
      </m:oMath>
      <w:r>
        <w:t xml:space="preserve">.</w:t>
      </w:r>
      <w:r>
        <w:t xml:space="preserve"> </w:t>
      </w:r>
      <m:oMath>
        <m:sSub>
          <m:e>
            <m:r>
              <m:rPr>
                <m:sty m:val="b"/>
              </m:rPr>
              <m:t>θ</m:t>
            </m:r>
          </m:e>
          <m:sub>
            <m:r>
              <m:t>i</m:t>
            </m:r>
            <m:r>
              <m:t>1</m:t>
            </m:r>
          </m:sub>
        </m:sSub>
      </m:oMath>
      <w:r>
        <w:t xml:space="preserve">,</w:t>
      </w:r>
      <w:r>
        <w:t xml:space="preserve"> </w:t>
      </w:r>
      <m:oMath>
        <m:sSub>
          <m:e>
            <m:r>
              <m:rPr>
                <m:sty m:val="b"/>
              </m:rPr>
              <m:t>θ</m:t>
            </m:r>
          </m:e>
          <m:sub>
            <m:r>
              <m:t>i</m:t>
            </m:r>
            <m:r>
              <m:t>2</m:t>
            </m:r>
          </m:sub>
        </m:sSub>
      </m:oMath>
      <w:r>
        <w:t xml:space="preserve">,</w:t>
      </w:r>
      <w:r>
        <w:t xml:space="preserve"> </w:t>
      </w:r>
      <m:oMath>
        <m:sSub>
          <m:e>
            <m:r>
              <m:rPr>
                <m:sty m:val="b"/>
              </m:rPr>
              <m:t>θ</m:t>
            </m:r>
          </m:e>
          <m:sub>
            <m:r>
              <m:t>i</m:t>
            </m:r>
            <m:r>
              <m:t>3</m:t>
            </m:r>
          </m:sub>
        </m:sSub>
      </m:oMath>
      <w:r>
        <w:t xml:space="preserve">, and</w:t>
      </w:r>
      <w:r>
        <w:t xml:space="preserve"> </w:t>
      </w:r>
      <m:oMath>
        <m:sSub>
          <m:e>
            <m:r>
              <m:rPr>
                <m:sty m:val="b"/>
              </m:rPr>
              <m:t>θ</m:t>
            </m:r>
          </m:e>
          <m:sub>
            <m:r>
              <m:t>i</m:t>
            </m:r>
            <m:r>
              <m:t>4</m:t>
            </m:r>
          </m:sub>
        </m:sSub>
      </m:oMath>
      <w:r>
        <w:t xml:space="preserve"> </w:t>
      </w:r>
      <w:r>
        <w:t xml:space="preserve">correspond to</w:t>
      </w:r>
      <w:r>
        <w:t xml:space="preserve"> </w:t>
      </w:r>
      <m:oMath>
        <m:sSub>
          <m:e>
            <m:r>
              <m:t>μ</m:t>
            </m:r>
          </m:e>
          <m:sub>
            <m:r>
              <m:t>i</m:t>
            </m:r>
          </m:sub>
        </m:sSub>
      </m:oMath>
      <w:r>
        <w:t xml:space="preserve">,</w:t>
      </w:r>
      <w:r>
        <w:t xml:space="preserve"> </w:t>
      </w:r>
      <m:oMath>
        <m:sSub>
          <m:e>
            <m:r>
              <m:t>σ</m:t>
            </m:r>
          </m:e>
          <m:sub>
            <m:r>
              <m:t>i</m:t>
            </m:r>
          </m:sub>
        </m:sSub>
      </m:oMath>
      <w:r>
        <w:t xml:space="preserve">,</w:t>
      </w:r>
      <w:r>
        <w:t xml:space="preserve"> </w:t>
      </w:r>
      <m:oMath>
        <m:sSub>
          <m:e>
            <m:r>
              <m:t>ν</m:t>
            </m:r>
          </m:e>
          <m:sub>
            <m:r>
              <m:t>i</m:t>
            </m:r>
          </m:sub>
        </m:sSub>
      </m:oMath>
      <w:r>
        <w:t xml:space="preserve">, and</w:t>
      </w:r>
      <w:r>
        <w:t xml:space="preserve"> </w:t>
      </w:r>
      <m:oMath>
        <m:sSub>
          <m:e>
            <m:r>
              <m:t>τ</m:t>
            </m:r>
          </m:e>
          <m:sub>
            <m:r>
              <m:t>i</m:t>
            </m:r>
          </m:sub>
        </m:sSub>
      </m:oMath>
      <w:r>
        <w:t xml:space="preserve">, respectively.</w:t>
      </w:r>
      <w:r>
        <w:t xml:space="preserve"> </w:t>
      </w:r>
      <m:oMath>
        <m:sSub>
          <m:e>
            <m:r>
              <m:rPr>
                <m:sty m:val="b"/>
              </m:rPr>
              <m:t>η</m:t>
            </m:r>
          </m:e>
          <m:sub>
            <m:r>
              <m:t>i</m:t>
            </m:r>
            <m:r>
              <m:t>k</m:t>
            </m:r>
          </m:sub>
        </m:sSub>
      </m:oMath>
      <w:r>
        <w:t xml:space="preserve"> </w:t>
      </w:r>
      <w:r>
        <w:t xml:space="preserve">GAMLSS linear predictor from site</w:t>
      </w:r>
      <w:r>
        <w:t xml:space="preserve"> </w:t>
      </w:r>
      <m:oMath>
        <m:r>
          <m:t>i</m:t>
        </m:r>
      </m:oMath>
      <w:r>
        <w:t xml:space="preserve"> </w:t>
      </w:r>
      <w:r>
        <w:t xml:space="preserve">for parameter</w:t>
      </w:r>
      <w:r>
        <w:t xml:space="preserve"> </w:t>
      </w:r>
      <m:oMath>
        <m:r>
          <m:t>k</m:t>
        </m:r>
      </m:oMath>
      <w:r>
        <w:t xml:space="preserve">, such that</w:t>
      </w:r>
      <w:r>
        <w:t xml:space="preserve"> </w:t>
      </w:r>
      <m:oMath>
        <m:sSub>
          <m:e>
            <m:r>
              <m:t>g</m:t>
            </m:r>
          </m:e>
          <m:sub>
            <m:r>
              <m:t>k</m:t>
            </m:r>
          </m:sub>
        </m:sSub>
        <m:d>
          <m:dPr>
            <m:begChr m:val="("/>
            <m:endChr m:val=")"/>
            <m:sepChr m:val=""/>
            <m:grow/>
          </m:dPr>
          <m:e>
            <m:sSub>
              <m:e>
                <m:r>
                  <m:rPr>
                    <m:sty m:val="b"/>
                  </m:rPr>
                  <m:t>θ</m:t>
                </m:r>
              </m:e>
              <m:sub>
                <m:r>
                  <m:t>i</m:t>
                </m:r>
                <m:r>
                  <m:t>k</m:t>
                </m:r>
              </m:sub>
            </m:sSub>
          </m:e>
        </m:d>
        <m:r>
          <m:rPr>
            <m:sty m:val="p"/>
          </m:rPr>
          <m:t>=</m:t>
        </m:r>
        <m:sSub>
          <m:e>
            <m:r>
              <m:rPr>
                <m:sty m:val="b"/>
              </m:rPr>
              <m:t>η</m:t>
            </m:r>
          </m:e>
          <m:sub>
            <m:r>
              <m:t>i</m:t>
            </m:r>
            <m:r>
              <m:t>k</m:t>
            </m:r>
          </m:sub>
        </m:sSub>
      </m:oMath>
      <w:r>
        <w:t xml:space="preserve">, where</w:t>
      </w:r>
      <w:r>
        <w:t xml:space="preserve"> </w:t>
      </w:r>
      <m:oMath>
        <m:r>
          <m:t>g</m:t>
        </m:r>
        <m:d>
          <m:dPr>
            <m:begChr m:val="("/>
            <m:endChr m:val=")"/>
            <m:sepChr m:val=""/>
            <m:grow/>
          </m:dPr>
          <m:e>
            <m:r>
              <m:rPr>
                <m:sty m:val="p"/>
              </m:rPr>
              <m:t>⋅</m:t>
            </m:r>
          </m:e>
        </m:d>
      </m:oMath>
      <w:r>
        <w:t xml:space="preserve"> </w:t>
      </w:r>
      <w:r>
        <w:t xml:space="preserve">is the distribution-dependent canonical link function for the</w:t>
      </w:r>
      <w:r>
        <w:t xml:space="preserve"> </w:t>
      </w:r>
      <m:oMath>
        <m:r>
          <m:t>k</m:t>
        </m:r>
      </m:oMath>
      <w:r>
        <w:t xml:space="preserve">th parameter.</w:t>
      </w:r>
      <w:r>
        <w:t xml:space="preserve"> </w:t>
      </w:r>
      <m:oMath>
        <m:sSub>
          <m:e>
            <m:r>
              <m:rPr>
                <m:sty m:val="b"/>
              </m:rPr>
              <m:t>u</m:t>
            </m:r>
          </m:e>
          <m:sub>
            <m:r>
              <m:t>i</m:t>
            </m:r>
            <m:r>
              <m:t>k</m:t>
            </m:r>
          </m:sub>
        </m:sSub>
      </m:oMath>
      <w:r>
        <w:t xml:space="preserve"> </w:t>
      </w:r>
      <w:r>
        <w:t xml:space="preserve">Vector of first derivatives of subject-wise log likelihoods with respect to</w:t>
      </w:r>
      <w:r>
        <w:t xml:space="preserve"> </w:t>
      </w:r>
      <m:oMath>
        <m:sSub>
          <m:e>
            <m:r>
              <m:rPr>
                <m:sty m:val="b"/>
              </m:rPr>
              <m:t>η</m:t>
            </m:r>
          </m:e>
          <m:sub>
            <m:r>
              <m:t>i</m:t>
            </m:r>
            <m:r>
              <m:t>k</m:t>
            </m:r>
          </m:sub>
        </m:sSub>
      </m:oMath>
      <w:r>
        <w:t xml:space="preserve">.</w:t>
      </w:r>
      <w:r>
        <w:t xml:space="preserve"> </w:t>
      </w:r>
      <m:oMath>
        <m:sSub>
          <m:e>
            <m:r>
              <m:rPr>
                <m:sty m:val="b"/>
              </m:rPr>
              <m:t>W</m:t>
            </m:r>
          </m:e>
          <m:sub>
            <m:r>
              <m:t>i</m:t>
            </m:r>
            <m:r>
              <m:t>k</m:t>
            </m:r>
          </m:sub>
        </m:sSub>
      </m:oMath>
      <w:r>
        <w:t xml:space="preserve"> </w:t>
      </w:r>
      <w:r>
        <w:t xml:space="preserve">Diagonal matrix of second derivatives of subject-wise log likelihoods with respect to</w:t>
      </w:r>
      <w:r>
        <w:t xml:space="preserve"> </w:t>
      </w:r>
      <m:oMath>
        <m:sSub>
          <m:e>
            <m:r>
              <m:rPr>
                <m:sty m:val="b"/>
              </m:rPr>
              <m:t>η</m:t>
            </m:r>
          </m:e>
          <m:sub>
            <m:r>
              <m:t>i</m:t>
            </m:r>
            <m:r>
              <m:t>k</m:t>
            </m:r>
          </m:sub>
        </m:sSub>
      </m:oMath>
      <w:r>
        <w:t xml:space="preserve">.</w:t>
      </w:r>
      <w:r>
        <w:t xml:space="preserve"> </w:t>
      </w:r>
      <m:oMath>
        <m:sSub>
          <m:e>
            <m:r>
              <m:rPr>
                <m:sty m:val="b"/>
              </m:rPr>
              <m:t>z</m:t>
            </m:r>
          </m:e>
          <m:sub>
            <m:r>
              <m:t>i</m:t>
            </m:r>
            <m:r>
              <m:t>k</m:t>
            </m:r>
          </m:sub>
        </m:sSub>
      </m:oMath>
      <w:r>
        <w:t xml:space="preserve"> </w:t>
      </w:r>
      <w:r>
        <w:t xml:space="preserve">Adjusted dependent variable from site</w:t>
      </w:r>
      <w:r>
        <w:t xml:space="preserve"> </w:t>
      </w:r>
      <m:oMath>
        <m:r>
          <m:t>i</m:t>
        </m:r>
      </m:oMath>
      <w:r>
        <w:t xml:space="preserve"> </w:t>
      </w:r>
      <w:r>
        <w:t xml:space="preserve">for parameter</w:t>
      </w:r>
      <w:r>
        <w:t xml:space="preserve"> </w:t>
      </w:r>
      <m:oMath>
        <m:r>
          <m:t>k</m:t>
        </m:r>
      </m:oMath>
      <w:r>
        <w:t xml:space="preserve">.</w:t>
      </w:r>
      <w:r>
        <w:t xml:space="preserve"> </w:t>
      </w:r>
      <m:oMath>
        <m:sSub>
          <m:e>
            <m:r>
              <m:rPr>
                <m:sty m:val="b"/>
              </m:rPr>
              <m:t>z</m:t>
            </m:r>
          </m:e>
          <m:sub>
            <m:r>
              <m:t>i</m:t>
            </m:r>
            <m:r>
              <m:t>k</m:t>
            </m:r>
          </m:sub>
        </m:sSub>
        <m:r>
          <m:rPr>
            <m:sty m:val="p"/>
          </m:rPr>
          <m:t>=</m:t>
        </m:r>
        <m:sSub>
          <m:e>
            <m:r>
              <m:rPr>
                <m:sty m:val="b"/>
              </m:rPr>
              <m:t>η</m:t>
            </m:r>
          </m:e>
          <m:sub>
            <m:r>
              <m:t>i</m:t>
            </m:r>
            <m:r>
              <m:t>k</m:t>
            </m:r>
          </m:sub>
        </m:sSub>
        <m:r>
          <m:rPr>
            <m:sty m:val="p"/>
          </m:rPr>
          <m:t>+</m:t>
        </m:r>
        <m:sSubSup>
          <m:e>
            <m:r>
              <m:rPr>
                <m:sty m:val="b"/>
              </m:rPr>
              <m:t>W</m:t>
            </m:r>
          </m:e>
          <m:sub>
            <m:r>
              <m:t>i</m:t>
            </m:r>
            <m:r>
              <m:t>k</m:t>
            </m:r>
          </m:sub>
          <m:sup>
            <m:r>
              <m:rPr>
                <m:sty m:val="p"/>
              </m:rPr>
              <m:t>−</m:t>
            </m:r>
            <m:r>
              <m:t>1</m:t>
            </m:r>
          </m:sup>
        </m:sSubSup>
        <m:sSub>
          <m:e>
            <m:r>
              <m:rPr>
                <m:sty m:val="b"/>
              </m:rPr>
              <m:t>u</m:t>
            </m:r>
          </m:e>
          <m:sub>
            <m:r>
              <m:t>i</m:t>
            </m:r>
            <m:r>
              <m:t>k</m:t>
            </m:r>
          </m:sub>
        </m:sSub>
      </m:oMath>
      <w:r>
        <w:t xml:space="preserve">.</w:t>
      </w:r>
    </w:p>
    <w:p>
      <w:pPr>
        <w:pStyle w:val="BodyText"/>
      </w:pPr>
      <m:oMath>
        <m:sSub>
          <m:e>
            <m:r>
              <m:rPr>
                <m:sty m:val="b"/>
              </m:rPr>
              <m:t>Y</m:t>
            </m:r>
          </m:e>
          <m:sub>
            <m:r>
              <m:t>i</m:t>
            </m:r>
          </m:sub>
        </m:sSub>
      </m:oMath>
      <w:r>
        <w:t xml:space="preserve"> </w:t>
      </w:r>
      <w:r>
        <w:t xml:space="preserve">Outcome vector from site</w:t>
      </w:r>
      <w:r>
        <w:t xml:space="preserve"> </w:t>
      </w:r>
      <m:oMath>
        <m:r>
          <m:t>i</m:t>
        </m:r>
      </m:oMath>
      <w:r>
        <w:t xml:space="preserve">, dimension</w:t>
      </w:r>
      <w:r>
        <w:t xml:space="preserve"> </w:t>
      </w:r>
      <m:oMath>
        <m:sSub>
          <m:e>
            <m:r>
              <m:t>n</m:t>
            </m:r>
          </m:e>
          <m:sub>
            <m:r>
              <m:t>i</m:t>
            </m:r>
          </m:sub>
        </m:sSub>
        <m:r>
          <m:rPr>
            <m:sty m:val="p"/>
          </m:rPr>
          <m:t>×</m:t>
        </m:r>
        <m:r>
          <m:t>1</m:t>
        </m:r>
      </m:oMath>
      <w:r>
        <w:t xml:space="preserve">.</w:t>
      </w:r>
      <w:r>
        <w:t xml:space="preserve"> </w:t>
      </w:r>
      <m:oMath>
        <m:sSub>
          <m:e>
            <m:r>
              <m:rPr>
                <m:sty m:val="b"/>
              </m:rPr>
              <m:t>X</m:t>
            </m:r>
          </m:e>
          <m:sub>
            <m:r>
              <m:t>i</m:t>
            </m:r>
            <m:r>
              <m:t>k</m:t>
            </m:r>
          </m:sub>
        </m:sSub>
      </m:oMath>
      <w:r>
        <w:t xml:space="preserve"> </w:t>
      </w:r>
      <w:r>
        <w:t xml:space="preserve">Fixed effects design matrix from site</w:t>
      </w:r>
      <w:r>
        <w:t xml:space="preserve"> </w:t>
      </w:r>
      <m:oMath>
        <m:r>
          <m:t>i</m:t>
        </m:r>
      </m:oMath>
      <w:r>
        <w:t xml:space="preserve"> </w:t>
      </w:r>
      <w:r>
        <w:t xml:space="preserve">for parameter</w:t>
      </w:r>
      <w:r>
        <w:t xml:space="preserve"> </w:t>
      </w:r>
      <m:oMath>
        <m:r>
          <m:t>k</m:t>
        </m:r>
      </m:oMath>
      <w:r>
        <w:t xml:space="preserve">, dimension</w:t>
      </w:r>
      <w:r>
        <w:t xml:space="preserve"> </w:t>
      </w:r>
      <m:oMath>
        <m:sSub>
          <m:e>
            <m:r>
              <m:t>n</m:t>
            </m:r>
          </m:e>
          <m:sub>
            <m:r>
              <m:t>i</m:t>
            </m:r>
          </m:sub>
        </m:sSub>
        <m:r>
          <m:rPr>
            <m:sty m:val="p"/>
          </m:rPr>
          <m:t>×</m:t>
        </m:r>
        <m:r>
          <m:rPr>
            <m:nor/>
            <m:sty m:val="p"/>
          </m:rPr>
          <m:t>length</m:t>
        </m:r>
        <m:d>
          <m:dPr>
            <m:begChr m:val="("/>
            <m:endChr m:val=")"/>
            <m:sepChr m:val=""/>
            <m:grow/>
          </m:dPr>
          <m:e>
            <m:sSub>
              <m:e>
                <m:r>
                  <m:t>β</m:t>
                </m:r>
              </m:e>
              <m:sub>
                <m:r>
                  <m:t>k</m:t>
                </m:r>
              </m:sub>
            </m:sSub>
          </m:e>
        </m:d>
      </m:oMath>
      <w:r>
        <w:t xml:space="preserve">.</w:t>
      </w:r>
      <w:r>
        <w:t xml:space="preserve"> </w:t>
      </w:r>
      <m:oMath>
        <m:sSub>
          <m:e>
            <m:r>
              <m:rPr>
                <m:sty m:val="b"/>
              </m:rPr>
              <m:t>Z</m:t>
            </m:r>
          </m:e>
          <m:sub>
            <m:r>
              <m:t>i</m:t>
            </m:r>
            <m:r>
              <m:t>k</m:t>
            </m:r>
          </m:sub>
        </m:sSub>
      </m:oMath>
      <w:r>
        <w:t xml:space="preserve"> </w:t>
      </w:r>
      <w:r>
        <w:t xml:space="preserve">(Optional) smooth effect design matrix from site</w:t>
      </w:r>
      <w:r>
        <w:t xml:space="preserve"> </w:t>
      </w:r>
      <m:oMath>
        <m:r>
          <m:t>i</m:t>
        </m:r>
      </m:oMath>
      <w:r>
        <w:t xml:space="preserve"> </w:t>
      </w:r>
      <w:r>
        <w:t xml:space="preserve">for parameter</w:t>
      </w:r>
      <w:r>
        <w:t xml:space="preserve"> </w:t>
      </w:r>
      <m:oMath>
        <m:r>
          <m:t>k</m:t>
        </m:r>
      </m:oMath>
      <w:r>
        <w:t xml:space="preserve">, dimension</w:t>
      </w:r>
      <w:r>
        <w:t xml:space="preserve"> </w:t>
      </w:r>
      <m:oMath>
        <m:sSub>
          <m:e>
            <m:r>
              <m:t>n</m:t>
            </m:r>
          </m:e>
          <m:sub>
            <m:r>
              <m:t>i</m:t>
            </m:r>
          </m:sub>
        </m:sSub>
        <m:r>
          <m:rPr>
            <m:sty m:val="p"/>
          </m:rPr>
          <m:t>×</m:t>
        </m:r>
        <m:r>
          <m:rPr>
            <m:nor/>
            <m:sty m:val="p"/>
          </m:rPr>
          <m:t>length</m:t>
        </m:r>
        <m:d>
          <m:dPr>
            <m:begChr m:val="("/>
            <m:endChr m:val=")"/>
            <m:sepChr m:val=""/>
            <m:grow/>
          </m:dPr>
          <m:e>
            <m:sSub>
              <m:e>
                <m:r>
                  <m:t>γ</m:t>
                </m:r>
              </m:e>
              <m:sub>
                <m:r>
                  <m:t>k</m:t>
                </m:r>
              </m:sub>
            </m:sSub>
          </m:e>
        </m:d>
      </m:oMath>
      <w:r>
        <w:t xml:space="preserve">.</w:t>
      </w:r>
      <w:r>
        <w:t xml:space="preserve"> </w:t>
      </w:r>
      <m:oMath>
        <m:sSub>
          <m:e>
            <m:r>
              <m:rPr>
                <m:sty m:val="b"/>
              </m:rPr>
              <m:t>M</m:t>
            </m:r>
          </m:e>
          <m:sub>
            <m:r>
              <m:t>i</m:t>
            </m:r>
            <m:r>
              <m:t>1</m:t>
            </m:r>
          </m:sub>
        </m:sSub>
      </m:oMath>
      <w:r>
        <w:t xml:space="preserve"> </w:t>
      </w:r>
      <w:r>
        <w:t xml:space="preserve">Update matrix from site</w:t>
      </w:r>
      <w:r>
        <w:t xml:space="preserve"> </w:t>
      </w:r>
      <m:oMath>
        <m:r>
          <m:t>i</m:t>
        </m:r>
      </m:oMath>
      <w:r>
        <w:t xml:space="preserve"> </w:t>
      </w:r>
      <w:r>
        <w:t xml:space="preserve">for parameter</w:t>
      </w:r>
      <w:r>
        <w:t xml:space="preserve"> </w:t>
      </w:r>
      <m:oMath>
        <m:r>
          <m:t>k</m:t>
        </m:r>
      </m:oMath>
      <w:r>
        <w:t xml:space="preserve"> </w:t>
      </w:r>
      <w:r>
        <w:t xml:space="preserve">with dimension</w:t>
      </w:r>
      <w:r>
        <w:t xml:space="preserve"> </w:t>
      </w:r>
      <m:oMath>
        <m:r>
          <m:t>p</m:t>
        </m:r>
        <m:r>
          <m:rPr>
            <m:sty m:val="p"/>
          </m:rPr>
          <m:t>×</m:t>
        </m:r>
        <m:r>
          <m:t>p</m:t>
        </m:r>
      </m:oMath>
      <w:r>
        <w:t xml:space="preserve"> </w:t>
      </w:r>
      <m:oMath>
        <m:sSub>
          <m:e>
            <m:r>
              <m:rPr>
                <m:sty m:val="b"/>
              </m:rPr>
              <m:t>M</m:t>
            </m:r>
          </m:e>
          <m:sub>
            <m:r>
              <m:t>i</m:t>
            </m:r>
            <m:r>
              <m:t>2</m:t>
            </m:r>
          </m:sub>
        </m:sSub>
      </m:oMath>
      <w:r>
        <w:t xml:space="preserve"> </w:t>
      </w:r>
      <w:r>
        <w:t xml:space="preserve">Update matrix from site</w:t>
      </w:r>
      <w:r>
        <w:t xml:space="preserve"> </w:t>
      </w:r>
      <m:oMath>
        <m:r>
          <m:t>i</m:t>
        </m:r>
      </m:oMath>
      <w:r>
        <w:t xml:space="preserve"> </w:t>
      </w:r>
      <w:r>
        <w:t xml:space="preserve">for parameter</w:t>
      </w:r>
      <w:r>
        <w:t xml:space="preserve"> </w:t>
      </w:r>
      <m:oMath>
        <m:r>
          <m:t>k</m:t>
        </m:r>
      </m:oMath>
      <w:r>
        <w:t xml:space="preserve"> </w:t>
      </w:r>
      <w:r>
        <w:t xml:space="preserve">with dimension</w:t>
      </w:r>
      <w:r>
        <w:t xml:space="preserve"> </w:t>
      </w:r>
      <m:oMath>
        <m:r>
          <m:t>p</m:t>
        </m:r>
        <m:r>
          <m:rPr>
            <m:sty m:val="p"/>
          </m:rPr>
          <m:t>×</m:t>
        </m:r>
        <m:r>
          <m:t>1</m:t>
        </m:r>
      </m:oMath>
    </w:p>
    <w:p>
      <w:pPr>
        <w:pStyle w:val="BodyText"/>
      </w:pPr>
      <m:oMath>
        <m:sSub>
          <m:e>
            <m:r>
              <m:rPr>
                <m:sty m:val="b"/>
              </m:rPr>
              <m:t>P</m:t>
            </m:r>
          </m:e>
          <m:sub>
            <m:r>
              <m:t>k</m:t>
            </m:r>
          </m:sub>
        </m:sSub>
      </m:oMath>
      <w:r>
        <w:t xml:space="preserve"> </w:t>
      </w:r>
      <w:r>
        <w:t xml:space="preserve">(Optional) Smoothing penalty matrix associated with</w:t>
      </w:r>
      <w:r>
        <w:t xml:space="preserve"> </w:t>
      </w:r>
      <m:oMath>
        <m:sSub>
          <m:e>
            <m:r>
              <m:t>λ</m:t>
            </m:r>
          </m:e>
          <m:sub>
            <m:r>
              <m:t>k</m:t>
            </m:r>
          </m:sub>
        </m:sSub>
      </m:oMath>
      <w:r>
        <w:t xml:space="preserve"> </w:t>
      </w:r>
      <w:r>
        <w:t xml:space="preserve">Fixed smoothing penalty hyperparameter for parameter</w:t>
      </w:r>
      <w:r>
        <w:t xml:space="preserve"> </w:t>
      </w:r>
      <m:oMath>
        <m:r>
          <m:t>k</m:t>
        </m:r>
      </m:oMath>
      <w:r>
        <w:t xml:space="preserve">. Higher</w:t>
      </w:r>
      <w:r>
        <w:t xml:space="preserve"> </w:t>
      </w:r>
      <m:oMath>
        <m:sSub>
          <m:e>
            <m:r>
              <m:t>λ</m:t>
            </m:r>
          </m:e>
          <m:sub>
            <m:r>
              <m:t>k</m:t>
            </m:r>
          </m:sub>
        </m:sSub>
      </m:oMath>
      <w:r>
        <w:t xml:space="preserve"> </w:t>
      </w:r>
      <w:r>
        <w:t xml:space="preserve">corresponds to more smoothing.</w:t>
      </w:r>
    </w:p>
    <w:p>
      <w:pPr>
        <w:pStyle w:val="BodyText"/>
      </w:pPr>
      <w:r>
        <w:t xml:space="preserve">Additionally, let</w:t>
      </w:r>
      <w:r>
        <w:t xml:space="preserve"> </w:t>
      </w:r>
      <m:oMath>
        <m:d>
          <m:dPr>
            <m:begChr m:val="["/>
            <m:endChr m:val="]"/>
            <m:sepChr m:val=""/>
            <m:grow/>
          </m:dPr>
          <m:e>
            <m:r>
              <m:rPr>
                <m:sty m:val="p"/>
              </m:rPr>
              <m:t>⋅</m:t>
            </m:r>
            <m:r>
              <m:t> </m:t>
            </m:r>
            <m:r>
              <m:rPr>
                <m:sty m:val="p"/>
              </m:rPr>
              <m:t>⋅</m:t>
            </m:r>
          </m:e>
        </m:d>
      </m:oMath>
      <w:r>
        <w:t xml:space="preserve"> </w:t>
      </w:r>
      <w:r>
        <w:t xml:space="preserve">indicate row-wise concatenation of matrices.</w:t>
      </w:r>
    </w:p>
    <w:p>
      <w:pPr>
        <w:pStyle w:val="BodyText"/>
      </w:pPr>
      <w:r>
        <w:t xml:space="preserve">The abbreviated RS algorithm is as follows:</w:t>
      </w:r>
    </w:p>
    <w:p>
      <w:pPr>
        <w:pStyle w:val="BodyText"/>
      </w:pPr>
      <w:r>
        <w:t xml:space="preserve">My alg (</w:t>
      </w:r>
      <w:r>
        <w:t xml:space="preserve">??</w:t>
      </w:r>
      <w:r>
        <w:t xml:space="preserve">)</w:t>
      </w:r>
      <w:r>
        <w:t xml:space="preserve"> </w:t>
      </w:r>
      <w:r>
        <w:t xml:space="preserve">My LyX table (</w:t>
      </w:r>
      <w:r>
        <w:t xml:space="preserve">??</w:t>
      </w:r>
      <w:r>
        <w:t xml:space="preserve">)</w:t>
      </w:r>
    </w:p>
    <w:bookmarkEnd w:id="28"/>
    <w:bookmarkStart w:id="29" w:name="distributed-rs-algorithm-1"/>
    <w:p>
      <w:pPr>
        <w:pStyle w:val="Heading2"/>
      </w:pPr>
      <w:r>
        <w:rPr>
          <w:rStyle w:val="SectionNumber"/>
        </w:rPr>
        <w:t xml:space="preserve">2.2</w:t>
      </w:r>
      <w:r>
        <w:tab/>
      </w:r>
      <w:r>
        <w:t xml:space="preserve">Distributed RS algorithm</w:t>
      </w:r>
    </w:p>
    <w:p>
      <w:pPr>
        <w:pStyle w:val="FirstParagraph"/>
      </w:pPr>
      <w:r>
        <w:t xml:space="preserve">for settings where patient-level data is distributed across multiple centers and direct transfer of the patient-level data is not allowed.</w:t>
      </w:r>
    </w:p>
    <w:bookmarkEnd w:id="29"/>
    <w:bookmarkEnd w:id="30"/>
    <w:sectPr w:rsidR="00111919" w:rsidRPr="00743EB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1A04960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
    <w:nsid w:val="FFFFFF7C"/>
    <w:multiLevelType w:val="singleLevel"/>
    <w:tmpl w:val="2AE8529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8D0EE1DA"/>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E6B2F5EE"/>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505A11DE"/>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68FE4B08"/>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6">
    <w:nsid w:val="FFFFFF81"/>
    <w:multiLevelType w:val="singleLevel"/>
    <w:tmpl w:val="EF16BF6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9A92496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B3499AE"/>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CDB4188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C5C0D5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0178956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71315DCA"/>
    <w:multiLevelType w:val="multilevel"/>
    <w:tmpl w:val="60F038B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2"/>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A621E"/>
    <w:pPr>
      <w:spacing w:after="180" w:before="180"/>
    </w:pPr>
    <w:rPr>
      <w:rFonts w:ascii="Arial" w:cs="Arial" w:hAnsi="Arial"/>
    </w:rPr>
  </w:style>
  <w:style w:styleId="Heading1" w:type="paragraph">
    <w:name w:val="heading 1"/>
    <w:basedOn w:val="Normal"/>
    <w:next w:val="BodyText"/>
    <w:uiPriority w:val="9"/>
    <w:qFormat/>
    <w:rsid w:val="00743EB9"/>
    <w:pPr>
      <w:keepNext/>
      <w:keepLines/>
      <w:spacing w:after="0" w:before="480"/>
      <w:outlineLvl w:val="0"/>
    </w:pPr>
    <w:rPr>
      <w:rFonts w:eastAsiaTheme="majorEastAsia"/>
      <w:color w:themeColor="text1" w:val="000000"/>
      <w:sz w:val="32"/>
      <w:szCs w:val="32"/>
    </w:rPr>
  </w:style>
  <w:style w:styleId="Heading2" w:type="paragraph">
    <w:name w:val="heading 2"/>
    <w:basedOn w:val="Normal"/>
    <w:next w:val="BodyText"/>
    <w:uiPriority w:val="9"/>
    <w:unhideWhenUsed/>
    <w:qFormat/>
    <w:rsid w:val="00743EB9"/>
    <w:pPr>
      <w:keepNext/>
      <w:keepLines/>
      <w:spacing w:after="0" w:before="200"/>
      <w:outlineLvl w:val="1"/>
    </w:pPr>
    <w:rPr>
      <w:rFonts w:eastAsiaTheme="majorEastAsia"/>
      <w:color w:themeColor="text1" w:val="000000"/>
      <w:sz w:val="28"/>
      <w:szCs w:val="28"/>
    </w:rPr>
  </w:style>
  <w:style w:styleId="Heading3" w:type="paragraph">
    <w:name w:val="heading 3"/>
    <w:basedOn w:val="Normal"/>
    <w:next w:val="BodyText"/>
    <w:uiPriority w:val="9"/>
    <w:unhideWhenUsed/>
    <w:qFormat/>
    <w:rsid w:val="00743EB9"/>
    <w:pPr>
      <w:keepNext/>
      <w:keepLines/>
      <w:spacing w:after="0" w:before="200"/>
      <w:outlineLvl w:val="2"/>
    </w:pPr>
    <w:rPr>
      <w:rFonts w:eastAsiaTheme="majorEastAsia"/>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815CE"/>
    <w:pPr>
      <w:spacing w:line="360" w:lineRule="auto"/>
      <w:ind w:firstLine="720"/>
    </w:pPr>
  </w:style>
  <w:style w:customStyle="1" w:styleId="FirstParagraph" w:type="paragraph">
    <w:name w:val="First Paragraph"/>
    <w:basedOn w:val="BodyText"/>
    <w:next w:val="BodyText"/>
    <w:qFormat/>
    <w:rsid w:val="001815CE"/>
  </w:style>
  <w:style w:customStyle="1" w:styleId="Compact" w:type="paragraph">
    <w:name w:val="Compact"/>
    <w:basedOn w:val="BodyText"/>
    <w:qFormat/>
    <w:pPr>
      <w:spacing w:after="36" w:before="36"/>
    </w:pPr>
  </w:style>
  <w:style w:styleId="Title" w:type="paragraph">
    <w:name w:val="Title"/>
    <w:basedOn w:val="Normal"/>
    <w:next w:val="BodyText"/>
    <w:qFormat/>
    <w:rsid w:val="007E5029"/>
    <w:pPr>
      <w:keepNext/>
      <w:keepLines/>
      <w:spacing w:after="240" w:before="480"/>
      <w:jc w:val="center"/>
    </w:pPr>
    <w:rPr>
      <w:rFonts w:eastAsiaTheme="majorEastAsia"/>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A621E"/>
    <w:pPr>
      <w:keepNext/>
      <w:keepLines/>
      <w:jc w:val="center"/>
    </w:pPr>
    <w:rPr>
      <w:rFonts w:ascii="Arial" w:cs="Arial" w:hAnsi="Arial"/>
    </w:rPr>
  </w:style>
  <w:style w:styleId="Date" w:type="paragraph">
    <w:name w:val="Date"/>
    <w:next w:val="BodyText"/>
    <w:qFormat/>
    <w:rsid w:val="005A621E"/>
    <w:pPr>
      <w:keepNext/>
      <w:keepLines/>
      <w:jc w:val="center"/>
    </w:pPr>
    <w:rPr>
      <w:rFonts w:ascii="Arial" w:cs="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743EB9"/>
    <w:pPr>
      <w:spacing w:before="240" w:line="259" w:lineRule="auto"/>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1815CE"/>
    <w:rPr>
      <w:rFonts w:ascii="Arial" w:cs="Arial" w:hAnsi="Arial"/>
    </w:rPr>
  </w:style>
  <w:style w:styleId="TOC1" w:type="paragraph">
    <w:name w:val="toc 1"/>
    <w:basedOn w:val="Normal"/>
    <w:next w:val="Normal"/>
    <w:autoRedefine/>
    <w:uiPriority w:val="39"/>
    <w:unhideWhenUsed/>
    <w:rsid w:val="003C77E2"/>
    <w:pPr>
      <w:spacing w:after="100"/>
    </w:pPr>
  </w:style>
  <w:style w:styleId="TOC2" w:type="paragraph">
    <w:name w:val="toc 2"/>
    <w:basedOn w:val="Normal"/>
    <w:next w:val="Normal"/>
    <w:autoRedefine/>
    <w:uiPriority w:val="39"/>
    <w:unhideWhenUsed/>
    <w:rsid w:val="003C77E2"/>
    <w:pPr>
      <w:spacing w:after="100"/>
      <w:ind w:left="240"/>
    </w:pPr>
  </w:style>
  <w:style w:styleId="TOC3" w:type="paragraph">
    <w:name w:val="toc 3"/>
    <w:basedOn w:val="Normal"/>
    <w:next w:val="Normal"/>
    <w:autoRedefine/>
    <w:uiPriority w:val="39"/>
    <w:unhideWhenUsed/>
    <w:rsid w:val="003C77E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fengling.hu@pennmedicine.upenn.edu" TargetMode="External" /><Relationship Type="http://schemas.openxmlformats.org/officeDocument/2006/relationships/hyperlink" Id="rId21" Target="mailto:fengling.hu@pennmedicine.upenn.edu; 423 Guardian Dr, Philadelphia, PA 19104" TargetMode="External" /></Relationships>
</file>

<file path=word/_rels/footnotes.xml.rels><?xml version="1.0" encoding="UTF-8"?><Relationships xmlns="http://schemas.openxmlformats.org/package/2006/relationships"><Relationship Type="http://schemas.openxmlformats.org/officeDocument/2006/relationships/hyperlink" Id="rId20" Target="mailto:fengling.hu@pennmedicine.upenn.edu" TargetMode="External" /><Relationship Type="http://schemas.openxmlformats.org/officeDocument/2006/relationships/hyperlink" Id="rId21" Target="mailto:fengling.hu@pennmedicine.upenn.edu; 423 Guardian Dr, Philadelphia, PA 191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draft-styles</vt:lpstr>
    </vt:vector>
  </TitlesOfParts>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dGAMLSS: An exact, distributed algorithm to fit Generalized Additive Models for Location, Scale, and Shape for privacy-preserving biomedical inference</dc:title>
  <dc:creator>Fengling Hu1,✉, Jiayi Tong2, Yong Chen2, and Russell T. Shinohara1,3</dc:creator>
  <cp:keywords/>
  <dcterms:created xsi:type="dcterms:W3CDTF">2024-05-24T18:25:31Z</dcterms:created>
  <dcterms:modified xsi:type="dcterms:W3CDTF">2024-05-24T18:25:31Z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bookdown">
    <vt:lpwstr/>
  </property>
  <property fmtid="{D5CDD505-2E9C-101B-9397-08002B2CF9AE}" pid="4" name="csl">
    <vt:lpwstr>https://raw.githubusercontent.com/citation-style-language/styles/master/biometrics.csl</vt:lpwstr>
  </property>
  <property fmtid="{D5CDD505-2E9C-101B-9397-08002B2CF9AE}" pid="5" name="date">
    <vt:lpwstr>24 May, 2024</vt:lpwstr>
  </property>
  <property fmtid="{D5CDD505-2E9C-101B-9397-08002B2CF9AE}" pid="6" name="fontsize">
    <vt:lpwstr>12pt</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