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Results, Discussion and Limitations (draft, non-technical version)</w:t>
      </w:r>
    </w:p>
    <w:p>
      <w:r>
        <w:rPr>
          <w:rFonts w:ascii="Times New Roman" w:hAnsi="Times New Roman"/>
          <w:b w:val="0"/>
          <w:sz w:val="20"/>
        </w:rPr>
        <w:t>This version states every result using only measured values, differences and counts. Figure and table numbers refer to the accompanying figures and the plain appendix tables.</w:t>
      </w:r>
    </w:p>
    <w:p>
      <w:r>
        <w:rPr>
          <w:rFonts w:ascii="Times New Roman" w:hAnsi="Times New Roman"/>
          <w:b/>
          <w:sz w:val="28"/>
        </w:rPr>
        <w:t>3. Results</w:t>
      </w:r>
    </w:p>
    <w:p>
      <w:r>
        <w:rPr>
          <w:rFonts w:ascii="Times New Roman" w:hAnsi="Times New Roman"/>
          <w:b/>
          <w:sz w:val="26"/>
        </w:rPr>
        <w:t>3.1 Overview</w:t>
      </w:r>
    </w:p>
    <w:p>
      <w:r>
        <w:rPr>
          <w:rFonts w:ascii="Times New Roman" w:hAnsi="Times New Roman"/>
          <w:b w:val="0"/>
          <w:sz w:val="24"/>
        </w:rPr>
        <w:t>All 24 runs completed without failure. Validation loss rose between rounds in only two runs, by 0.0003 and 0.0031, and no run produced an invalid loss. Twenty-one runs stopped at the round-5 convergence threshold, two at round 6 and one at round 7, so the number of rounds carried almost no information about the experimental conditions. Final perplexity ranged from 6.108 to 6.610 across the grid; the complete record is in Table A1 and the pattern is plotted in Figure 3.</w:t>
      </w:r>
    </w:p>
    <w:p>
      <w:r>
        <w:rPr>
          <w:rFonts w:ascii="Times New Roman" w:hAnsi="Times New Roman"/>
          <w:b/>
          <w:sz w:val="26"/>
        </w:rPr>
        <w:t>3.2 Effect of compression</w:t>
      </w:r>
    </w:p>
    <w:p>
      <w:r>
        <w:rPr>
          <w:rFonts w:ascii="Times New Roman" w:hAnsi="Times New Roman"/>
          <w:b w:val="0"/>
          <w:sz w:val="24"/>
        </w:rPr>
        <w:t>Compression was the only factor with a large effect on quality. Measuring each compressed run against the uncompressed run that shares its aggregation rule and heterogeneity setting, QLoRA 8-bit cost 0.55% in perplexity on average and QLoRA 4-bit cost 5.74%. The two are not merely different in size but different in kind: the 4-bit penalty was positive in all eight cells, whereas the 8-bit penalty was positive in five and negative in three. A quantity that changes direction from cell to cell is not measuring a real effect.</w:t>
      </w:r>
    </w:p>
    <w:p>
      <w:r>
        <w:rPr>
          <w:rFonts w:ascii="Times New Roman" w:hAnsi="Times New Roman"/>
          <w:b w:val="0"/>
          <w:sz w:val="24"/>
        </w:rPr>
        <w:t>ROUGE-L, which scores text the model actually generated rather than its confidence in the correct answer, gives the same picture. Every run was scored on the same 200 held-out examples, so the conditions are directly comparable. QLoRA 4-bit scored below the uncompressed baseline in all eight cells, by 0.014 on average. QLoRA 8-bit scored below it in five cells and above it in three, averaging 0.003. Two measures built on different principles therefore agree: 8-bit quantisation of the frozen model is effectively free at this scale, and 4-bit quantisation is not (Table A3).</w:t>
      </w:r>
    </w:p>
    <w:p>
      <w:r>
        <w:rPr>
          <w:rFonts w:ascii="Times New Roman" w:hAnsi="Times New Roman"/>
          <w:b/>
          <w:sz w:val="26"/>
        </w:rPr>
        <w:t>3.3 Effect of data heterogeneity</w:t>
      </w:r>
    </w:p>
    <w:p>
      <w:r>
        <w:rPr>
          <w:rFonts w:ascii="Times New Roman" w:hAnsi="Times New Roman"/>
          <w:b w:val="0"/>
          <w:sz w:val="24"/>
        </w:rPr>
        <w:t>Heterogeneity mattered early in training and then stopped mattering. At round 1 the gap between the most heterogeneous and the most uniform setting averaged 0.147 in perplexity, and it had the same sign in all six compression-by-algorithm combinations. By the final round that gap had shrunk to 0.024 and had reversed in one combination. Repeated averaging across clients absorbs most of the early disadvantage of unevenly distributed data.</w:t>
      </w:r>
    </w:p>
    <w:p>
      <w:r>
        <w:rPr>
          <w:rFonts w:ascii="Times New Roman" w:hAnsi="Times New Roman"/>
          <w:b w:val="0"/>
          <w:sz w:val="24"/>
        </w:rPr>
        <w:t>Extending the sweep to the most uniform setting tested showed that nothing further changes once the data are reasonably even: the average difference in final loss between the two most uniform settings was 0.0010, smaller than the run-to-run variation described in the next section. Figure 2 shows what the two extremes look like in practice: with the most uneven split a client drew 66% of its data from a single task category and shard sizes ranged from 119 to 3,047 examples, while with the most even split the largest category accounted for 25% and all shards were close to equal.</w:t>
      </w:r>
    </w:p>
    <w:p>
      <w:r>
        <w:rPr>
          <w:rFonts w:ascii="Times New Roman" w:hAnsi="Times New Roman"/>
          <w:b/>
          <w:sz w:val="26"/>
        </w:rPr>
        <w:t>3.4 Interaction between compression and data heterogeneity</w:t>
      </w:r>
    </w:p>
    <w:p>
      <w:r>
        <w:rPr>
          <w:rFonts w:ascii="Times New Roman" w:hAnsi="Times New Roman"/>
          <w:b w:val="0"/>
          <w:sz w:val="24"/>
        </w:rPr>
        <w:t>The interaction that motivated the study was not found. The direct way to see this is to read the cost of compression off each heterogeneity setting in turn. Averaged over both aggregation rules, QLoRA 4-bit cost 5.66%, 5.57%, 5.94% and 5.79% in perplexity as the data went from most uneven to most even - a spread of 0.37 percentage points across a thousand-fold change in heterogeneity. The 8-bit figures were 0.72%, 0.19%, 0.54% and 0.73% (Table A2). Figure 3 shows the same result: the vertical distance between compression levels does not widen as the data become more uneven.</w:t>
      </w:r>
    </w:p>
    <w:p>
      <w:r>
        <w:rPr>
          <w:rFonts w:ascii="Times New Roman" w:hAnsi="Times New Roman"/>
          <w:b w:val="0"/>
          <w:sz w:val="24"/>
        </w:rPr>
        <w:t>Judging whether such a spread means anything requires knowing how much these runs move for reasons that have nothing to do with the experiment, and the 8-bit condition supplies that reference. Its quality is indistinguishable from the uncompressed baseline, so any movement in its penalty is measurement noise rather than a real effect. Across the eight cells that penalty ranged from -0.56% to +1.02%, a span of 1.58 percentage points. The 4-bit penalty, over the same eight cells, ranged from 5.29% to 6.33%, a span of 1.04 points. In other words the compression penalty moves around less across the entire experiment than a quantity that is known to carry no effect at all.</w:t>
      </w:r>
    </w:p>
    <w:p>
      <w:r>
        <w:rPr>
          <w:rFonts w:ascii="Times New Roman" w:hAnsi="Times New Roman"/>
          <w:b w:val="0"/>
          <w:sz w:val="24"/>
        </w:rPr>
        <w:t>The direction is also wrong for the hypothesis. If quantisation error and uneven data compounded, the 4-bit penalty should have been largest where the data were most uneven. It was in fact largest at the most uniform setting.</w:t>
      </w:r>
    </w:p>
    <w:p>
      <w:r>
        <w:rPr>
          <w:rFonts w:ascii="Times New Roman" w:hAnsi="Times New Roman"/>
          <w:b w:val="0"/>
          <w:sz w:val="24"/>
        </w:rPr>
        <w:t>It is worth stating what size of effect these data would have detected. For the hypothesis to matter in practice the penalty would have to grow appreciably as the data become uneven; a doubling, for instance, would put the 4-bit penalty near 11% at the most uneven setting. The largest 4-bit penalty recorded anywhere in the grid was 6.33%. An effect of that magnitude is therefore ruled out by these measurements, even though a small one cannot be.</w:t>
      </w:r>
    </w:p>
    <w:p>
      <w:r>
        <w:rPr>
          <w:rFonts w:ascii="Times New Roman" w:hAnsi="Times New Roman"/>
          <w:b w:val="0"/>
          <w:sz w:val="24"/>
        </w:rPr>
        <w:t>One qualification. At round 1, before the averaging has had time to work, a pattern does appear that is consistent with the hypothesis: the gap between heterogeneity settings grows with compression level in three of the four algorithm-and-reference-point combinations examined (Table A6). This pattern is not stable. It depends on which uniform setting is used as the reference, and it is present only when the six runs at the most uniform setting are included - and those six were executed in a different software environment from the other eighteen (Section 2.7). It is reported here as an observation to be tested, not as a result.</w:t>
      </w:r>
    </w:p>
    <w:p>
      <w:r>
        <w:rPr>
          <w:rFonts w:ascii="Times New Roman" w:hAnsi="Times New Roman"/>
          <w:b/>
          <w:sz w:val="26"/>
        </w:rPr>
        <w:t>3.5 Effect of the aggregation rule</w:t>
      </w:r>
    </w:p>
    <w:p>
      <w:r>
        <w:rPr>
          <w:rFonts w:ascii="Times New Roman" w:hAnsi="Times New Roman"/>
          <w:b w:val="0"/>
          <w:sz w:val="24"/>
        </w:rPr>
        <w:t>FedProx was worse than FedAvg in every one of the twelve matched cells, by 1.51% in perplexity on average, and it also scored lower on ROUGE-L in eleven of the twelve (Table A5). It gained nothing in exchange: rounds to convergence averaged 5.25 against 5.08, and round time and peak memory were unchanged. The proximal term appears to have restrained each client more than this short training schedule rewarded.</w:t>
      </w:r>
    </w:p>
    <w:p>
      <w:r>
        <w:rPr>
          <w:rFonts w:ascii="Times New Roman" w:hAnsi="Times New Roman"/>
          <w:b/>
          <w:sz w:val="26"/>
        </w:rPr>
        <w:t>3.6 Cost metrics</w:t>
      </w:r>
    </w:p>
    <w:p>
      <w:r>
        <w:rPr>
          <w:rFonts w:ascii="Times New Roman" w:hAnsi="Times New Roman"/>
          <w:b w:val="0"/>
          <w:sz w:val="24"/>
        </w:rPr>
        <w:t>Peak GPU memory fell steadily with compression, from 14.44 GB uncompressed to 12.25 GB at 8-bit and 10.07 GB at 4-bit, and was unaffected by heterogeneity or aggregation rule. Round time did not follow the same order: 8-bit took 25.5 minutes per round against 11.7 uncompressed and 12.4 at 4-bit, so 8-bit is more than twice as slow while 4-bit adds only 7%. Communication was identical in every run at 17.3 MB per round, because the transmitted adapter is the same size no matter how the frozen model is stored; total communication therefore varied only with the number of rounds. Table A4 and Figure 4 summarise the complete cost picture.</w:t>
      </w:r>
    </w:p>
    <w:p>
      <w:r>
        <w:rPr>
          <w:rFonts w:ascii="Times New Roman" w:hAnsi="Times New Roman"/>
          <w:b/>
          <w:sz w:val="28"/>
        </w:rPr>
        <w:t>4. Discussion</w:t>
      </w:r>
    </w:p>
    <w:p>
      <w:r>
        <w:rPr>
          <w:rFonts w:ascii="Times New Roman" w:hAnsi="Times New Roman"/>
          <w:b/>
          <w:sz w:val="26"/>
        </w:rPr>
        <w:t>4.1 Why the interaction is absent</w:t>
      </w:r>
    </w:p>
    <w:p>
      <w:r>
        <w:rPr>
          <w:rFonts w:ascii="Times New Roman" w:hAnsi="Times New Roman"/>
          <w:b w:val="0"/>
          <w:sz w:val="24"/>
        </w:rPr>
        <w:t>The explanation proposed here - and it is an interpretation, not something these experiments tested directly - is that the two sources of error act on different parts of the model and so do not compound. Quantisation error is introduced into the frozen base model, which every client holds in an identical form; it is therefore a bias shared across the whole federation rather than something that pushes clients apart from one another. The drift caused by uneven data, by contrast, arises in the small adapter that is actually trained, and that adapter is kept at full precision throughout. On this reading the two effects should simply add, which is what was measured. The reading also predicts where an interaction ought to appear: if the quantisation were applied to the adapter updates themselves, or if different clients quantised to different precisions, quantisation error would become a client-specific quantity and the two effects would no longer be independent.</w:t>
      </w:r>
    </w:p>
    <w:p>
      <w:r>
        <w:rPr>
          <w:rFonts w:ascii="Times New Roman" w:hAnsi="Times New Roman"/>
          <w:b/>
          <w:sz w:val="26"/>
        </w:rPr>
        <w:t>4.2 Practical implications</w:t>
      </w:r>
    </w:p>
    <w:p>
      <w:r>
        <w:rPr>
          <w:rFonts w:ascii="Times New Roman" w:hAnsi="Times New Roman"/>
          <w:b w:val="0"/>
          <w:sz w:val="24"/>
        </w:rPr>
        <w:t>Because the cost of compression does not depend on how uneven the data are, the compression level can be chosen on hardware grounds alone, without knowing the data distribution in advance - a useful simplification, since that distribution is rarely known before deployment. The real trade-off is between memory, quality and time (Figure 4), and the two compression steps are not equally priced. Moving from uncompressed to 8-bit costs almost no quality but adds 13.8 minutes to every round. Moving from 8-bit to 4-bit returns that time but costs about 5% in quality. In federated training the round time sets the pace of the whole federation, so this is not a minor consideration. If memory is not the binding constraint, the uncompressed configuration is better on both quality and time; if memory binds and time does not, 8-bit preserves quality; if both bind, 4-bit is what remains.</w:t>
      </w:r>
    </w:p>
    <w:p>
      <w:r>
        <w:rPr>
          <w:rFonts w:ascii="Times New Roman" w:hAnsi="Times New Roman"/>
          <w:b w:val="0"/>
          <w:sz w:val="24"/>
        </w:rPr>
        <w:t>This recommendation carries one caveat about how memory was measured. The figures come from a simulation in which all eight client models and the server model were held on a single GPU, so they describe the simulation rather than a deployed client. Dividing the observed saving by the nine copies held in memory implies a saving of roughly 0.24 GB per model at 8-bit and 0.49 GB at 4-bit, which matches what the arithmetic of quantising a 0.5B-parameter model predicts. A single client would therefore save on the order of 4-7% rather than 15-30%, because at this model size the memory used by training activations dominates the memory used by weights. The case for quantising is correspondingly weaker here than the headline numbers suggest, and would strengthen for larger models where weights dominate.</w:t>
      </w:r>
    </w:p>
    <w:p>
      <w:r>
        <w:rPr>
          <w:rFonts w:ascii="Times New Roman" w:hAnsi="Times New Roman"/>
          <w:b/>
          <w:sz w:val="26"/>
        </w:rPr>
        <w:t>4.3 Relation to the literature</w:t>
      </w:r>
    </w:p>
    <w:p>
      <w:r>
        <w:rPr>
          <w:rFonts w:ascii="Times New Roman" w:hAnsi="Times New Roman"/>
          <w:b w:val="0"/>
          <w:sz w:val="24"/>
        </w:rPr>
        <w:t>The word compression carries two meanings in this field, and separating them clarifies the result. In federated learning it usually means communication compression, applied to the updates clients transmit, through quantisation, sparsification or low-rank structure, normally with a correction mechanism that carries discarded information into the next round. The compression studied here is different: it is memory compression of the frozen base model, in the manner of QLoRA, and it leaves the transmitted payload untouched. This study does perform communication compression, but through its use of LoRA, which reduces the payload to a fraction of the model and was held constant across every condition.</w:t>
      </w:r>
    </w:p>
    <w:p>
      <w:r>
        <w:rPr>
          <w:rFonts w:ascii="Times New Roman" w:hAnsi="Times New Roman"/>
          <w:b w:val="0"/>
          <w:sz w:val="24"/>
        </w:rPr>
        <w:t>The distinction matters for reading the null result. Difficulties arising from quantisation in federated fine-tuning are reported in the literature chiefly where clients quantise to different precisions from one another, which makes quantisation error a client-specific quantity. The uniform quantisation used here is the complementary case, and the absence of an interaction is what the account in Section 4.1 would predict for it.</w:t>
      </w:r>
    </w:p>
    <w:p>
      <w:r>
        <w:rPr>
          <w:rFonts w:ascii="Times New Roman" w:hAnsi="Times New Roman"/>
          <w:b/>
          <w:sz w:val="28"/>
        </w:rPr>
        <w:t>5. Limitations</w:t>
      </w:r>
    </w:p>
    <w:p>
      <w:r>
        <w:rPr>
          <w:rFonts w:ascii="Times New Roman" w:hAnsi="Times New Roman"/>
          <w:b w:val="0"/>
          <w:sz w:val="24"/>
        </w:rPr>
        <w:t>Each configuration was run once with a fixed partitioning seed, so run-to-run variation could not be measured directly and had to be estimated from a condition where no effect was expected. The same seed also means every run at a given heterogeneity setting shares one data split, so an unrepresentative split cannot be ruled out. The six runs at the most uniform setting were executed in a different software environment from the other eighteen, which is why the round-1 pattern is reported as unconfirmed and why timing comparisons use only the first environment. Convergence was fast enough to limit discrimination: every run finished within five to seven rounds and about 71% of the total improvement happened between rounds 1 and 2. Peak memory reflects the simulation rather than one device, and communication was counted in the client-to-server direction only, so the true two-way cost is twice the figure reported. Finally, these findings describe one 0.5B-parameter model trained for a single local epoch per round; larger models, longer local training and compression applied to the updates themselves remain untested.</w:t>
      </w:r>
    </w:p>
    <w:p>
      <w:r>
        <w:rPr>
          <w:rFonts w:ascii="Times New Roman" w:hAnsi="Times New Roman"/>
          <w:b/>
          <w:sz w:val="28"/>
        </w:rPr>
        <w:t>6. Future work</w:t>
      </w:r>
    </w:p>
    <w:p>
      <w:r>
        <w:rPr>
          <w:rFonts w:ascii="Times New Roman" w:hAnsi="Times New Roman"/>
          <w:b w:val="0"/>
          <w:sz w:val="24"/>
        </w:rPr>
        <w:t>Three extensions follow directly. Repeating the grid with at least three different data splits would replace the estimated run-to-run variation with a measured one. Increasing the amount of training each client does between synchronisations would widen the drift between clients and so test the hypothesis under harsher conditions. Applying compression to the adapter updates themselves, rather than to the frozen model, would put compression error and client drift into the same quantity, which by the account in Section 4.1 is where an interaction should appear.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