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sz w:val="36"/>
        </w:rPr>
        <w:t>Research records and data management</w:t>
      </w:r>
    </w:p>
    <w:p>
      <w:pPr>
        <w:spacing w:after="320"/>
      </w:pPr>
      <w:r>
        <w:rPr>
          <w:rFonts w:ascii="Times New Roman" w:hAnsi="Times New Roman"/>
          <w:b w:val="0"/>
          <w:sz w:val="22"/>
        </w:rPr>
        <w:t>FOSE7901 STEM Research Placement — Jeonghun Kim — 13 September 2026</w:t>
      </w:r>
    </w:p>
    <w:p>
      <w:r>
        <w:rPr>
          <w:rFonts w:ascii="Times New Roman" w:hAnsi="Times New Roman"/>
          <w:b/>
          <w:sz w:val="28"/>
        </w:rPr>
        <w:t>1. Purpose</w:t>
      </w:r>
    </w:p>
    <w:p>
      <w:r>
        <w:rPr>
          <w:rFonts w:ascii="Times New Roman" w:hAnsi="Times New Roman"/>
          <w:b w:val="0"/>
          <w:sz w:val="24"/>
        </w:rPr>
        <w:t>This document is the record of research activity accompanying the placement report. It describes where the data, code and laboratory records for this project are held, how they are organised, how the results in the report can be regenerated from them, and how they will be preserved. It is intended to let a reader locate any number quoted in the report and trace it back to the run that produced it.</w:t>
      </w:r>
    </w:p>
    <w:p>
      <w:r>
        <w:rPr>
          <w:rFonts w:ascii="Times New Roman" w:hAnsi="Times New Roman"/>
          <w:b/>
          <w:sz w:val="28"/>
        </w:rPr>
        <w:t>2. Repository and access</w:t>
      </w:r>
    </w:p>
    <w:p>
      <w:r>
        <w:rPr>
          <w:rFonts w:ascii="Times New Roman" w:hAnsi="Times New Roman"/>
          <w:b w:val="0"/>
          <w:sz w:val="24"/>
        </w:rPr>
        <w:t>All materials are held in a single public Git repository:</w:t>
      </w:r>
    </w:p>
    <w:p>
      <w:pPr>
        <w:spacing w:line="240" w:lineRule="auto" w:after="40"/>
        <w:ind w:left="454"/>
      </w:pPr>
      <w:r>
        <w:rPr>
          <w:rFonts w:ascii="Consolas" w:hAnsi="Consolas"/>
          <w:sz w:val="19"/>
        </w:rPr>
        <w:t>https://github.com/hufs0529/peft_fl_STEM_placement</w:t>
      </w:r>
    </w:p>
    <w:p>
      <w:r>
        <w:rPr>
          <w:rFonts w:ascii="Times New Roman" w:hAnsi="Times New Roman"/>
          <w:b w:val="0"/>
          <w:sz w:val="24"/>
        </w:rPr>
        <w:t>The repository is public, so no credentials or access requests are required. Everything described below - source code, configuration, experiment logs, model checkpoints, analysis scripts, figures, weekly progress reports and this document - is in that repository. Nothing relevant to the project is held only on a local machine or on the cloud instances used for training.</w:t>
      </w:r>
    </w:p>
    <w:p>
      <w:r>
        <w:rPr>
          <w:rFonts w:ascii="Times New Roman" w:hAnsi="Times New Roman"/>
          <w:b/>
          <w:sz w:val="28"/>
        </w:rPr>
        <w:t>3. The repository as a laboratory notebook</w:t>
      </w:r>
    </w:p>
    <w:p>
      <w:r>
        <w:rPr>
          <w:rFonts w:ascii="Times New Roman" w:hAnsi="Times New Roman"/>
          <w:b w:val="0"/>
          <w:sz w:val="24"/>
        </w:rPr>
        <w:t>Rather than keeping a separate notebook, the project used the repository itself as the record, in two ways.</w:t>
      </w:r>
    </w:p>
    <w:p>
      <w:r>
        <w:rPr>
          <w:rFonts w:ascii="Times New Roman" w:hAnsi="Times New Roman"/>
          <w:b w:val="0"/>
          <w:sz w:val="24"/>
        </w:rPr>
        <w:t>First, each week of the placement is preserved as its own branch. The branch named for a week holds the complete state of the project at the end of that week, so the code that produced any result can be recovered exactly as it stood at the time, and the growth of the project is visible as a sequence of snapshots rather than reconstructed after the fact.</w:t>
      </w:r>
    </w:p>
    <w:p>
      <w:r>
        <w:rPr>
          <w:rFonts w:ascii="Times New Roman" w:hAnsi="Times New Roman"/>
          <w:b w:val="0"/>
          <w:sz w:val="24"/>
        </w:rPr>
        <w:t>Second, commit messages carry the reasoning, not just the change. Where a design decision was revised - the model was reduced in size, SCAFFOLD was dropped from the core design, a fourth heterogeneity setting was added on supervisory advice - the commit that made the change also records why it was made and what it affected. The commit log is therefore readable as a decision record.</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pPr>
            <w:r/>
            <w:r>
              <w:rPr>
                <w:rFonts w:ascii="Times New Roman" w:hAnsi="Times New Roman"/>
                <w:b/>
                <w:sz w:val="19"/>
              </w:rPr>
              <w:t>Branch</w:t>
            </w:r>
          </w:p>
        </w:tc>
        <w:tc>
          <w:tcPr>
            <w:tcW w:type="dxa" w:w="3324"/>
          </w:tcPr>
          <w:p>
            <w:pPr>
              <w:spacing w:line="240" w:lineRule="auto"/>
            </w:pPr>
            <w:r/>
            <w:r>
              <w:rPr>
                <w:rFonts w:ascii="Times New Roman" w:hAnsi="Times New Roman"/>
                <w:b/>
                <w:sz w:val="19"/>
              </w:rPr>
              <w:t>Commits</w:t>
            </w:r>
          </w:p>
        </w:tc>
        <w:tc>
          <w:tcPr>
            <w:tcW w:type="dxa" w:w="3324"/>
          </w:tcPr>
          <w:p>
            <w:pPr>
              <w:spacing w:line="240" w:lineRule="auto"/>
            </w:pPr>
            <w:r/>
            <w:r>
              <w:rPr>
                <w:rFonts w:ascii="Times New Roman" w:hAnsi="Times New Roman"/>
                <w:b/>
                <w:sz w:val="19"/>
              </w:rPr>
              <w:t>Contents at that point</w:t>
            </w:r>
          </w:p>
        </w:tc>
      </w:tr>
      <w:tr>
        <w:tc>
          <w:tcPr>
            <w:tcW w:type="dxa" w:w="3324"/>
          </w:tcPr>
          <w:p>
            <w:pPr>
              <w:spacing w:line="240" w:lineRule="auto"/>
            </w:pPr>
            <w:r/>
            <w:r>
              <w:rPr>
                <w:rFonts w:ascii="Times New Roman" w:hAnsi="Times New Roman"/>
                <w:b w:val="0"/>
                <w:sz w:val="19"/>
              </w:rPr>
              <w:t>week1</w:t>
            </w:r>
          </w:p>
        </w:tc>
        <w:tc>
          <w:tcPr>
            <w:tcW w:type="dxa" w:w="3324"/>
          </w:tcPr>
          <w:p>
            <w:pPr>
              <w:spacing w:line="240" w:lineRule="auto"/>
            </w:pPr>
            <w:r/>
            <w:r>
              <w:rPr>
                <w:rFonts w:ascii="Times New Roman" w:hAnsi="Times New Roman"/>
                <w:b w:val="0"/>
                <w:sz w:val="19"/>
              </w:rPr>
              <w:t>10</w:t>
            </w:r>
          </w:p>
        </w:tc>
        <w:tc>
          <w:tcPr>
            <w:tcW w:type="dxa" w:w="3324"/>
          </w:tcPr>
          <w:p>
            <w:pPr>
              <w:spacing w:line="240" w:lineRule="auto"/>
            </w:pPr>
            <w:r/>
            <w:r>
              <w:rPr>
                <w:rFonts w:ascii="Times New Roman" w:hAnsi="Times New Roman"/>
                <w:b w:val="0"/>
                <w:sz w:val="19"/>
              </w:rPr>
              <w:t>Model and GPU environment verified; LoRA/QLoRA wiring</w:t>
            </w:r>
          </w:p>
        </w:tc>
      </w:tr>
      <w:tr>
        <w:tc>
          <w:tcPr>
            <w:tcW w:type="dxa" w:w="3324"/>
          </w:tcPr>
          <w:p>
            <w:pPr>
              <w:spacing w:line="240" w:lineRule="auto"/>
            </w:pPr>
            <w:r/>
            <w:r>
              <w:rPr>
                <w:rFonts w:ascii="Times New Roman" w:hAnsi="Times New Roman"/>
                <w:b w:val="0"/>
                <w:sz w:val="19"/>
              </w:rPr>
              <w:t>week2</w:t>
            </w:r>
          </w:p>
        </w:tc>
        <w:tc>
          <w:tcPr>
            <w:tcW w:type="dxa" w:w="3324"/>
          </w:tcPr>
          <w:p>
            <w:pPr>
              <w:spacing w:line="240" w:lineRule="auto"/>
            </w:pPr>
            <w:r/>
            <w:r>
              <w:rPr>
                <w:rFonts w:ascii="Times New Roman" w:hAnsi="Times New Roman"/>
                <w:b w:val="0"/>
                <w:sz w:val="19"/>
              </w:rPr>
              <w:t>20</w:t>
            </w:r>
          </w:p>
        </w:tc>
        <w:tc>
          <w:tcPr>
            <w:tcW w:type="dxa" w:w="3324"/>
          </w:tcPr>
          <w:p>
            <w:pPr>
              <w:spacing w:line="240" w:lineRule="auto"/>
            </w:pPr>
            <w:r/>
            <w:r>
              <w:rPr>
                <w:rFonts w:ascii="Times New Roman" w:hAnsi="Times New Roman"/>
                <w:b w:val="0"/>
                <w:sz w:val="19"/>
              </w:rPr>
              <w:t>Dolly-15k pipeline; Dirichlet partitioning</w:t>
            </w:r>
          </w:p>
        </w:tc>
      </w:tr>
      <w:tr>
        <w:tc>
          <w:tcPr>
            <w:tcW w:type="dxa" w:w="3324"/>
          </w:tcPr>
          <w:p>
            <w:pPr>
              <w:spacing w:line="240" w:lineRule="auto"/>
            </w:pPr>
            <w:r/>
            <w:r>
              <w:rPr>
                <w:rFonts w:ascii="Times New Roman" w:hAnsi="Times New Roman"/>
                <w:b w:val="0"/>
                <w:sz w:val="19"/>
              </w:rPr>
              <w:t>week3</w:t>
            </w:r>
          </w:p>
        </w:tc>
        <w:tc>
          <w:tcPr>
            <w:tcW w:type="dxa" w:w="3324"/>
          </w:tcPr>
          <w:p>
            <w:pPr>
              <w:spacing w:line="240" w:lineRule="auto"/>
            </w:pPr>
            <w:r/>
            <w:r>
              <w:rPr>
                <w:rFonts w:ascii="Times New Roman" w:hAnsi="Times New Roman"/>
                <w:b w:val="0"/>
                <w:sz w:val="19"/>
              </w:rPr>
              <w:t>36</w:t>
            </w:r>
          </w:p>
        </w:tc>
        <w:tc>
          <w:tcPr>
            <w:tcW w:type="dxa" w:w="3324"/>
          </w:tcPr>
          <w:p>
            <w:pPr>
              <w:spacing w:line="240" w:lineRule="auto"/>
            </w:pPr>
            <w:r/>
            <w:r>
              <w:rPr>
                <w:rFonts w:ascii="Times New Roman" w:hAnsi="Times New Roman"/>
                <w:b w:val="0"/>
                <w:sz w:val="19"/>
              </w:rPr>
              <w:t>FedProx and SCAFFOLD; checkpointing; convergence criterion; integration tests</w:t>
            </w:r>
          </w:p>
        </w:tc>
      </w:tr>
      <w:tr>
        <w:tc>
          <w:tcPr>
            <w:tcW w:type="dxa" w:w="3324"/>
          </w:tcPr>
          <w:p>
            <w:pPr>
              <w:spacing w:line="240" w:lineRule="auto"/>
            </w:pPr>
            <w:r/>
            <w:r>
              <w:rPr>
                <w:rFonts w:ascii="Times New Roman" w:hAnsi="Times New Roman"/>
                <w:b w:val="0"/>
                <w:sz w:val="19"/>
              </w:rPr>
              <w:t>week4</w:t>
            </w:r>
          </w:p>
        </w:tc>
        <w:tc>
          <w:tcPr>
            <w:tcW w:type="dxa" w:w="3324"/>
          </w:tcPr>
          <w:p>
            <w:pPr>
              <w:spacing w:line="240" w:lineRule="auto"/>
            </w:pPr>
            <w:r/>
            <w:r>
              <w:rPr>
                <w:rFonts w:ascii="Times New Roman" w:hAnsi="Times New Roman"/>
                <w:b w:val="0"/>
                <w:sz w:val="19"/>
              </w:rPr>
              <w:t>51</w:t>
            </w:r>
          </w:p>
        </w:tc>
        <w:tc>
          <w:tcPr>
            <w:tcW w:type="dxa" w:w="3324"/>
          </w:tcPr>
          <w:p>
            <w:pPr>
              <w:spacing w:line="240" w:lineRule="auto"/>
            </w:pPr>
            <w:r/>
            <w:r>
              <w:rPr>
                <w:rFonts w:ascii="Times New Roman" w:hAnsi="Times New Roman"/>
                <w:b w:val="0"/>
                <w:sz w:val="19"/>
              </w:rPr>
              <w:t>Experiment runner and analysis functions for the core grid</w:t>
            </w:r>
          </w:p>
        </w:tc>
      </w:tr>
      <w:tr>
        <w:tc>
          <w:tcPr>
            <w:tcW w:type="dxa" w:w="3324"/>
          </w:tcPr>
          <w:p>
            <w:pPr>
              <w:spacing w:line="240" w:lineRule="auto"/>
            </w:pPr>
            <w:r/>
            <w:r>
              <w:rPr>
                <w:rFonts w:ascii="Times New Roman" w:hAnsi="Times New Roman"/>
                <w:b w:val="0"/>
                <w:sz w:val="19"/>
              </w:rPr>
              <w:t>week4-results</w:t>
            </w:r>
          </w:p>
        </w:tc>
        <w:tc>
          <w:tcPr>
            <w:tcW w:type="dxa" w:w="3324"/>
          </w:tcPr>
          <w:p>
            <w:pPr>
              <w:spacing w:line="240" w:lineRule="auto"/>
            </w:pPr>
            <w:r/>
            <w:r>
              <w:rPr>
                <w:rFonts w:ascii="Times New Roman" w:hAnsi="Times New Roman"/>
                <w:b w:val="0"/>
                <w:sz w:val="19"/>
              </w:rPr>
              <w:t>53</w:t>
            </w:r>
          </w:p>
        </w:tc>
        <w:tc>
          <w:tcPr>
            <w:tcW w:type="dxa" w:w="3324"/>
          </w:tcPr>
          <w:p>
            <w:pPr>
              <w:spacing w:line="240" w:lineRule="auto"/>
            </w:pPr>
            <w:r/>
            <w:r>
              <w:rPr>
                <w:rFonts w:ascii="Times New Roman" w:hAnsi="Times New Roman"/>
                <w:b w:val="0"/>
                <w:sz w:val="19"/>
              </w:rPr>
              <w:t>Data branch: logs and checkpoints for the first 18 runs</w:t>
            </w:r>
          </w:p>
        </w:tc>
      </w:tr>
      <w:tr>
        <w:tc>
          <w:tcPr>
            <w:tcW w:type="dxa" w:w="3324"/>
          </w:tcPr>
          <w:p>
            <w:pPr>
              <w:spacing w:line="240" w:lineRule="auto"/>
            </w:pPr>
            <w:r/>
            <w:r>
              <w:rPr>
                <w:rFonts w:ascii="Times New Roman" w:hAnsi="Times New Roman"/>
                <w:b w:val="0"/>
                <w:sz w:val="19"/>
              </w:rPr>
              <w:t>week5</w:t>
            </w:r>
          </w:p>
        </w:tc>
        <w:tc>
          <w:tcPr>
            <w:tcW w:type="dxa" w:w="3324"/>
          </w:tcPr>
          <w:p>
            <w:pPr>
              <w:spacing w:line="240" w:lineRule="auto"/>
            </w:pPr>
            <w:r/>
            <w:r>
              <w:rPr>
                <w:rFonts w:ascii="Times New Roman" w:hAnsi="Times New Roman"/>
                <w:b w:val="0"/>
                <w:sz w:val="19"/>
              </w:rPr>
              <w:t>55</w:t>
            </w:r>
          </w:p>
        </w:tc>
        <w:tc>
          <w:tcPr>
            <w:tcW w:type="dxa" w:w="3324"/>
          </w:tcPr>
          <w:p>
            <w:pPr>
              <w:spacing w:line="240" w:lineRule="auto"/>
            </w:pPr>
            <w:r/>
            <w:r>
              <w:rPr>
                <w:rFonts w:ascii="Times New Roman" w:hAnsi="Times New Roman"/>
                <w:b w:val="0"/>
                <w:sz w:val="19"/>
              </w:rPr>
              <w:t>Design revision after supervisory feedback; server-side evaluation; alpha = 100 runs and logs</w:t>
            </w:r>
          </w:p>
        </w:tc>
      </w:tr>
      <w:tr>
        <w:tc>
          <w:tcPr>
            <w:tcW w:type="dxa" w:w="3324"/>
          </w:tcPr>
          <w:p>
            <w:pPr>
              <w:spacing w:line="240" w:lineRule="auto"/>
            </w:pPr>
            <w:r/>
            <w:r>
              <w:rPr>
                <w:rFonts w:ascii="Times New Roman" w:hAnsi="Times New Roman"/>
                <w:b w:val="0"/>
                <w:sz w:val="19"/>
              </w:rPr>
              <w:t>week6</w:t>
            </w:r>
          </w:p>
        </w:tc>
        <w:tc>
          <w:tcPr>
            <w:tcW w:type="dxa" w:w="3324"/>
          </w:tcPr>
          <w:p>
            <w:pPr>
              <w:spacing w:line="240" w:lineRule="auto"/>
            </w:pPr>
            <w:r/>
            <w:r>
              <w:rPr>
                <w:rFonts w:ascii="Times New Roman" w:hAnsi="Times New Roman"/>
                <w:b w:val="0"/>
                <w:sz w:val="19"/>
              </w:rPr>
              <w:t>67</w:t>
            </w:r>
          </w:p>
        </w:tc>
        <w:tc>
          <w:tcPr>
            <w:tcW w:type="dxa" w:w="3324"/>
          </w:tcPr>
          <w:p>
            <w:pPr>
              <w:spacing w:line="240" w:lineRule="auto"/>
            </w:pPr>
            <w:r/>
            <w:r>
              <w:rPr>
                <w:rFonts w:ascii="Times New Roman" w:hAnsi="Times New Roman"/>
                <w:b w:val="0"/>
                <w:sz w:val="19"/>
              </w:rPr>
              <w:t>Analysis, figures, report, presentation materials, this document</w:t>
            </w:r>
          </w:p>
        </w:tc>
      </w:tr>
    </w:tbl>
    <w:p/>
    <w:p>
      <w:r>
        <w:rPr>
          <w:rFonts w:ascii="Times New Roman" w:hAnsi="Times New Roman"/>
          <w:b/>
          <w:sz w:val="28"/>
        </w:rPr>
        <w:t>4. Inventory of research data</w:t>
      </w:r>
    </w:p>
    <w:p>
      <w:r>
        <w:rPr>
          <w:rFonts w:ascii="Times New Roman" w:hAnsi="Times New Roman"/>
          <w:b w:val="0"/>
          <w:sz w:val="24"/>
        </w:rPr>
        <w:t>Two kinds of data were produced: per-round measurement logs, which are what the analysis reads, and model checkpoints, which allow a run to be resumed or inspected.</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spacing w:line="240" w:lineRule="auto"/>
            </w:pPr>
            <w:r/>
            <w:r>
              <w:rPr>
                <w:rFonts w:ascii="Times New Roman" w:hAnsi="Times New Roman"/>
                <w:b/>
                <w:sz w:val="19"/>
              </w:rPr>
              <w:t>Item</w:t>
            </w:r>
          </w:p>
        </w:tc>
        <w:tc>
          <w:tcPr>
            <w:tcW w:type="dxa" w:w="2493"/>
          </w:tcPr>
          <w:p>
            <w:pPr>
              <w:spacing w:line="240" w:lineRule="auto"/>
            </w:pPr>
            <w:r/>
            <w:r>
              <w:rPr>
                <w:rFonts w:ascii="Times New Roman" w:hAnsi="Times New Roman"/>
                <w:b/>
                <w:sz w:val="19"/>
              </w:rPr>
              <w:t>Location</w:t>
            </w:r>
          </w:p>
        </w:tc>
        <w:tc>
          <w:tcPr>
            <w:tcW w:type="dxa" w:w="2493"/>
          </w:tcPr>
          <w:p>
            <w:pPr>
              <w:spacing w:line="240" w:lineRule="auto"/>
            </w:pPr>
            <w:r/>
            <w:r>
              <w:rPr>
                <w:rFonts w:ascii="Times New Roman" w:hAnsi="Times New Roman"/>
                <w:b/>
                <w:sz w:val="19"/>
              </w:rPr>
              <w:t>Format</w:t>
            </w:r>
          </w:p>
        </w:tc>
        <w:tc>
          <w:tcPr>
            <w:tcW w:type="dxa" w:w="2493"/>
          </w:tcPr>
          <w:p>
            <w:pPr>
              <w:spacing w:line="240" w:lineRule="auto"/>
            </w:pPr>
            <w:r/>
            <w:r>
              <w:rPr>
                <w:rFonts w:ascii="Times New Roman" w:hAnsi="Times New Roman"/>
                <w:b/>
                <w:sz w:val="19"/>
              </w:rPr>
              <w:t>Volume</w:t>
            </w:r>
          </w:p>
        </w:tc>
      </w:tr>
      <w:tr>
        <w:tc>
          <w:tcPr>
            <w:tcW w:type="dxa" w:w="2493"/>
          </w:tcPr>
          <w:p>
            <w:pPr>
              <w:spacing w:line="240" w:lineRule="auto"/>
            </w:pPr>
            <w:r/>
            <w:r>
              <w:rPr>
                <w:rFonts w:ascii="Times New Roman" w:hAnsi="Times New Roman"/>
                <w:b w:val="0"/>
                <w:sz w:val="19"/>
              </w:rPr>
              <w:t>Logs and checkpoints, 18 runs (alpha = 0.1, 1, 10)</w:t>
            </w:r>
          </w:p>
        </w:tc>
        <w:tc>
          <w:tcPr>
            <w:tcW w:type="dxa" w:w="2493"/>
          </w:tcPr>
          <w:p>
            <w:pPr>
              <w:spacing w:line="240" w:lineRule="auto"/>
            </w:pPr>
            <w:r/>
            <w:r>
              <w:rPr>
                <w:rFonts w:ascii="Times New Roman" w:hAnsi="Times New Roman"/>
                <w:b w:val="0"/>
                <w:sz w:val="19"/>
              </w:rPr>
              <w:t>branch week4-results, results/</w:t>
            </w:r>
          </w:p>
        </w:tc>
        <w:tc>
          <w:tcPr>
            <w:tcW w:type="dxa" w:w="2493"/>
          </w:tcPr>
          <w:p>
            <w:pPr>
              <w:spacing w:line="240" w:lineRule="auto"/>
            </w:pPr>
            <w:r/>
            <w:r>
              <w:rPr>
                <w:rFonts w:ascii="Times New Roman" w:hAnsi="Times New Roman"/>
                <w:b w:val="0"/>
                <w:sz w:val="19"/>
              </w:rPr>
              <w:t>JSONL and PyTorch .pt</w:t>
            </w:r>
          </w:p>
        </w:tc>
        <w:tc>
          <w:tcPr>
            <w:tcW w:type="dxa" w:w="2493"/>
          </w:tcPr>
          <w:p>
            <w:pPr>
              <w:spacing w:line="240" w:lineRule="auto"/>
            </w:pPr>
            <w:r/>
            <w:r>
              <w:rPr>
                <w:rFonts w:ascii="Times New Roman" w:hAnsi="Times New Roman"/>
                <w:b w:val="0"/>
                <w:sz w:val="19"/>
              </w:rPr>
              <w:t>129 files, 413 MB</w:t>
            </w:r>
          </w:p>
        </w:tc>
      </w:tr>
      <w:tr>
        <w:tc>
          <w:tcPr>
            <w:tcW w:type="dxa" w:w="2493"/>
          </w:tcPr>
          <w:p>
            <w:pPr>
              <w:spacing w:line="240" w:lineRule="auto"/>
            </w:pPr>
            <w:r/>
            <w:r>
              <w:rPr>
                <w:rFonts w:ascii="Times New Roman" w:hAnsi="Times New Roman"/>
                <w:b w:val="0"/>
                <w:sz w:val="19"/>
              </w:rPr>
              <w:t>Logs and checkpoints, 6 runs (alpha = 100)</w:t>
            </w:r>
          </w:p>
        </w:tc>
        <w:tc>
          <w:tcPr>
            <w:tcW w:type="dxa" w:w="2493"/>
          </w:tcPr>
          <w:p>
            <w:pPr>
              <w:spacing w:line="240" w:lineRule="auto"/>
            </w:pPr>
            <w:r/>
            <w:r>
              <w:rPr>
                <w:rFonts w:ascii="Times New Roman" w:hAnsi="Times New Roman"/>
                <w:b w:val="0"/>
                <w:sz w:val="19"/>
              </w:rPr>
              <w:t>branch week5, results/</w:t>
            </w:r>
          </w:p>
        </w:tc>
        <w:tc>
          <w:tcPr>
            <w:tcW w:type="dxa" w:w="2493"/>
          </w:tcPr>
          <w:p>
            <w:pPr>
              <w:spacing w:line="240" w:lineRule="auto"/>
            </w:pPr>
            <w:r/>
            <w:r>
              <w:rPr>
                <w:rFonts w:ascii="Times New Roman" w:hAnsi="Times New Roman"/>
                <w:b w:val="0"/>
                <w:sz w:val="19"/>
              </w:rPr>
              <w:t>JSONL and PyTorch .pt</w:t>
            </w:r>
          </w:p>
        </w:tc>
        <w:tc>
          <w:tcPr>
            <w:tcW w:type="dxa" w:w="2493"/>
          </w:tcPr>
          <w:p>
            <w:pPr>
              <w:spacing w:line="240" w:lineRule="auto"/>
            </w:pPr>
            <w:r/>
            <w:r>
              <w:rPr>
                <w:rFonts w:ascii="Times New Roman" w:hAnsi="Times New Roman"/>
                <w:b w:val="0"/>
                <w:sz w:val="19"/>
              </w:rPr>
              <w:t>43 files, 138 MB</w:t>
            </w:r>
          </w:p>
        </w:tc>
      </w:tr>
      <w:tr>
        <w:tc>
          <w:tcPr>
            <w:tcW w:type="dxa" w:w="2493"/>
          </w:tcPr>
          <w:p>
            <w:pPr>
              <w:spacing w:line="240" w:lineRule="auto"/>
            </w:pPr>
            <w:r/>
            <w:r>
              <w:rPr>
                <w:rFonts w:ascii="Times New Roman" w:hAnsi="Times New Roman"/>
                <w:b w:val="0"/>
                <w:sz w:val="19"/>
              </w:rPr>
              <w:t>Environment manifest for the second computing environment</w:t>
            </w:r>
          </w:p>
        </w:tc>
        <w:tc>
          <w:tcPr>
            <w:tcW w:type="dxa" w:w="2493"/>
          </w:tcPr>
          <w:p>
            <w:pPr>
              <w:spacing w:line="240" w:lineRule="auto"/>
            </w:pPr>
            <w:r/>
            <w:r>
              <w:rPr>
                <w:rFonts w:ascii="Times New Roman" w:hAnsi="Times New Roman"/>
                <w:b w:val="0"/>
                <w:sz w:val="19"/>
              </w:rPr>
              <w:t>branch week5, env_alpha100.txt</w:t>
            </w:r>
          </w:p>
        </w:tc>
        <w:tc>
          <w:tcPr>
            <w:tcW w:type="dxa" w:w="2493"/>
          </w:tcPr>
          <w:p>
            <w:pPr>
              <w:spacing w:line="240" w:lineRule="auto"/>
            </w:pPr>
            <w:r/>
            <w:r>
              <w:rPr>
                <w:rFonts w:ascii="Times New Roman" w:hAnsi="Times New Roman"/>
                <w:b w:val="0"/>
                <w:sz w:val="19"/>
              </w:rPr>
              <w:t>Text</w:t>
            </w:r>
          </w:p>
        </w:tc>
        <w:tc>
          <w:tcPr>
            <w:tcW w:type="dxa" w:w="2493"/>
          </w:tcPr>
          <w:p>
            <w:pPr>
              <w:spacing w:line="240" w:lineRule="auto"/>
            </w:pPr>
            <w:r/>
            <w:r>
              <w:rPr>
                <w:rFonts w:ascii="Times New Roman" w:hAnsi="Times New Roman"/>
                <w:b w:val="0"/>
                <w:sz w:val="19"/>
              </w:rPr>
              <w:t>1 file</w:t>
            </w:r>
          </w:p>
        </w:tc>
      </w:tr>
      <w:tr>
        <w:tc>
          <w:tcPr>
            <w:tcW w:type="dxa" w:w="2493"/>
          </w:tcPr>
          <w:p>
            <w:pPr>
              <w:spacing w:line="240" w:lineRule="auto"/>
            </w:pPr>
            <w:r/>
            <w:r>
              <w:rPr>
                <w:rFonts w:ascii="Times New Roman" w:hAnsi="Times New Roman"/>
                <w:b w:val="0"/>
                <w:sz w:val="19"/>
              </w:rPr>
              <w:t>Analysis and plotting scripts</w:t>
            </w:r>
          </w:p>
        </w:tc>
        <w:tc>
          <w:tcPr>
            <w:tcW w:type="dxa" w:w="2493"/>
          </w:tcPr>
          <w:p>
            <w:pPr>
              <w:spacing w:line="240" w:lineRule="auto"/>
            </w:pPr>
            <w:r/>
            <w:r>
              <w:rPr>
                <w:rFonts w:ascii="Times New Roman" w:hAnsi="Times New Roman"/>
                <w:b w:val="0"/>
                <w:sz w:val="19"/>
              </w:rPr>
              <w:t>branch week6, scripts/</w:t>
            </w:r>
          </w:p>
        </w:tc>
        <w:tc>
          <w:tcPr>
            <w:tcW w:type="dxa" w:w="2493"/>
          </w:tcPr>
          <w:p>
            <w:pPr>
              <w:spacing w:line="240" w:lineRule="auto"/>
            </w:pPr>
            <w:r/>
            <w:r>
              <w:rPr>
                <w:rFonts w:ascii="Times New Roman" w:hAnsi="Times New Roman"/>
                <w:b w:val="0"/>
                <w:sz w:val="19"/>
              </w:rPr>
              <w:t>Python</w:t>
            </w:r>
          </w:p>
        </w:tc>
        <w:tc>
          <w:tcPr>
            <w:tcW w:type="dxa" w:w="2493"/>
          </w:tcPr>
          <w:p>
            <w:pPr>
              <w:spacing w:line="240" w:lineRule="auto"/>
            </w:pPr>
            <w:r/>
            <w:r>
              <w:rPr>
                <w:rFonts w:ascii="Times New Roman" w:hAnsi="Times New Roman"/>
                <w:b w:val="0"/>
                <w:sz w:val="19"/>
              </w:rPr>
              <w:t>5 files</w:t>
            </w:r>
          </w:p>
        </w:tc>
      </w:tr>
      <w:tr>
        <w:tc>
          <w:tcPr>
            <w:tcW w:type="dxa" w:w="2493"/>
          </w:tcPr>
          <w:p>
            <w:pPr>
              <w:spacing w:line="240" w:lineRule="auto"/>
            </w:pPr>
            <w:r/>
            <w:r>
              <w:rPr>
                <w:rFonts w:ascii="Times New Roman" w:hAnsi="Times New Roman"/>
                <w:b w:val="0"/>
                <w:sz w:val="19"/>
              </w:rPr>
              <w:t>Automated test suite</w:t>
            </w:r>
          </w:p>
        </w:tc>
        <w:tc>
          <w:tcPr>
            <w:tcW w:type="dxa" w:w="2493"/>
          </w:tcPr>
          <w:p>
            <w:pPr>
              <w:spacing w:line="240" w:lineRule="auto"/>
            </w:pPr>
            <w:r/>
            <w:r>
              <w:rPr>
                <w:rFonts w:ascii="Times New Roman" w:hAnsi="Times New Roman"/>
                <w:b w:val="0"/>
                <w:sz w:val="19"/>
              </w:rPr>
              <w:t>branch week6, tests/</w:t>
            </w:r>
          </w:p>
        </w:tc>
        <w:tc>
          <w:tcPr>
            <w:tcW w:type="dxa" w:w="2493"/>
          </w:tcPr>
          <w:p>
            <w:pPr>
              <w:spacing w:line="240" w:lineRule="auto"/>
            </w:pPr>
            <w:r/>
            <w:r>
              <w:rPr>
                <w:rFonts w:ascii="Times New Roman" w:hAnsi="Times New Roman"/>
                <w:b w:val="0"/>
                <w:sz w:val="19"/>
              </w:rPr>
              <w:t>Python</w:t>
            </w:r>
          </w:p>
        </w:tc>
        <w:tc>
          <w:tcPr>
            <w:tcW w:type="dxa" w:w="2493"/>
          </w:tcPr>
          <w:p>
            <w:pPr>
              <w:spacing w:line="240" w:lineRule="auto"/>
            </w:pPr>
            <w:r/>
            <w:r>
              <w:rPr>
                <w:rFonts w:ascii="Times New Roman" w:hAnsi="Times New Roman"/>
                <w:b w:val="0"/>
                <w:sz w:val="19"/>
              </w:rPr>
              <w:t>12 files, 66 tests</w:t>
            </w:r>
          </w:p>
        </w:tc>
      </w:tr>
      <w:tr>
        <w:tc>
          <w:tcPr>
            <w:tcW w:type="dxa" w:w="2493"/>
          </w:tcPr>
          <w:p>
            <w:pPr>
              <w:spacing w:line="240" w:lineRule="auto"/>
            </w:pPr>
            <w:r/>
            <w:r>
              <w:rPr>
                <w:rFonts w:ascii="Times New Roman" w:hAnsi="Times New Roman"/>
                <w:b w:val="0"/>
                <w:sz w:val="19"/>
              </w:rPr>
              <w:t>Figures used in the report</w:t>
            </w:r>
          </w:p>
        </w:tc>
        <w:tc>
          <w:tcPr>
            <w:tcW w:type="dxa" w:w="2493"/>
          </w:tcPr>
          <w:p>
            <w:pPr>
              <w:spacing w:line="240" w:lineRule="auto"/>
            </w:pPr>
            <w:r/>
            <w:r>
              <w:rPr>
                <w:rFonts w:ascii="Times New Roman" w:hAnsi="Times New Roman"/>
                <w:b w:val="0"/>
                <w:sz w:val="19"/>
              </w:rPr>
              <w:t>branch week6, reports/figures/</w:t>
            </w:r>
          </w:p>
        </w:tc>
        <w:tc>
          <w:tcPr>
            <w:tcW w:type="dxa" w:w="2493"/>
          </w:tcPr>
          <w:p>
            <w:pPr>
              <w:spacing w:line="240" w:lineRule="auto"/>
            </w:pPr>
            <w:r/>
            <w:r>
              <w:rPr>
                <w:rFonts w:ascii="Times New Roman" w:hAnsi="Times New Roman"/>
                <w:b w:val="0"/>
                <w:sz w:val="19"/>
              </w:rPr>
              <w:t>PNG, 300 dpi</w:t>
            </w:r>
          </w:p>
        </w:tc>
        <w:tc>
          <w:tcPr>
            <w:tcW w:type="dxa" w:w="2493"/>
          </w:tcPr>
          <w:p>
            <w:pPr>
              <w:spacing w:line="240" w:lineRule="auto"/>
            </w:pPr>
            <w:r/>
            <w:r>
              <w:rPr>
                <w:rFonts w:ascii="Times New Roman" w:hAnsi="Times New Roman"/>
                <w:b w:val="0"/>
                <w:sz w:val="19"/>
              </w:rPr>
              <w:t>8 files</w:t>
            </w:r>
          </w:p>
        </w:tc>
      </w:tr>
      <w:tr>
        <w:tc>
          <w:tcPr>
            <w:tcW w:type="dxa" w:w="2493"/>
          </w:tcPr>
          <w:p>
            <w:pPr>
              <w:spacing w:line="240" w:lineRule="auto"/>
            </w:pPr>
            <w:r/>
            <w:r>
              <w:rPr>
                <w:rFonts w:ascii="Times New Roman" w:hAnsi="Times New Roman"/>
                <w:b w:val="0"/>
                <w:sz w:val="19"/>
              </w:rPr>
              <w:t>Weekly progress reports</w:t>
            </w:r>
          </w:p>
        </w:tc>
        <w:tc>
          <w:tcPr>
            <w:tcW w:type="dxa" w:w="2493"/>
          </w:tcPr>
          <w:p>
            <w:pPr>
              <w:spacing w:line="240" w:lineRule="auto"/>
            </w:pPr>
            <w:r/>
            <w:r>
              <w:rPr>
                <w:rFonts w:ascii="Times New Roman" w:hAnsi="Times New Roman"/>
                <w:b w:val="0"/>
                <w:sz w:val="19"/>
              </w:rPr>
              <w:t>branch week6, reports/</w:t>
            </w:r>
          </w:p>
        </w:tc>
        <w:tc>
          <w:tcPr>
            <w:tcW w:type="dxa" w:w="2493"/>
          </w:tcPr>
          <w:p>
            <w:pPr>
              <w:spacing w:line="240" w:lineRule="auto"/>
            </w:pPr>
            <w:r/>
            <w:r>
              <w:rPr>
                <w:rFonts w:ascii="Times New Roman" w:hAnsi="Times New Roman"/>
                <w:b w:val="0"/>
                <w:sz w:val="19"/>
              </w:rPr>
              <w:t>Word</w:t>
            </w:r>
          </w:p>
        </w:tc>
        <w:tc>
          <w:tcPr>
            <w:tcW w:type="dxa" w:w="2493"/>
          </w:tcPr>
          <w:p>
            <w:pPr>
              <w:spacing w:line="240" w:lineRule="auto"/>
            </w:pPr>
            <w:r/>
            <w:r>
              <w:rPr>
                <w:rFonts w:ascii="Times New Roman" w:hAnsi="Times New Roman"/>
                <w:b w:val="0"/>
                <w:sz w:val="19"/>
              </w:rPr>
              <w:t>10 files</w:t>
            </w:r>
          </w:p>
        </w:tc>
      </w:tr>
    </w:tbl>
    <w:p/>
    <w:p>
      <w:r>
        <w:rPr>
          <w:rFonts w:ascii="Times New Roman" w:hAnsi="Times New Roman"/>
          <w:b w:val="0"/>
          <w:sz w:val="24"/>
        </w:rPr>
        <w:t>No human participants, personal data or physical specimens were involved, so no ethics approval, permits or physical storage arrangements apply. The training corpus was not collected by the author: it is the public databricks-dolly-15k dataset, licensed CC BY-SA 3.0, and the base model is Qwen2.5-0.5B-Instruct, licensed Apache 2.0.</w:t>
      </w:r>
    </w:p>
    <w:p>
      <w:r>
        <w:rPr>
          <w:rFonts w:ascii="Times New Roman" w:hAnsi="Times New Roman"/>
          <w:b/>
          <w:sz w:val="28"/>
        </w:rPr>
        <w:t>5. File formats and naming</w:t>
      </w:r>
    </w:p>
    <w:p>
      <w:r>
        <w:rPr>
          <w:rFonts w:ascii="Times New Roman" w:hAnsi="Times New Roman"/>
          <w:b w:val="0"/>
          <w:sz w:val="24"/>
        </w:rPr>
        <w:t>Each run writes two newline-delimited JSON files, and the file name encodes the full experimental condition, so a file identifies itself without reference to an index.</w:t>
      </w:r>
    </w:p>
    <w:p>
      <w:pPr>
        <w:spacing w:line="240" w:lineRule="auto" w:after="40"/>
        <w:ind w:left="454"/>
      </w:pPr>
      <w:r>
        <w:rPr>
          <w:rFonts w:ascii="Consolas" w:hAnsi="Consolas"/>
          <w:sz w:val="19"/>
        </w:rPr>
        <w:t>lora_fedavg_ep1_rounds.jsonl            LoRA, FedAvg, 1 local epoch, alpha = 1</w:t>
      </w:r>
    </w:p>
    <w:p>
      <w:pPr>
        <w:spacing w:line="240" w:lineRule="auto" w:after="40"/>
        <w:ind w:left="454"/>
      </w:pPr>
      <w:r>
        <w:rPr>
          <w:rFonts w:ascii="Consolas" w:hAnsi="Consolas"/>
          <w:sz w:val="19"/>
        </w:rPr>
        <w:t>qlora_fedprox_ep1_a0.1_q8bit_rounds.jsonl   QLoRA 8-bit, FedProx, alpha = 0.1</w:t>
      </w:r>
    </w:p>
    <w:p>
      <w:r>
        <w:rPr>
          <w:rFonts w:ascii="Times New Roman" w:hAnsi="Times New Roman"/>
          <w:b w:val="0"/>
          <w:sz w:val="24"/>
        </w:rPr>
        <w:t>The alpha value is omitted from the name when it takes the default of 1, and the quantisation suffix is omitted when it is the default 4-bit. Each line of a *_rounds.jsonl file is one federated round:</w:t>
      </w:r>
    </w:p>
    <w:tbl>
      <w:tblPr>
        <w:tblStyle w:val="TableGrid"/>
        <w:tblW w:type="auto" w:w="0"/>
        <w:tblLook w:firstColumn="1" w:firstRow="1" w:lastColumn="0" w:lastRow="0" w:noHBand="0" w:noVBand="1" w:val="04A0"/>
      </w:tblPr>
      <w:tblGrid>
        <w:gridCol w:w="4986"/>
        <w:gridCol w:w="4986"/>
      </w:tblGrid>
      <w:tr>
        <w:tc>
          <w:tcPr>
            <w:tcW w:type="dxa" w:w="4986"/>
          </w:tcPr>
          <w:p>
            <w:pPr>
              <w:spacing w:line="240" w:lineRule="auto"/>
            </w:pPr>
            <w:r/>
            <w:r>
              <w:rPr>
                <w:rFonts w:ascii="Times New Roman" w:hAnsi="Times New Roman"/>
                <w:b/>
                <w:sz w:val="19"/>
              </w:rPr>
              <w:t>Field</w:t>
            </w:r>
          </w:p>
        </w:tc>
        <w:tc>
          <w:tcPr>
            <w:tcW w:type="dxa" w:w="4986"/>
          </w:tcPr>
          <w:p>
            <w:pPr>
              <w:spacing w:line="240" w:lineRule="auto"/>
            </w:pPr>
            <w:r/>
            <w:r>
              <w:rPr>
                <w:rFonts w:ascii="Times New Roman" w:hAnsi="Times New Roman"/>
                <w:b/>
                <w:sz w:val="19"/>
              </w:rPr>
              <w:t>Meaning</w:t>
            </w:r>
          </w:p>
        </w:tc>
      </w:tr>
      <w:tr>
        <w:tc>
          <w:tcPr>
            <w:tcW w:type="dxa" w:w="4986"/>
          </w:tcPr>
          <w:p>
            <w:pPr>
              <w:spacing w:line="240" w:lineRule="auto"/>
            </w:pPr>
            <w:r/>
            <w:r>
              <w:rPr>
                <w:rFonts w:ascii="Times New Roman" w:hAnsi="Times New Roman"/>
                <w:b w:val="0"/>
                <w:sz w:val="19"/>
              </w:rPr>
              <w:t>round</w:t>
            </w:r>
          </w:p>
        </w:tc>
        <w:tc>
          <w:tcPr>
            <w:tcW w:type="dxa" w:w="4986"/>
          </w:tcPr>
          <w:p>
            <w:pPr>
              <w:spacing w:line="240" w:lineRule="auto"/>
            </w:pPr>
            <w:r/>
            <w:r>
              <w:rPr>
                <w:rFonts w:ascii="Times New Roman" w:hAnsi="Times New Roman"/>
                <w:b w:val="0"/>
                <w:sz w:val="19"/>
              </w:rPr>
              <w:t>Round index, starting at 1</w:t>
            </w:r>
          </w:p>
        </w:tc>
      </w:tr>
      <w:tr>
        <w:tc>
          <w:tcPr>
            <w:tcW w:type="dxa" w:w="4986"/>
          </w:tcPr>
          <w:p>
            <w:pPr>
              <w:spacing w:line="240" w:lineRule="auto"/>
            </w:pPr>
            <w:r/>
            <w:r>
              <w:rPr>
                <w:rFonts w:ascii="Times New Roman" w:hAnsi="Times New Roman"/>
                <w:b w:val="0"/>
                <w:sz w:val="19"/>
              </w:rPr>
              <w:t>val_loss</w:t>
            </w:r>
          </w:p>
        </w:tc>
        <w:tc>
          <w:tcPr>
            <w:tcW w:type="dxa" w:w="4986"/>
          </w:tcPr>
          <w:p>
            <w:pPr>
              <w:spacing w:line="240" w:lineRule="auto"/>
            </w:pPr>
            <w:r/>
            <w:r>
              <w:rPr>
                <w:rFonts w:ascii="Times New Roman" w:hAnsi="Times New Roman"/>
                <w:b w:val="0"/>
                <w:sz w:val="19"/>
              </w:rPr>
              <w:t>Mean cross-entropy on the held-out set</w:t>
            </w:r>
          </w:p>
        </w:tc>
      </w:tr>
      <w:tr>
        <w:tc>
          <w:tcPr>
            <w:tcW w:type="dxa" w:w="4986"/>
          </w:tcPr>
          <w:p>
            <w:pPr>
              <w:spacing w:line="240" w:lineRule="auto"/>
            </w:pPr>
            <w:r/>
            <w:r>
              <w:rPr>
                <w:rFonts w:ascii="Times New Roman" w:hAnsi="Times New Roman"/>
                <w:b w:val="0"/>
                <w:sz w:val="19"/>
              </w:rPr>
              <w:t>val_perplexity</w:t>
            </w:r>
          </w:p>
        </w:tc>
        <w:tc>
          <w:tcPr>
            <w:tcW w:type="dxa" w:w="4986"/>
          </w:tcPr>
          <w:p>
            <w:pPr>
              <w:spacing w:line="240" w:lineRule="auto"/>
            </w:pPr>
            <w:r/>
            <w:r>
              <w:rPr>
                <w:rFonts w:ascii="Times New Roman" w:hAnsi="Times New Roman"/>
                <w:b w:val="0"/>
                <w:sz w:val="19"/>
              </w:rPr>
              <w:t>Exponential of val_loss</w:t>
            </w:r>
          </w:p>
        </w:tc>
      </w:tr>
      <w:tr>
        <w:tc>
          <w:tcPr>
            <w:tcW w:type="dxa" w:w="4986"/>
          </w:tcPr>
          <w:p>
            <w:pPr>
              <w:spacing w:line="240" w:lineRule="auto"/>
            </w:pPr>
            <w:r/>
            <w:r>
              <w:rPr>
                <w:rFonts w:ascii="Times New Roman" w:hAnsi="Times New Roman"/>
                <w:b w:val="0"/>
                <w:sz w:val="19"/>
              </w:rPr>
              <w:t>round_latency_sec</w:t>
            </w:r>
          </w:p>
        </w:tc>
        <w:tc>
          <w:tcPr>
            <w:tcW w:type="dxa" w:w="4986"/>
          </w:tcPr>
          <w:p>
            <w:pPr>
              <w:spacing w:line="240" w:lineRule="auto"/>
            </w:pPr>
            <w:r/>
            <w:r>
              <w:rPr>
                <w:rFonts w:ascii="Times New Roman" w:hAnsi="Times New Roman"/>
                <w:b w:val="0"/>
                <w:sz w:val="19"/>
              </w:rPr>
              <w:t>Wall-clock duration of the round, including evaluation</w:t>
            </w:r>
          </w:p>
        </w:tc>
      </w:tr>
      <w:tr>
        <w:tc>
          <w:tcPr>
            <w:tcW w:type="dxa" w:w="4986"/>
          </w:tcPr>
          <w:p>
            <w:pPr>
              <w:spacing w:line="240" w:lineRule="auto"/>
            </w:pPr>
            <w:r/>
            <w:r>
              <w:rPr>
                <w:rFonts w:ascii="Times New Roman" w:hAnsi="Times New Roman"/>
                <w:b w:val="0"/>
                <w:sz w:val="19"/>
              </w:rPr>
              <w:t>communication_bytes_this_round</w:t>
            </w:r>
          </w:p>
        </w:tc>
        <w:tc>
          <w:tcPr>
            <w:tcW w:type="dxa" w:w="4986"/>
          </w:tcPr>
          <w:p>
            <w:pPr>
              <w:spacing w:line="240" w:lineRule="auto"/>
            </w:pPr>
            <w:r/>
            <w:r>
              <w:rPr>
                <w:rFonts w:ascii="Times New Roman" w:hAnsi="Times New Roman"/>
                <w:b w:val="0"/>
                <w:sz w:val="19"/>
              </w:rPr>
              <w:t>Adapter payload multiplied by participating clients (client-to-server only)</w:t>
            </w:r>
          </w:p>
        </w:tc>
      </w:tr>
      <w:tr>
        <w:tc>
          <w:tcPr>
            <w:tcW w:type="dxa" w:w="4986"/>
          </w:tcPr>
          <w:p>
            <w:pPr>
              <w:spacing w:line="240" w:lineRule="auto"/>
            </w:pPr>
            <w:r/>
            <w:r>
              <w:rPr>
                <w:rFonts w:ascii="Times New Roman" w:hAnsi="Times New Roman"/>
                <w:b w:val="0"/>
                <w:sz w:val="19"/>
              </w:rPr>
              <w:t>peak_vram_gb</w:t>
            </w:r>
          </w:p>
        </w:tc>
        <w:tc>
          <w:tcPr>
            <w:tcW w:type="dxa" w:w="4986"/>
          </w:tcPr>
          <w:p>
            <w:pPr>
              <w:spacing w:line="240" w:lineRule="auto"/>
            </w:pPr>
            <w:r/>
            <w:r>
              <w:rPr>
                <w:rFonts w:ascii="Times New Roman" w:hAnsi="Times New Roman"/>
                <w:b w:val="0"/>
                <w:sz w:val="19"/>
              </w:rPr>
              <w:t>Peak GPU allocation observed during the round</w:t>
            </w:r>
          </w:p>
        </w:tc>
      </w:tr>
      <w:tr>
        <w:tc>
          <w:tcPr>
            <w:tcW w:type="dxa" w:w="4986"/>
          </w:tcPr>
          <w:p>
            <w:pPr>
              <w:spacing w:line="240" w:lineRule="auto"/>
            </w:pPr>
            <w:r/>
            <w:r>
              <w:rPr>
                <w:rFonts w:ascii="Times New Roman" w:hAnsi="Times New Roman"/>
                <w:b w:val="0"/>
                <w:sz w:val="19"/>
              </w:rPr>
              <w:t>rouge_l</w:t>
            </w:r>
          </w:p>
        </w:tc>
        <w:tc>
          <w:tcPr>
            <w:tcW w:type="dxa" w:w="4986"/>
          </w:tcPr>
          <w:p>
            <w:pPr>
              <w:spacing w:line="240" w:lineRule="auto"/>
            </w:pPr>
            <w:r/>
            <w:r>
              <w:rPr>
                <w:rFonts w:ascii="Times New Roman" w:hAnsi="Times New Roman"/>
                <w:b w:val="0"/>
                <w:sz w:val="19"/>
              </w:rPr>
              <w:t>Present on the final round only; ROUGE-L over the 200-example evaluation sample</w:t>
            </w:r>
          </w:p>
        </w:tc>
      </w:tr>
    </w:tbl>
    <w:p/>
    <w:p>
      <w:r>
        <w:rPr>
          <w:rFonts w:ascii="Times New Roman" w:hAnsi="Times New Roman"/>
          <w:b w:val="0"/>
          <w:sz w:val="24"/>
        </w:rPr>
        <w:t>Each line of a *_generations.jsonl file holds one evaluated example, with its instruction, the reference response, the response the model generated, and its task category. Because the generated text is retained, every generation-based measure in the report can be recomputed without rerunning the model.</w:t>
      </w:r>
    </w:p>
    <w:p>
      <w:r>
        <w:rPr>
          <w:rFonts w:ascii="Times New Roman" w:hAnsi="Times New Roman"/>
          <w:b/>
          <w:sz w:val="28"/>
        </w:rPr>
        <w:t>6. Verification and quality control</w:t>
      </w:r>
    </w:p>
    <w:p>
      <w:r>
        <w:rPr>
          <w:rFonts w:ascii="Times New Roman" w:hAnsi="Times New Roman"/>
          <w:b w:val="0"/>
          <w:sz w:val="24"/>
        </w:rPr>
        <w:t>The implementation is covered by an automated suite of 66 tests spanning data preparation, partitioning, adapter wiring, aggregation, checkpointing, the convergence criterion and the analysis functions. The suite was run before each experimental campaign.</w:t>
      </w:r>
    </w:p>
    <w:p>
      <w:r>
        <w:rPr>
          <w:rFonts w:ascii="Times New Roman" w:hAnsi="Times New Roman"/>
          <w:b w:val="0"/>
          <w:sz w:val="24"/>
        </w:rPr>
        <w:t>Two defects were found and corrected during the project, and both are recorded in the commit history with their diagnosis. The first was a tokenisation fault: truncating a long prompt and response from the end could remove the response entirely, leaving an example with no trainable tokens and producing an invalid loss that propagated through aggregation. It was found during a pilot run at the most uneven partition and fixed by truncating the prompt instead. The second was a naming mismatch between the runner and the analysis script, which caused six completed runs to be reported as missing rather than raising an error. Both are noted here because silent faults of this kind are the ones most likely to survive into results.</w:t>
      </w:r>
    </w:p>
    <w:p>
      <w:r>
        <w:rPr>
          <w:rFonts w:ascii="Times New Roman" w:hAnsi="Times New Roman"/>
          <w:b/>
          <w:sz w:val="28"/>
        </w:rPr>
        <w:t>7. Reproducing the reported results</w:t>
      </w:r>
    </w:p>
    <w:p>
      <w:r>
        <w:rPr>
          <w:rFonts w:ascii="Times New Roman" w:hAnsi="Times New Roman"/>
          <w:b w:val="0"/>
          <w:sz w:val="24"/>
        </w:rPr>
        <w:t>The analysis reads only the JSONL logs, so every table and figure in the report can be regenerated without access to a GPU and without repeating the 34 hours of training. From a clone of the repository:</w:t>
      </w:r>
    </w:p>
    <w:p>
      <w:pPr>
        <w:spacing w:line="240" w:lineRule="auto" w:after="40"/>
        <w:ind w:left="454"/>
      </w:pPr>
      <w:r>
        <w:rPr>
          <w:rFonts w:ascii="Consolas" w:hAnsi="Consolas"/>
          <w:sz w:val="19"/>
        </w:rPr>
        <w:t>git switch week6</w:t>
      </w:r>
    </w:p>
    <w:p>
      <w:pPr>
        <w:spacing w:line="240" w:lineRule="auto" w:after="40"/>
        <w:ind w:left="454"/>
      </w:pPr>
      <w:r>
        <w:rPr>
          <w:rFonts w:ascii="Consolas" w:hAnsi="Consolas"/>
          <w:sz w:val="19"/>
        </w:rPr>
        <w:t>git restore --source=origin/week4-results --worktree -- results/logs</w:t>
      </w:r>
    </w:p>
    <w:p>
      <w:pPr>
        <w:spacing w:line="240" w:lineRule="auto" w:after="40"/>
        <w:ind w:left="454"/>
      </w:pPr>
      <w:r>
        <w:rPr>
          <w:rFonts w:ascii="Consolas" w:hAnsi="Consolas"/>
          <w:sz w:val="19"/>
        </w:rPr>
        <w:t>git restore --source=origin/week5 --worktree -- results/logs</w:t>
      </w:r>
    </w:p>
    <w:p>
      <w:pPr>
        <w:spacing w:line="240" w:lineRule="auto" w:after="40"/>
        <w:ind w:left="454"/>
      </w:pPr>
      <w:r>
        <w:rPr>
          <w:rFonts w:ascii="Consolas" w:hAnsi="Consolas"/>
          <w:sz w:val="19"/>
        </w:rPr>
        <w:t>python scripts/analyze_interaction.py</w:t>
      </w:r>
    </w:p>
    <w:p>
      <w:pPr>
        <w:spacing w:line="240" w:lineRule="auto" w:after="40"/>
        <w:ind w:left="454"/>
      </w:pPr>
      <w:r>
        <w:rPr>
          <w:rFonts w:ascii="Consolas" w:hAnsi="Consolas"/>
          <w:sz w:val="19"/>
        </w:rPr>
        <w:t>python scripts/plot_results.py</w:t>
      </w:r>
    </w:p>
    <w:p>
      <w:r>
        <w:rPr>
          <w:rFonts w:ascii="Times New Roman" w:hAnsi="Times New Roman"/>
          <w:b w:val="0"/>
          <w:sz w:val="24"/>
        </w:rPr>
        <w:t>The two restore commands bring the logs of all 24 runs into the working tree without altering the branch. Analyses were produced with Python 3.11.15, numpy 2.4.6, rouge-score 0.1.2 and matplotlib 3.11.1; the training environment is recorded separately in the report and in env_alpha100.txt.</w:t>
      </w:r>
    </w:p>
    <w:p>
      <w:r>
        <w:rPr>
          <w:rFonts w:ascii="Times New Roman" w:hAnsi="Times New Roman"/>
          <w:b/>
          <w:sz w:val="28"/>
        </w:rPr>
        <w:t>8. Preservation plan</w:t>
      </w:r>
    </w:p>
    <w:p>
      <w:r>
        <w:rPr>
          <w:rFonts w:ascii="Times New Roman" w:hAnsi="Times New Roman"/>
          <w:b w:val="0"/>
          <w:sz w:val="24"/>
        </w:rPr>
        <w:t>The repository is the working copy. For long-term preservation a tagged snapshot will be deposited with Zenodo, which mints a persistent DOI for a GitHub release, so that the version underlying the report remains citable and unchanged.</w:t>
      </w:r>
    </w:p>
    <w:p>
      <w:pPr>
        <w:pStyle w:val="ListBullet"/>
      </w:pPr>
      <w:r>
        <w:rPr>
          <w:rFonts w:ascii="Times New Roman" w:hAnsi="Times New Roman"/>
          <w:sz w:val="22"/>
        </w:rPr>
        <w:t>Deposited permanently: source code, the 48 JSONL log files (4.3 MB), the environment manifest, the analysis scripts and the figures. These are together sufficient to regenerate every number, table and figure reported.</w:t>
      </w:r>
    </w:p>
    <w:p>
      <w:pPr>
        <w:pStyle w:val="ListBullet"/>
      </w:pPr>
      <w:r>
        <w:rPr>
          <w:rFonts w:ascii="Times New Roman" w:hAnsi="Times New Roman"/>
          <w:sz w:val="22"/>
        </w:rPr>
        <w:t>Not deposited: the per-round model checkpoints, which account for almost all of the 551 MB currently stored. They can be regenerated from the archived code and are not required to reproduce any reported result, so they are retained only for the duration of the placement rather than archived permanently.</w:t>
      </w:r>
    </w:p>
    <w:p>
      <w:pPr>
        <w:pStyle w:val="ListBullet"/>
      </w:pPr>
      <w:r>
        <w:rPr>
          <w:rFonts w:ascii="Times New Roman" w:hAnsi="Times New Roman"/>
          <w:sz w:val="22"/>
        </w:rPr>
        <w:t>Retained in addition in accordance with the Macquarie University research data management policy [CONFIRM the university-approved repository and the required retention period with the mentor].</w:t>
      </w:r>
    </w:p>
    <w:p>
      <w:r>
        <w:rPr>
          <w:rFonts w:ascii="Times New Roman" w:hAnsi="Times New Roman"/>
          <w:b/>
          <w:sz w:val="28"/>
        </w:rPr>
        <w:t>9. Record of research activity</w:t>
      </w:r>
    </w:p>
    <w:p>
      <w:r>
        <w:rPr>
          <w:rFonts w:ascii="Times New Roman" w:hAnsi="Times New Roman"/>
          <w:b w:val="0"/>
          <w:sz w:val="24"/>
        </w:rPr>
        <w:t>A short progress report was written at the end of most weeks, in Korean and English, and these are held in reports/ on the week6 branch. Read in sequence they document what was attempted, what was changed after supervisory feedback, and why.</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pPr>
            <w:r/>
            <w:r>
              <w:rPr>
                <w:rFonts w:ascii="Times New Roman" w:hAnsi="Times New Roman"/>
                <w:b/>
                <w:sz w:val="19"/>
              </w:rPr>
              <w:t>Week</w:t>
            </w:r>
          </w:p>
        </w:tc>
        <w:tc>
          <w:tcPr>
            <w:tcW w:type="dxa" w:w="3324"/>
          </w:tcPr>
          <w:p>
            <w:pPr>
              <w:spacing w:line="240" w:lineRule="auto"/>
            </w:pPr>
            <w:r/>
            <w:r>
              <w:rPr>
                <w:rFonts w:ascii="Times New Roman" w:hAnsi="Times New Roman"/>
                <w:b/>
                <w:sz w:val="19"/>
              </w:rPr>
              <w:t>Activity</w:t>
            </w:r>
          </w:p>
        </w:tc>
        <w:tc>
          <w:tcPr>
            <w:tcW w:type="dxa" w:w="3324"/>
          </w:tcPr>
          <w:p>
            <w:pPr>
              <w:spacing w:line="240" w:lineRule="auto"/>
            </w:pPr>
            <w:r/>
            <w:r>
              <w:rPr>
                <w:rFonts w:ascii="Times New Roman" w:hAnsi="Times New Roman"/>
                <w:b/>
                <w:sz w:val="19"/>
              </w:rPr>
              <w:t>Report</w:t>
            </w:r>
          </w:p>
        </w:tc>
      </w:tr>
      <w:tr>
        <w:tc>
          <w:tcPr>
            <w:tcW w:type="dxa" w:w="3324"/>
          </w:tcPr>
          <w:p>
            <w:pPr>
              <w:spacing w:line="240" w:lineRule="auto"/>
            </w:pPr>
            <w:r/>
            <w:r>
              <w:rPr>
                <w:rFonts w:ascii="Times New Roman" w:hAnsi="Times New Roman"/>
                <w:b w:val="0"/>
                <w:sz w:val="19"/>
              </w:rPr>
              <w:t>1</w:t>
            </w:r>
          </w:p>
        </w:tc>
        <w:tc>
          <w:tcPr>
            <w:tcW w:type="dxa" w:w="3324"/>
          </w:tcPr>
          <w:p>
            <w:pPr>
              <w:spacing w:line="240" w:lineRule="auto"/>
            </w:pPr>
            <w:r/>
            <w:r>
              <w:rPr>
                <w:rFonts w:ascii="Times New Roman" w:hAnsi="Times New Roman"/>
                <w:b w:val="0"/>
                <w:sz w:val="19"/>
              </w:rPr>
              <w:t>Model and GPU environment verified; parameter-efficient fine-tuning wired up</w:t>
            </w:r>
          </w:p>
        </w:tc>
        <w:tc>
          <w:tcPr>
            <w:tcW w:type="dxa" w:w="3324"/>
          </w:tcPr>
          <w:p>
            <w:pPr>
              <w:spacing w:line="240" w:lineRule="auto"/>
            </w:pPr>
            <w:r/>
            <w:r>
              <w:rPr>
                <w:rFonts w:ascii="Times New Roman" w:hAnsi="Times New Roman"/>
                <w:b w:val="0"/>
                <w:sz w:val="19"/>
              </w:rPr>
              <w:t>Week1_Report.docx</w:t>
            </w:r>
          </w:p>
        </w:tc>
      </w:tr>
      <w:tr>
        <w:tc>
          <w:tcPr>
            <w:tcW w:type="dxa" w:w="3324"/>
          </w:tcPr>
          <w:p>
            <w:pPr>
              <w:spacing w:line="240" w:lineRule="auto"/>
            </w:pPr>
            <w:r/>
            <w:r>
              <w:rPr>
                <w:rFonts w:ascii="Times New Roman" w:hAnsi="Times New Roman"/>
                <w:b w:val="0"/>
                <w:sz w:val="19"/>
              </w:rPr>
              <w:t>2</w:t>
            </w:r>
          </w:p>
        </w:tc>
        <w:tc>
          <w:tcPr>
            <w:tcW w:type="dxa" w:w="3324"/>
          </w:tcPr>
          <w:p>
            <w:pPr>
              <w:spacing w:line="240" w:lineRule="auto"/>
            </w:pPr>
            <w:r/>
            <w:r>
              <w:rPr>
                <w:rFonts w:ascii="Times New Roman" w:hAnsi="Times New Roman"/>
                <w:b w:val="0"/>
                <w:sz w:val="19"/>
              </w:rPr>
              <w:t>Dolly-15k pipeline; Dirichlet partitioning implemented</w:t>
            </w:r>
          </w:p>
        </w:tc>
        <w:tc>
          <w:tcPr>
            <w:tcW w:type="dxa" w:w="3324"/>
          </w:tcPr>
          <w:p>
            <w:pPr>
              <w:spacing w:line="240" w:lineRule="auto"/>
            </w:pPr>
            <w:r/>
            <w:r>
              <w:rPr>
                <w:rFonts w:ascii="Times New Roman" w:hAnsi="Times New Roman"/>
                <w:b w:val="0"/>
                <w:sz w:val="19"/>
              </w:rPr>
              <w:t>Week2_Report.docx (+ EN)</w:t>
            </w:r>
          </w:p>
        </w:tc>
      </w:tr>
      <w:tr>
        <w:tc>
          <w:tcPr>
            <w:tcW w:type="dxa" w:w="3324"/>
          </w:tcPr>
          <w:p>
            <w:pPr>
              <w:spacing w:line="240" w:lineRule="auto"/>
            </w:pPr>
            <w:r/>
            <w:r>
              <w:rPr>
                <w:rFonts w:ascii="Times New Roman" w:hAnsi="Times New Roman"/>
                <w:b w:val="0"/>
                <w:sz w:val="19"/>
              </w:rPr>
              <w:t>3</w:t>
            </w:r>
          </w:p>
        </w:tc>
        <w:tc>
          <w:tcPr>
            <w:tcW w:type="dxa" w:w="3324"/>
          </w:tcPr>
          <w:p>
            <w:pPr>
              <w:spacing w:line="240" w:lineRule="auto"/>
            </w:pPr>
            <w:r/>
            <w:r>
              <w:rPr>
                <w:rFonts w:ascii="Times New Roman" w:hAnsi="Times New Roman"/>
                <w:b w:val="0"/>
                <w:sz w:val="19"/>
              </w:rPr>
              <w:t>FedProx and SCAFFOLD; checkpointing; convergence criterion; integration tests</w:t>
            </w:r>
          </w:p>
        </w:tc>
        <w:tc>
          <w:tcPr>
            <w:tcW w:type="dxa" w:w="3324"/>
          </w:tcPr>
          <w:p>
            <w:pPr>
              <w:spacing w:line="240" w:lineRule="auto"/>
            </w:pPr>
            <w:r/>
            <w:r>
              <w:rPr>
                <w:rFonts w:ascii="Times New Roman" w:hAnsi="Times New Roman"/>
                <w:b w:val="0"/>
                <w:sz w:val="19"/>
              </w:rPr>
              <w:t>Week3_Report.docx (+ EN)</w:t>
            </w:r>
          </w:p>
        </w:tc>
      </w:tr>
      <w:tr>
        <w:tc>
          <w:tcPr>
            <w:tcW w:type="dxa" w:w="3324"/>
          </w:tcPr>
          <w:p>
            <w:pPr>
              <w:spacing w:line="240" w:lineRule="auto"/>
            </w:pPr>
            <w:r/>
            <w:r>
              <w:rPr>
                <w:rFonts w:ascii="Times New Roman" w:hAnsi="Times New Roman"/>
                <w:b w:val="0"/>
                <w:sz w:val="19"/>
              </w:rPr>
              <w:t>4</w:t>
            </w:r>
          </w:p>
        </w:tc>
        <w:tc>
          <w:tcPr>
            <w:tcW w:type="dxa" w:w="3324"/>
          </w:tcPr>
          <w:p>
            <w:pPr>
              <w:spacing w:line="240" w:lineRule="auto"/>
            </w:pPr>
            <w:r/>
            <w:r>
              <w:rPr>
                <w:rFonts w:ascii="Times New Roman" w:hAnsi="Times New Roman"/>
                <w:b w:val="0"/>
                <w:sz w:val="19"/>
              </w:rPr>
              <w:t>Core grid runner and analysis functions; first 18 runs executed on GPU</w:t>
            </w:r>
          </w:p>
        </w:tc>
        <w:tc>
          <w:tcPr>
            <w:tcW w:type="dxa" w:w="3324"/>
          </w:tcPr>
          <w:p>
            <w:pPr>
              <w:spacing w:line="240" w:lineRule="auto"/>
            </w:pPr>
            <w:r/>
            <w:r>
              <w:rPr>
                <w:rFonts w:ascii="Times New Roman" w:hAnsi="Times New Roman"/>
                <w:b w:val="0"/>
                <w:sz w:val="19"/>
              </w:rPr>
              <w:t>recorded in commit history</w:t>
            </w:r>
          </w:p>
        </w:tc>
      </w:tr>
      <w:tr>
        <w:tc>
          <w:tcPr>
            <w:tcW w:type="dxa" w:w="3324"/>
          </w:tcPr>
          <w:p>
            <w:pPr>
              <w:spacing w:line="240" w:lineRule="auto"/>
            </w:pPr>
            <w:r/>
            <w:r>
              <w:rPr>
                <w:rFonts w:ascii="Times New Roman" w:hAnsi="Times New Roman"/>
                <w:b w:val="0"/>
                <w:sz w:val="19"/>
              </w:rPr>
              <w:t>5</w:t>
            </w:r>
          </w:p>
        </w:tc>
        <w:tc>
          <w:tcPr>
            <w:tcW w:type="dxa" w:w="3324"/>
          </w:tcPr>
          <w:p>
            <w:pPr>
              <w:spacing w:line="240" w:lineRule="auto"/>
            </w:pPr>
            <w:r/>
            <w:r>
              <w:rPr>
                <w:rFonts w:ascii="Times New Roman" w:hAnsi="Times New Roman"/>
                <w:b w:val="0"/>
                <w:sz w:val="19"/>
              </w:rPr>
              <w:t>Design revised after supervisory feedback; server-side evaluation; alpha = 100 added and run</w:t>
            </w:r>
          </w:p>
        </w:tc>
        <w:tc>
          <w:tcPr>
            <w:tcW w:type="dxa" w:w="3324"/>
          </w:tcPr>
          <w:p>
            <w:pPr>
              <w:spacing w:line="240" w:lineRule="auto"/>
            </w:pPr>
            <w:r/>
            <w:r>
              <w:rPr>
                <w:rFonts w:ascii="Times New Roman" w:hAnsi="Times New Roman"/>
                <w:b w:val="0"/>
                <w:sz w:val="19"/>
              </w:rPr>
              <w:t>Week5_Report.docx (+ EN, + tables)</w:t>
            </w:r>
          </w:p>
        </w:tc>
      </w:tr>
      <w:tr>
        <w:tc>
          <w:tcPr>
            <w:tcW w:type="dxa" w:w="3324"/>
          </w:tcPr>
          <w:p>
            <w:pPr>
              <w:spacing w:line="240" w:lineRule="auto"/>
            </w:pPr>
            <w:r/>
            <w:r>
              <w:rPr>
                <w:rFonts w:ascii="Times New Roman" w:hAnsi="Times New Roman"/>
                <w:b w:val="0"/>
                <w:sz w:val="19"/>
              </w:rPr>
              <w:t>6</w:t>
            </w:r>
          </w:p>
        </w:tc>
        <w:tc>
          <w:tcPr>
            <w:tcW w:type="dxa" w:w="3324"/>
          </w:tcPr>
          <w:p>
            <w:pPr>
              <w:spacing w:line="240" w:lineRule="auto"/>
            </w:pPr>
            <w:r/>
            <w:r>
              <w:rPr>
                <w:rFonts w:ascii="Times New Roman" w:hAnsi="Times New Roman"/>
                <w:b w:val="0"/>
                <w:sz w:val="19"/>
              </w:rPr>
              <w:t>Analysis, figures, report and presentation</w:t>
            </w:r>
          </w:p>
        </w:tc>
        <w:tc>
          <w:tcPr>
            <w:tcW w:type="dxa" w:w="3324"/>
          </w:tcPr>
          <w:p>
            <w:pPr>
              <w:spacing w:line="240" w:lineRule="auto"/>
            </w:pPr>
            <w:r/>
            <w:r>
              <w:rPr>
                <w:rFonts w:ascii="Times New Roman" w:hAnsi="Times New Roman"/>
                <w:b w:val="0"/>
                <w:sz w:val="19"/>
              </w:rPr>
              <w:t>this deliverable</w:t>
            </w:r>
          </w:p>
        </w:tc>
      </w:tr>
    </w:tbl>
    <w:p/>
    <w:p>
      <w:r>
        <w:rPr>
          <w:rFonts w:ascii="Times New Roman" w:hAnsi="Times New Roman"/>
          <w:b w:val="0"/>
          <w:sz w:val="24"/>
        </w:rPr>
        <w:t>Supervisory feedback is traceable through the same record. Three changes were made in direct response to it: the experimental focus was reframed around the interaction between compression and data heterogeneity, evaluation was moved from a client to the server so that every condition is scored on identical data, and a fourth heterogeneity setting was added to establish a near-uniform endpoint. Each is recorded in the commit that implemented it.</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