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Results, Discussion and Limitations (draft)</w:t>
      </w:r>
    </w:p>
    <w:p>
      <w:r>
        <w:rPr>
          <w:rFonts w:ascii="Times New Roman" w:hAnsi="Times New Roman"/>
          <w:b w:val="0"/>
          <w:sz w:val="20"/>
        </w:rPr>
        <w:t>Figure and table numbers refer to the four figures and the appendix tables supplied with this draft. Citations are given as author-year placeholders and their full bibliographic details should be verified before submission.</w:t>
      </w:r>
    </w:p>
    <w:p>
      <w:r>
        <w:rPr>
          <w:rFonts w:ascii="Times New Roman" w:hAnsi="Times New Roman"/>
          <w:b/>
          <w:sz w:val="28"/>
        </w:rPr>
        <w:t>3. Results</w:t>
      </w:r>
    </w:p>
    <w:p>
      <w:r>
        <w:rPr>
          <w:rFonts w:ascii="Times New Roman" w:hAnsi="Times New Roman"/>
          <w:b/>
          <w:sz w:val="26"/>
        </w:rPr>
        <w:t>3.1 Overview</w:t>
      </w:r>
    </w:p>
    <w:p>
      <w:r>
        <w:rPr>
          <w:rFonts w:ascii="Times New Roman" w:hAnsi="Times New Roman"/>
          <w:b w:val="0"/>
          <w:sz w:val="24"/>
        </w:rPr>
        <w:t>All 24 runs completed without divergence. Validation loss increased between rounds in only two runs, by 0.0003 and 0.0031 respectively, and no run produced a NaN loss. Twenty-one runs stopped at the round-5 convergence threshold, two at round 6 and one at round 7, so the number of rounds carried almost no information about the experimental conditions. Final perplexity ranged from 6.108 (LoRA, FedAvg, alpha = 1) to 6.610 (QLoRA 4-bit, FedProx, alpha = 10); the complete per-run record is given in Table A1 and the perplexity surface is plotted in Figure 3.</w:t>
      </w:r>
    </w:p>
    <w:p>
      <w:r>
        <w:rPr>
          <w:rFonts w:ascii="Times New Roman" w:hAnsi="Times New Roman"/>
          <w:b/>
          <w:sz w:val="26"/>
        </w:rPr>
        <w:t>3.2 Effect of compression</w:t>
      </w:r>
    </w:p>
    <w:p>
      <w:r>
        <w:rPr>
          <w:rFonts w:ascii="Times New Roman" w:hAnsi="Times New Roman"/>
          <w:b w:val="0"/>
          <w:sz w:val="24"/>
        </w:rPr>
        <w:t>Compression level was by far the dominant source of variation. In a three-way decomposition of final-round validation loss it accounted for 89.6% of the total variance (F = 253.4, p &lt; 0.0001; Table A2a). Relative to the uncompressed LoRA baseline, and pairing each comparison by aggregation rule and alpha, QLoRA 8-bit cost 0.55% in perplexity (range -0.56% to +1.02%) whereas QLoRA 4-bit cost 5.74% (range 5.29% to 6.33%). The 8-bit penalty changed sign across cells, indicating that it is indistinguishable from run-to-run noise, while the 4-bit penalty was positive in every cell.</w:t>
      </w:r>
    </w:p>
    <w:p>
      <w:r>
        <w:rPr>
          <w:rFonts w:ascii="Times New Roman" w:hAnsi="Times New Roman"/>
          <w:b w:val="0"/>
          <w:sz w:val="24"/>
        </w:rPr>
        <w:t>ROUGE-L reproduced this pattern independently. Because all 24 runs were evaluated on the same 200 held-out examples, differences were assessed as paired comparisons over individual examples, which removes example-level difficulty from the comparison. Pooled across the eight cells (n = 1,600), QLoRA 8-bit scored 0.0034 below LoRA (SE 0.0028, t = -1.25), which is not distinguishable from zero, whereas QLoRA 4-bit scored 0.0141 below LoRA (SE 0.0035, t = -4.04) and 0.0106 below 8-bit (SE 0.0033, t = -3.21); see Table A3. Two metrics with different measurement principles therefore agree: 8-bit quantisation of the frozen base model is effectively lossless at this scale, and 4-bit quantisation is not.</w:t>
      </w:r>
    </w:p>
    <w:p>
      <w:r>
        <w:rPr>
          <w:rFonts w:ascii="Times New Roman" w:hAnsi="Times New Roman"/>
          <w:b/>
          <w:sz w:val="26"/>
        </w:rPr>
        <w:t>3.3 Effect of data heterogeneity</w:t>
      </w:r>
    </w:p>
    <w:p>
      <w:r>
        <w:rPr>
          <w:rFonts w:ascii="Times New Roman" w:hAnsi="Times New Roman"/>
          <w:b w:val="0"/>
          <w:sz w:val="24"/>
        </w:rPr>
        <w:t>The influence of the Dirichlet concentration parameter was small at convergence and not statistically detectable, accounting for 1.2% of final-loss variance (F = 2.21, p = 0.19). It was, however, clearly present early in training: at round 1 alpha accounted for 3.1% of variance (F = 152.2, p &lt; 0.0001), and the gap between the most heterogeneous and most homogeneous conditions averaged 0.147 in perplexity across all six compression-by-algorithm combinations, with the same sign in every one of them. By the final round that gap had fallen to 0.024 and had reversed sign in one combination. Repeated federated averaging therefore absorbs most of the early disadvantage of non-identically distributed client data.</w:t>
      </w:r>
    </w:p>
    <w:p>
      <w:r>
        <w:rPr>
          <w:rFonts w:ascii="Times New Roman" w:hAnsi="Times New Roman"/>
          <w:b w:val="0"/>
          <w:sz w:val="24"/>
        </w:rPr>
        <w:t>Extending the sweep to alpha = 100 showed that the near-IID limit had already been reached at alpha = 10: the mean difference in final loss between the two settings was -0.0010, roughly one fifth of the residual standard deviation of 0.0055. Figure 2 makes the underlying partitions explicit; at alpha = 0.1 a client drew 66% of its data from a single task category on average and shard sizes ranged from 119 to 3,047 examples, whereas at alpha = 100 the largest category accounted for 25% and shards were nearly equal in size.</w:t>
      </w:r>
    </w:p>
    <w:p>
      <w:r>
        <w:rPr>
          <w:rFonts w:ascii="Times New Roman" w:hAnsi="Times New Roman"/>
          <w:b/>
          <w:sz w:val="26"/>
        </w:rPr>
        <w:t>3.4 Interaction between compression and data heterogeneity</w:t>
      </w:r>
    </w:p>
    <w:p>
      <w:r>
        <w:rPr>
          <w:rFonts w:ascii="Times New Roman" w:hAnsi="Times New Roman"/>
          <w:b w:val="0"/>
          <w:sz w:val="24"/>
        </w:rPr>
        <w:t>The interaction that motivated the study was not observed. In the decomposition of final-round loss the compression-by-alpha term accounted for 0.2% of total variance with F = 0.15 (p = 0.98); an F ratio below one means the variation attributed to the interaction was smaller than the residual variation (Table A2a). The same conclusion follows directly from the penalties themselves: the 4-bit perplexity cost was 5.66%, 5.57%, 5.94% and 5.79% at alpha = 0.1, 1, 10 and 100 respectively, and the 8-bit cost 0.72%, 0.19%, 0.54% and 0.73% (Table A5). Graphically, the vertical separation between compression levels in Figure 3 is constant across three orders of magnitude of alpha. The same term was not significant for ROUGE-L (F = 1.61, p = 0.29; Table A2c).</w:t>
      </w:r>
    </w:p>
    <w:p>
      <w:r>
        <w:rPr>
          <w:rFonts w:ascii="Times New Roman" w:hAnsi="Times New Roman"/>
          <w:b w:val="0"/>
          <w:sz w:val="24"/>
        </w:rPr>
        <w:t>Because a null result is only informative if its precision is known, the interaction was also bounded. Contrasting the 4-bit penalty at alpha = 0.1 against alpha = 100 and averaging over both aggregation rules gives a difference of -0.0012 in loss with an approximate 95% confidence interval of +/-0.019, equivalent to roughly +/-2 percentage points of perplexity. Effects of the size that motivated the hypothesis - for instance a doubling of the quantisation penalty under strong heterogeneity - are therefore excluded by these data, even though small effects cannot be ruled out.</w:t>
      </w:r>
    </w:p>
    <w:p>
      <w:r>
        <w:rPr>
          <w:rFonts w:ascii="Times New Roman" w:hAnsi="Times New Roman"/>
          <w:b w:val="0"/>
          <w:sz w:val="24"/>
        </w:rPr>
        <w:t>At round 1 the interaction term was nominally significant (0.3% of variance, F = 6.67, p = 0.018). This signal was not robust. Recomputing the decomposition on the original 18 runs only, that is excluding alpha = 100, returns p = 0.10 and reverses the ordering of sensitivity across compression levels (Table A6). The alpha = 100 runs were executed in a separately provisioned software environment, and the round-1 loss of the 4-bit condition shifted by -0.004 and -0.012 between alpha = 10 and alpha = 100 while LoRA and 8-bit moved by less than 0.004. The early-round interaction is therefore reported as unconfirmed and plausibly attributable to the environment change rather than to data heterogeneity.</w:t>
      </w:r>
    </w:p>
    <w:p>
      <w:r>
        <w:rPr>
          <w:rFonts w:ascii="Times New Roman" w:hAnsi="Times New Roman"/>
          <w:b/>
          <w:sz w:val="26"/>
        </w:rPr>
        <w:t>3.5 Effect of the aggregation rule</w:t>
      </w:r>
    </w:p>
    <w:p>
      <w:r>
        <w:rPr>
          <w:rFonts w:ascii="Times New Roman" w:hAnsi="Times New Roman"/>
          <w:b w:val="0"/>
          <w:sz w:val="24"/>
        </w:rPr>
        <w:t>FedProx underperformed FedAvg in all twelve matched cells, with a mean perplexity penalty of 1.51%, and the difference was also present in ROUGE-L (-0.0126, SE 0.0024, t = -5.21, n = 2,400). It bought nothing in return: mean rounds to convergence were 5.25 against 5.08, and round time and peak memory were unchanged. The proximal term with mu = 0.01 appears to have constrained divergence from the global model more than the short training schedule rewarded.</w:t>
      </w:r>
    </w:p>
    <w:p>
      <w:r>
        <w:rPr>
          <w:rFonts w:ascii="Times New Roman" w:hAnsi="Times New Roman"/>
          <w:b/>
          <w:sz w:val="26"/>
        </w:rPr>
        <w:t>3.6 Cost metrics</w:t>
      </w:r>
    </w:p>
    <w:p>
      <w:r>
        <w:rPr>
          <w:rFonts w:ascii="Times New Roman" w:hAnsi="Times New Roman"/>
          <w:b w:val="0"/>
          <w:sz w:val="24"/>
        </w:rPr>
        <w:t>Peak GPU memory fell monotonically with compression, from 14.44 GB for LoRA to 12.25 GB for 8-bit and 10.07 GB for 4-bit, and was unaffected by alpha and by aggregation rule. Round time did not follow the same ordering: 8-bit required 25.5 minutes per round against 11.7 for LoRA and 12.4 for 4-bit, a 2.19-fold penalty, while 4-bit added only 7%. Communication was identical in every run at 17.3 MB per round for the eight participating clients, because the transmitted LoRA adapter comprises 540,672 fp32 parameters regardless of how the frozen base model is stored. Total communication therefore varied only with the number of rounds. The complete cost picture is summarised in Table A4 and Figure 4.</w:t>
      </w:r>
    </w:p>
    <w:p>
      <w:r>
        <w:rPr>
          <w:rFonts w:ascii="Times New Roman" w:hAnsi="Times New Roman"/>
          <w:b/>
          <w:sz w:val="28"/>
        </w:rPr>
        <w:t>4. Discussion</w:t>
      </w:r>
    </w:p>
    <w:p>
      <w:r>
        <w:rPr>
          <w:rFonts w:ascii="Times New Roman" w:hAnsi="Times New Roman"/>
          <w:b/>
          <w:sz w:val="26"/>
        </w:rPr>
        <w:t>4.1 Why the interaction is absent</w:t>
      </w:r>
    </w:p>
    <w:p>
      <w:r>
        <w:rPr>
          <w:rFonts w:ascii="Times New Roman" w:hAnsi="Times New Roman"/>
          <w:b w:val="0"/>
          <w:sz w:val="24"/>
        </w:rPr>
        <w:t>The most plausible explanation is that the two error sources act on different parts of the model and do not compound. Quantisation error is introduced into the frozen base model, which every client holds in an identical form; it is therefore a bias shared across the federation rather than a source of divergence between clients. Client drift, in contrast, arises in the LoRA adapter, which is trained and aggregated in full precision throughout. Under this account the two effects should be additive, which is exactly what the decomposition shows. The account also predicts where an interaction should appear: if quantisation were applied to the adapter updates themselves, quantisation error would enter the same quantity in which drift accumulates, and the two would no longer be independent.</w:t>
      </w:r>
    </w:p>
    <w:p>
      <w:r>
        <w:rPr>
          <w:rFonts w:ascii="Times New Roman" w:hAnsi="Times New Roman"/>
          <w:b/>
          <w:sz w:val="26"/>
        </w:rPr>
        <w:t>4.2 Practical implications</w:t>
      </w:r>
    </w:p>
    <w:p>
      <w:r>
        <w:rPr>
          <w:rFonts w:ascii="Times New Roman" w:hAnsi="Times New Roman"/>
          <w:b w:val="0"/>
          <w:sz w:val="24"/>
        </w:rPr>
        <w:t>Because the compression penalty is invariant to alpha, the choice of compression level can be made on resource grounds alone, without knowing how heterogeneous client data are - a simplification for deployment planning. The relevant trade-off is then between memory, accuracy and time (Figure 4). The two compression steps are not equally priced: moving from LoRA to 8-bit costs 0.25 percentage points of perplexity per gigabyte saved, whereas moving from 8-bit to 4-bit costs 2.39, an order of magnitude more. The time axis moves in the opposite direction, since 8-bit adds 13.8 minutes per round while 4-bit adds 0.8. In federated training, where round latency governs the wall-clock time of the entire federation, this is not a minor consideration. If memory is not binding, the uncompressed configuration is preferable on both accuracy and time; if memory is binding and time is not, 8-bit preserves accuracy; if both are binding, 4-bit is the remaining option at a cost of roughly 5.7% in perplexity.</w:t>
      </w:r>
    </w:p>
    <w:p>
      <w:r>
        <w:rPr>
          <w:rFonts w:ascii="Times New Roman" w:hAnsi="Times New Roman"/>
          <w:b w:val="0"/>
          <w:sz w:val="24"/>
        </w:rPr>
        <w:t>This recommendation is tempered by how memory was measured. The reported figures come from a simulation in which all eight client models and the server model were resident on one GPU, so they describe the simulation rather than a deployed client. Dividing the observed savings by the nine resident copies implies a per-model saving of approximately 0.24 GB for 8-bit and 0.49 GB for 4-bit, which matches the theoretical saving for a 0.5B-parameter model and suggests that a single client would save on the order of 4-7% rather than 15-30%, because activation memory dominates at this scale. At this model size the case for quantisation is therefore weaker than the headline figures suggest, although the balance would shift for larger models in which weights dominate memory.</w:t>
      </w:r>
    </w:p>
    <w:p>
      <w:r>
        <w:rPr>
          <w:rFonts w:ascii="Times New Roman" w:hAnsi="Times New Roman"/>
          <w:b/>
          <w:sz w:val="26"/>
        </w:rPr>
        <w:t>4.3 Relation to the literature</w:t>
      </w:r>
    </w:p>
    <w:p>
      <w:r>
        <w:rPr>
          <w:rFonts w:ascii="Times New Roman" w:hAnsi="Times New Roman"/>
          <w:b w:val="0"/>
          <w:sz w:val="24"/>
        </w:rPr>
        <w:t>The term compression carries two distinct meanings in this area, and separating them clarifies the present result. In the federated learning literature compression usually denotes communication compression, applied to the updates that clients transmit, through quantisation (Alistarh et al., 2017), sparsification (Lin et al., 2018) or structured and low-rank updates (Konecny et al., 2016), typically with an error-feedback mechanism to prevent discarded information from biasing training (Karimireddy et al., 2019). The compression axis studied here is different: it is memory compression of the frozen base model, in the manner of QLoRA (Dettmers et al., 2023), and it leaves the transmitted payload untouched. Notably, this study does perform communication compression, but through its use of LoRA (Hu et al., 2021), which reduces the transmitted payload to 0.11% of the model and is held constant across all conditions.</w:t>
      </w:r>
    </w:p>
    <w:p>
      <w:r>
        <w:rPr>
          <w:rFonts w:ascii="Times New Roman" w:hAnsi="Times New Roman"/>
          <w:b w:val="0"/>
          <w:sz w:val="24"/>
        </w:rPr>
        <w:t>This distinction matters for interpreting the null result. Interactions between compression and data heterogeneity are documented for communication compression, where aggressive quantisation of divergent client updates is known to degrade more under non-IID partitions and has motivated schemes designed for that setting (Sattler et al., 2019). The present finding does not contradict that literature; it indicates that the mechanism does not transfer to memory compression, consistent with the account in Section 4.1.</w:t>
      </w:r>
    </w:p>
    <w:p>
      <w:r>
        <w:rPr>
          <w:rFonts w:ascii="Times New Roman" w:hAnsi="Times New Roman"/>
          <w:b/>
          <w:sz w:val="28"/>
        </w:rPr>
        <w:t>5. Limitations</w:t>
      </w:r>
    </w:p>
    <w:p>
      <w:r>
        <w:rPr>
          <w:rFonts w:ascii="Times New Roman" w:hAnsi="Times New Roman"/>
          <w:b w:val="0"/>
          <w:sz w:val="24"/>
        </w:rPr>
        <w:t>Each configuration was run once with a fixed partitioning seed, so between-run variability could not be estimated directly and the residual term in the decomposition is the three-way interaction rather than replication error; the reported p-values should be read as approximate. The same seed also means that all runs at a given alpha share one partition, so an unrepresentative draw cannot be excluded. The six alpha = 100 runs were executed in a different software environment from the other eighteen, which is the reason the round-1 interaction is reported as unconfirmed and why timing comparisons are restricted to the first environment. Early convergence limited discrimination: all runs stopped within five to seven rounds and 71% of the total improvement occurred between rounds 1 and 2, leaving little room for conditions to separate. Peak memory reflects the simulation rather than a single device, as discussed above, and communication was recorded in the client-to-server direction only, so the true bidirectional cost is twice the reported value. Finally, the findings are specific to a 0.5B-parameter model fine-tuned for one local epoch per round; larger models, longer local schedules and communication-side compression remain untested.</w:t>
      </w:r>
    </w:p>
    <w:p>
      <w:r>
        <w:rPr>
          <w:rFonts w:ascii="Times New Roman" w:hAnsi="Times New Roman"/>
          <w:b/>
          <w:sz w:val="28"/>
        </w:rPr>
        <w:t>6. Future work</w:t>
      </w:r>
    </w:p>
    <w:p>
      <w:r>
        <w:rPr>
          <w:rFonts w:ascii="Times New Roman" w:hAnsi="Times New Roman"/>
          <w:b w:val="0"/>
          <w:sz w:val="24"/>
        </w:rPr>
        <w:t>Three extensions follow directly. First, replication with at least three partitioning seeds would convert the present bound on the interaction into a properly estimated confidence interval. Second, increasing the number of local epochs, as planned for the robustness check of the best-performing configuration, would amplify client drift and so provide a stronger test of the interaction hypothesis under the mechanism proposed in Section 4.1. Third, applying quantisation or sparsification to the adapter updates themselves would place compression error and client drift in the same quantity, which is the condition under which an interaction is most likely to emerge.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