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48"/>
        </w:rPr>
        <w:t>Dolly-15k FL × PEFT Research Placement</w:t>
      </w:r>
    </w:p>
    <w:p>
      <w:r>
        <w:rPr>
          <w:rFonts w:ascii="Calibri" w:hAnsi="Calibri"/>
          <w:b/>
          <w:sz w:val="36"/>
        </w:rPr>
        <w:t>Week 5 Progress Report</w:t>
      </w:r>
    </w:p>
    <w:p>
      <w:r>
        <w:rPr>
          <w:rFonts w:ascii="Calibri" w:hAnsi="Calibri"/>
          <w:b w:val="0"/>
          <w:sz w:val="21"/>
        </w:rPr>
        <w:t>Author: hufs0529</w:t>
      </w:r>
    </w:p>
    <w:p>
      <w:r>
        <w:rPr>
          <w:rFonts w:ascii="Calibri" w:hAnsi="Calibri"/>
          <w:b w:val="0"/>
          <w:sz w:val="21"/>
        </w:rPr>
        <w:t>Date: 2026-09-06</w:t>
      </w:r>
    </w:p>
    <w:p>
      <w:r>
        <w:rPr>
          <w:rFonts w:ascii="Calibri" w:hAnsi="Calibri"/>
          <w:b w:val="0"/>
          <w:sz w:val="21"/>
        </w:rPr>
        <w:t>Repository: github.com/hufs0529/peft_fl_STEM_placement (branch: week5)</w:t>
      </w:r>
    </w:p>
    <w:p>
      <w:pPr>
        <w:pStyle w:val="Heading1"/>
      </w:pPr>
      <w:r>
        <w:rPr>
          <w:rFonts w:ascii="Calibri" w:hAnsi="Calibri"/>
          <w:b/>
          <w:sz w:val="32"/>
        </w:rPr>
        <w:t>1. Research Question</w:t>
      </w:r>
    </w:p>
    <w:p>
      <w:r>
        <w:rPr>
          <w:rFonts w:ascii="Calibri" w:hAnsi="Calibri"/>
          <w:b/>
          <w:sz w:val="24"/>
        </w:rPr>
        <w:t>Does the benefit of FL drift correction persist even as PEFT compression intensifies?</w:t>
      </w:r>
    </w:p>
    <w:p>
      <w:r>
        <w:rPr>
          <w:rFonts w:ascii="Calibri" w:hAnsi="Calibri"/>
          <w:b w:val="0"/>
          <w:sz w:val="22"/>
        </w:rPr>
        <w:t>All 18 core combinations finalized in Week 3 (3 compression levels × 2 FL algorithms × 3 Dirichlet alphas) were executed on a GPU instance, and the analysis pipeline designed in Weeks 3-4 was applied to the real logs. This report covers both the execution results of the 18 runs and their analysis (execution and analysis are reported together, without a separate Week 4 report).</w:t>
      </w:r>
    </w:p>
    <w:p>
      <w:pPr>
        <w:pStyle w:val="Heading1"/>
      </w:pPr>
      <w:r>
        <w:rPr>
          <w:rFonts w:ascii="Calibri" w:hAnsi="Calibri"/>
          <w:b/>
          <w:sz w:val="32"/>
        </w:rPr>
        <w:t>2. Work Completed in Week 5</w:t>
      </w:r>
    </w:p>
    <w:p>
      <w:pPr>
        <w:pStyle w:val="Heading2"/>
      </w:pPr>
      <w:r>
        <w:rPr>
          <w:rFonts w:ascii="Calibri" w:hAnsi="Calibri"/>
          <w:b/>
          <w:sz w:val="26"/>
        </w:rPr>
        <w:t>2.1 Execution of All 18 Core Combinations on GPU</w:t>
      </w:r>
    </w:p>
    <w:p>
      <w:pPr>
        <w:pStyle w:val="ListBullet"/>
      </w:pPr>
      <w:r>
        <w:rPr>
          <w:rFonts w:ascii="Calibri" w:hAnsi="Calibri"/>
          <w:b w:val="0"/>
          <w:sz w:val="21"/>
        </w:rPr>
        <w:t>Qwen2.5-0.5B-Instruct, 8 clients, full Dolly-15k (10% held-out), local_epochs=1, up to 10 rounds, convergence criterion of &lt;1% improvement for 3 consecutive rounds. All 18 runs terminated normally, for a total of 25.9 GPU-hours.</w:t>
      </w:r>
    </w:p>
    <w:p>
      <w:pPr>
        <w:pStyle w:val="ListBullet"/>
      </w:pPr>
      <w:r>
        <w:rPr>
          <w:rFonts w:ascii="Calibri" w:hAnsi="Calibri"/>
          <w:b w:val="0"/>
          <w:sz w:val="21"/>
        </w:rPr>
        <w:t>16 runs converged early at round 5; qlora_fedavg (alpha=1) ended at round 6 and qlora_fedprox_q8bit (alpha=1) at round 7. No run hit the round ceiling of 10.</w:t>
      </w:r>
    </w:p>
    <w:p>
      <w:pPr>
        <w:pStyle w:val="ListBullet"/>
      </w:pPr>
      <w:r>
        <w:rPr>
          <w:rFonts w:ascii="Calibri" w:hAnsi="Calibri"/>
          <w:b w:val="0"/>
          <w:sz w:val="21"/>
        </w:rPr>
        <w:t>Artifacts: 18 results/logs/*_rounds.jsonl files (7 per-round metrics each), 18 results/logs/*_generations.jsonl files (200 final-round generations each), and per-round checkpoints under results/checkpoints/.</w:t>
      </w:r>
    </w:p>
    <w:p>
      <w:pPr>
        <w:pStyle w:val="Heading2"/>
      </w:pPr>
      <w:r>
        <w:rPr>
          <w:rFonts w:ascii="Calibri" w:hAnsi="Calibri"/>
          <w:b/>
          <w:sz w:val="26"/>
        </w:rPr>
        <w:t>2.2 Running the Analysis Pipeline and Fixing Defects</w:t>
      </w:r>
    </w:p>
    <w:p>
      <w:pPr>
        <w:pStyle w:val="ListBullet"/>
      </w:pPr>
      <w:r>
        <w:rPr>
          <w:rFonts w:ascii="Calibri" w:hAnsi="Calibri"/>
          <w:b w:val="0"/>
          <w:sz w:val="21"/>
        </w:rPr>
        <w:t>run_name mismatch bug: build_run_name() in scripts/analyze_interaction.py held ALPHAS as ints and therefore looked up alpha=10 combinations as "_a10", while scripts/run_experiment.py takes --alpha as a float and saved them as "_a10.0". The six alpha=10 combinations were not found and analysis aborted at 12/18. Fixed by normalizing both build_run_name() implementations with float(alpha).</w:t>
      </w:r>
    </w:p>
    <w:p>
      <w:pPr>
        <w:pStyle w:val="ListBullet"/>
      </w:pPr>
      <w:r>
        <w:rPr>
          <w:rFonts w:ascii="Calibri" w:hAnsi="Calibri"/>
          <w:b w:val="0"/>
          <w:sz w:val="21"/>
        </w:rPr>
        <w:t>X-axis scale of the Pearson correlation: the correlation analysis uses alpha at its raw values [0.1, 1, 10]. Since alpha is a log-scale variable, on a linear axis the alpha=10 point carries more than twice the leverage of the other two. Switching to log10(alpha) flips the sign of 1 of the 8 correlation coefficients (8-bit/FedProx: +0.20 -&gt; -0.23). Detailed in Section 5.</w:t>
      </w:r>
    </w:p>
    <w:p>
      <w:pPr>
        <w:pStyle w:val="ListBullet"/>
      </w:pPr>
      <w:r>
        <w:rPr>
          <w:rFonts w:ascii="Calibri" w:hAnsi="Calibri"/>
          <w:b w:val="0"/>
          <w:sz w:val="21"/>
        </w:rPr>
        <w:t>Deeper analysis using all rounds: the existing analysis functions use only final-round values. This week, additional analysis was performed using per-round trajectories, per-round latency, communication volume, and VRAM, which revealed a result invisible from the final round alone (Section 4.3).</w:t>
      </w:r>
    </w:p>
    <w:p>
      <w:pPr>
        <w:pStyle w:val="Heading1"/>
      </w:pPr>
      <w:r>
        <w:rPr>
          <w:rFonts w:ascii="Calibri" w:hAnsi="Calibri"/>
          <w:b/>
          <w:sz w:val="32"/>
        </w:rPr>
        <w:t>3. Experimental Results</w:t>
      </w:r>
    </w:p>
    <w:p>
      <w:r>
        <w:rPr>
          <w:rFonts w:ascii="Calibri" w:hAnsi="Calibri"/>
          <w:b/>
          <w:sz w:val="21"/>
        </w:rPr>
        <w:t>Table 1. Final val_perplexity for all 18 combinations (lower is better)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19"/>
              </w:rPr>
              <w:t>compression</w:t>
            </w:r>
          </w:p>
        </w:tc>
        <w:tc>
          <w:tcPr>
            <w:tcW w:type="dxa" w:w="1728"/>
          </w:tcPr>
          <w:p>
            <w:r/>
            <w:r>
              <w:rPr>
                <w:rFonts w:ascii="Calibri" w:hAnsi="Calibri"/>
                <w:b/>
                <w:sz w:val="19"/>
              </w:rPr>
              <w:t>FL</w:t>
            </w:r>
          </w:p>
        </w:tc>
        <w:tc>
          <w:tcPr>
            <w:tcW w:type="dxa" w:w="1728"/>
          </w:tcPr>
          <w:p>
            <w:r/>
            <w:r>
              <w:rPr>
                <w:rFonts w:ascii="Calibri" w:hAnsi="Calibri"/>
                <w:b/>
                <w:sz w:val="19"/>
              </w:rPr>
              <w:t>α=0.1</w:t>
            </w:r>
          </w:p>
        </w:tc>
        <w:tc>
          <w:tcPr>
            <w:tcW w:type="dxa" w:w="1728"/>
          </w:tcPr>
          <w:p>
            <w:r/>
            <w:r>
              <w:rPr>
                <w:rFonts w:ascii="Calibri" w:hAnsi="Calibri"/>
                <w:b/>
                <w:sz w:val="19"/>
              </w:rPr>
              <w:t>α=1</w:t>
            </w:r>
          </w:p>
        </w:tc>
        <w:tc>
          <w:tcPr>
            <w:tcW w:type="dxa" w:w="1728"/>
          </w:tcPr>
          <w:p>
            <w:r/>
            <w:r>
              <w:rPr>
                <w:rFonts w:ascii="Calibri" w:hAnsi="Calibri"/>
                <w:b/>
                <w:sz w:val="19"/>
              </w:rPr>
              <w:t>α=10</w:t>
            </w:r>
          </w:p>
        </w:tc>
      </w:tr>
      <w:tr>
        <w:tc>
          <w:tcPr>
            <w:tcW w:type="dxa" w:w="1728"/>
          </w:tcPr>
          <w:p>
            <w:r/>
            <w:r>
              <w:rPr>
                <w:rFonts w:ascii="Calibri" w:hAnsi="Calibri"/>
                <w:b w:val="0"/>
                <w:sz w:val="19"/>
              </w:rPr>
              <w:t>LoRA</w:t>
            </w:r>
          </w:p>
        </w:tc>
        <w:tc>
          <w:tcPr>
            <w:tcW w:type="dxa" w:w="1728"/>
          </w:tcPr>
          <w:p>
            <w:r/>
            <w:r>
              <w:rPr>
                <w:rFonts w:ascii="Calibri" w:hAnsi="Calibri"/>
                <w:b w:val="0"/>
                <w:sz w:val="19"/>
              </w:rPr>
              <w:t>FedAvg</w:t>
            </w:r>
          </w:p>
        </w:tc>
        <w:tc>
          <w:tcPr>
            <w:tcW w:type="dxa" w:w="1728"/>
          </w:tcPr>
          <w:p>
            <w:r/>
            <w:r>
              <w:rPr>
                <w:rFonts w:ascii="Calibri" w:hAnsi="Calibri"/>
                <w:b w:val="0"/>
                <w:sz w:val="19"/>
              </w:rPr>
              <w:t>6.1462</w:t>
            </w:r>
          </w:p>
        </w:tc>
        <w:tc>
          <w:tcPr>
            <w:tcW w:type="dxa" w:w="1728"/>
          </w:tcPr>
          <w:p>
            <w:r/>
            <w:r>
              <w:rPr>
                <w:rFonts w:ascii="Calibri" w:hAnsi="Calibri"/>
                <w:b w:val="0"/>
                <w:sz w:val="19"/>
              </w:rPr>
              <w:t>6.1078</w:t>
            </w:r>
          </w:p>
        </w:tc>
        <w:tc>
          <w:tcPr>
            <w:tcW w:type="dxa" w:w="1728"/>
          </w:tcPr>
          <w:p>
            <w:r/>
            <w:r>
              <w:rPr>
                <w:rFonts w:ascii="Calibri" w:hAnsi="Calibri"/>
                <w:b w:val="0"/>
                <w:sz w:val="19"/>
              </w:rPr>
              <w:t>6.1278</w:t>
            </w:r>
          </w:p>
        </w:tc>
      </w:tr>
      <w:tr>
        <w:tc>
          <w:tcPr>
            <w:tcW w:type="dxa" w:w="1728"/>
          </w:tcPr>
          <w:p>
            <w:r/>
            <w:r>
              <w:rPr>
                <w:rFonts w:ascii="Calibri" w:hAnsi="Calibri"/>
                <w:b w:val="0"/>
                <w:sz w:val="19"/>
              </w:rPr>
              <w:t>LoRA</w:t>
            </w:r>
          </w:p>
        </w:tc>
        <w:tc>
          <w:tcPr>
            <w:tcW w:type="dxa" w:w="1728"/>
          </w:tcPr>
          <w:p>
            <w:r/>
            <w:r>
              <w:rPr>
                <w:rFonts w:ascii="Calibri" w:hAnsi="Calibri"/>
                <w:b w:val="0"/>
                <w:sz w:val="19"/>
              </w:rPr>
              <w:t>FedProx</w:t>
            </w:r>
          </w:p>
        </w:tc>
        <w:tc>
          <w:tcPr>
            <w:tcW w:type="dxa" w:w="1728"/>
          </w:tcPr>
          <w:p>
            <w:r/>
            <w:r>
              <w:rPr>
                <w:rFonts w:ascii="Calibri" w:hAnsi="Calibri"/>
                <w:b w:val="0"/>
                <w:sz w:val="19"/>
              </w:rPr>
              <w:t>6.2497</w:t>
            </w:r>
          </w:p>
        </w:tc>
        <w:tc>
          <w:tcPr>
            <w:tcW w:type="dxa" w:w="1728"/>
          </w:tcPr>
          <w:p>
            <w:r/>
            <w:r>
              <w:rPr>
                <w:rFonts w:ascii="Calibri" w:hAnsi="Calibri"/>
                <w:b w:val="0"/>
                <w:sz w:val="19"/>
              </w:rPr>
              <w:t>6.2141</w:t>
            </w:r>
          </w:p>
        </w:tc>
        <w:tc>
          <w:tcPr>
            <w:tcW w:type="dxa" w:w="1728"/>
          </w:tcPr>
          <w:p>
            <w:r/>
            <w:r>
              <w:rPr>
                <w:rFonts w:ascii="Calibri" w:hAnsi="Calibri"/>
                <w:b w:val="0"/>
                <w:sz w:val="19"/>
              </w:rPr>
              <w:t>6.2170</w:t>
            </w:r>
          </w:p>
        </w:tc>
      </w:tr>
      <w:tr>
        <w:tc>
          <w:tcPr>
            <w:tcW w:type="dxa" w:w="1728"/>
          </w:tcPr>
          <w:p>
            <w:r/>
            <w:r>
              <w:rPr>
                <w:rFonts w:ascii="Calibri" w:hAnsi="Calibri"/>
                <w:b w:val="0"/>
                <w:sz w:val="19"/>
              </w:rPr>
              <w:t>QLoRA 8bit</w:t>
            </w:r>
          </w:p>
        </w:tc>
        <w:tc>
          <w:tcPr>
            <w:tcW w:type="dxa" w:w="1728"/>
          </w:tcPr>
          <w:p>
            <w:r/>
            <w:r>
              <w:rPr>
                <w:rFonts w:ascii="Calibri" w:hAnsi="Calibri"/>
                <w:b w:val="0"/>
                <w:sz w:val="19"/>
              </w:rPr>
              <w:t>FedAvg</w:t>
            </w:r>
          </w:p>
        </w:tc>
        <w:tc>
          <w:tcPr>
            <w:tcW w:type="dxa" w:w="1728"/>
          </w:tcPr>
          <w:p>
            <w:r/>
            <w:r>
              <w:rPr>
                <w:rFonts w:ascii="Calibri" w:hAnsi="Calibri"/>
                <w:b w:val="0"/>
                <w:sz w:val="19"/>
              </w:rPr>
              <w:t>6.1892</w:t>
            </w:r>
          </w:p>
        </w:tc>
        <w:tc>
          <w:tcPr>
            <w:tcW w:type="dxa" w:w="1728"/>
          </w:tcPr>
          <w:p>
            <w:r/>
            <w:r>
              <w:rPr>
                <w:rFonts w:ascii="Calibri" w:hAnsi="Calibri"/>
                <w:b w:val="0"/>
                <w:sz w:val="19"/>
              </w:rPr>
              <w:t>6.1658</w:t>
            </w:r>
          </w:p>
        </w:tc>
        <w:tc>
          <w:tcPr>
            <w:tcW w:type="dxa" w:w="1728"/>
          </w:tcPr>
          <w:p>
            <w:r/>
            <w:r>
              <w:rPr>
                <w:rFonts w:ascii="Calibri" w:hAnsi="Calibri"/>
                <w:b w:val="0"/>
                <w:sz w:val="19"/>
              </w:rPr>
              <w:t>6.1673</w:t>
            </w:r>
          </w:p>
        </w:tc>
      </w:tr>
      <w:tr>
        <w:tc>
          <w:tcPr>
            <w:tcW w:type="dxa" w:w="1728"/>
          </w:tcPr>
          <w:p>
            <w:r/>
            <w:r>
              <w:rPr>
                <w:rFonts w:ascii="Calibri" w:hAnsi="Calibri"/>
                <w:b w:val="0"/>
                <w:sz w:val="19"/>
              </w:rPr>
              <w:t>QLoRA 8bit</w:t>
            </w:r>
          </w:p>
        </w:tc>
        <w:tc>
          <w:tcPr>
            <w:tcW w:type="dxa" w:w="1728"/>
          </w:tcPr>
          <w:p>
            <w:r/>
            <w:r>
              <w:rPr>
                <w:rFonts w:ascii="Calibri" w:hAnsi="Calibri"/>
                <w:b w:val="0"/>
                <w:sz w:val="19"/>
              </w:rPr>
              <w:t>FedProx</w:t>
            </w:r>
          </w:p>
        </w:tc>
        <w:tc>
          <w:tcPr>
            <w:tcW w:type="dxa" w:w="1728"/>
          </w:tcPr>
          <w:p>
            <w:r/>
            <w:r>
              <w:rPr>
                <w:rFonts w:ascii="Calibri" w:hAnsi="Calibri"/>
                <w:b w:val="0"/>
                <w:sz w:val="19"/>
              </w:rPr>
              <w:t>6.2964</w:t>
            </w:r>
          </w:p>
        </w:tc>
        <w:tc>
          <w:tcPr>
            <w:tcW w:type="dxa" w:w="1728"/>
          </w:tcPr>
          <w:p>
            <w:r/>
            <w:r>
              <w:rPr>
                <w:rFonts w:ascii="Calibri" w:hAnsi="Calibri"/>
                <w:b w:val="0"/>
                <w:sz w:val="19"/>
              </w:rPr>
              <w:t>6.1792</w:t>
            </w:r>
          </w:p>
        </w:tc>
        <w:tc>
          <w:tcPr>
            <w:tcW w:type="dxa" w:w="1728"/>
          </w:tcPr>
          <w:p>
            <w:r/>
            <w:r>
              <w:rPr>
                <w:rFonts w:ascii="Calibri" w:hAnsi="Calibri"/>
                <w:b w:val="0"/>
                <w:sz w:val="19"/>
              </w:rPr>
              <w:t>6.2438</w:t>
            </w:r>
          </w:p>
        </w:tc>
      </w:tr>
      <w:tr>
        <w:tc>
          <w:tcPr>
            <w:tcW w:type="dxa" w:w="1728"/>
          </w:tcPr>
          <w:p>
            <w:r/>
            <w:r>
              <w:rPr>
                <w:rFonts w:ascii="Calibri" w:hAnsi="Calibri"/>
                <w:b w:val="0"/>
                <w:sz w:val="19"/>
              </w:rPr>
              <w:t>QLoRA 4bit</w:t>
            </w:r>
          </w:p>
        </w:tc>
        <w:tc>
          <w:tcPr>
            <w:tcW w:type="dxa" w:w="1728"/>
          </w:tcPr>
          <w:p>
            <w:r/>
            <w:r>
              <w:rPr>
                <w:rFonts w:ascii="Calibri" w:hAnsi="Calibri"/>
                <w:b w:val="0"/>
                <w:sz w:val="19"/>
              </w:rPr>
              <w:t>FedAvg</w:t>
            </w:r>
          </w:p>
        </w:tc>
        <w:tc>
          <w:tcPr>
            <w:tcW w:type="dxa" w:w="1728"/>
          </w:tcPr>
          <w:p>
            <w:r/>
            <w:r>
              <w:rPr>
                <w:rFonts w:ascii="Calibri" w:hAnsi="Calibri"/>
                <w:b w:val="0"/>
                <w:sz w:val="19"/>
              </w:rPr>
              <w:t>6.5042</w:t>
            </w:r>
          </w:p>
        </w:tc>
        <w:tc>
          <w:tcPr>
            <w:tcW w:type="dxa" w:w="1728"/>
          </w:tcPr>
          <w:p>
            <w:r/>
            <w:r>
              <w:rPr>
                <w:rFonts w:ascii="Calibri" w:hAnsi="Calibri"/>
                <w:b w:val="0"/>
                <w:sz w:val="19"/>
              </w:rPr>
              <w:t>6.4350</w:t>
            </w:r>
          </w:p>
        </w:tc>
        <w:tc>
          <w:tcPr>
            <w:tcW w:type="dxa" w:w="1728"/>
          </w:tcPr>
          <w:p>
            <w:r/>
            <w:r>
              <w:rPr>
                <w:rFonts w:ascii="Calibri" w:hAnsi="Calibri"/>
                <w:b w:val="0"/>
                <w:sz w:val="19"/>
              </w:rPr>
              <w:t>6.4677</w:t>
            </w:r>
          </w:p>
        </w:tc>
      </w:tr>
      <w:tr>
        <w:tc>
          <w:tcPr>
            <w:tcW w:type="dxa" w:w="1728"/>
          </w:tcPr>
          <w:p>
            <w:r/>
            <w:r>
              <w:rPr>
                <w:rFonts w:ascii="Calibri" w:hAnsi="Calibri"/>
                <w:b w:val="0"/>
                <w:sz w:val="19"/>
              </w:rPr>
              <w:t>QLoRA 4bit</w:t>
            </w:r>
          </w:p>
        </w:tc>
        <w:tc>
          <w:tcPr>
            <w:tcW w:type="dxa" w:w="1728"/>
          </w:tcPr>
          <w:p>
            <w:r/>
            <w:r>
              <w:rPr>
                <w:rFonts w:ascii="Calibri" w:hAnsi="Calibri"/>
                <w:b w:val="0"/>
                <w:sz w:val="19"/>
              </w:rPr>
              <w:t>FedProx</w:t>
            </w:r>
          </w:p>
        </w:tc>
        <w:tc>
          <w:tcPr>
            <w:tcW w:type="dxa" w:w="1728"/>
          </w:tcPr>
          <w:p>
            <w:r/>
            <w:r>
              <w:rPr>
                <w:rFonts w:ascii="Calibri" w:hAnsi="Calibri"/>
                <w:b w:val="0"/>
                <w:sz w:val="19"/>
              </w:rPr>
              <w:t>6.5933</w:t>
            </w:r>
          </w:p>
        </w:tc>
        <w:tc>
          <w:tcPr>
            <w:tcW w:type="dxa" w:w="1728"/>
          </w:tcPr>
          <w:p>
            <w:r/>
            <w:r>
              <w:rPr>
                <w:rFonts w:ascii="Calibri" w:hAnsi="Calibri"/>
                <w:b w:val="0"/>
                <w:sz w:val="19"/>
              </w:rPr>
              <w:t>6.5729</w:t>
            </w:r>
          </w:p>
        </w:tc>
        <w:tc>
          <w:tcPr>
            <w:tcW w:type="dxa" w:w="1728"/>
          </w:tcPr>
          <w:p>
            <w:r/>
            <w:r>
              <w:rPr>
                <w:rFonts w:ascii="Calibri" w:hAnsi="Calibri"/>
                <w:b w:val="0"/>
                <w:sz w:val="19"/>
              </w:rPr>
              <w:t>6.6103</w:t>
            </w:r>
          </w:p>
        </w:tc>
      </w:tr>
    </w:tbl>
    <w:p/>
    <w:p>
      <w:r>
        <w:rPr>
          <w:rFonts w:ascii="Calibri" w:hAnsi="Calibri"/>
          <w:b/>
          <w:sz w:val="21"/>
        </w:rPr>
        <w:t>Table 2. Performance/resource trade-off by compression level (mean over 6 cells)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sz w:val="19"/>
              </w:rPr>
              <w:t>Compression</w:t>
            </w:r>
          </w:p>
        </w:tc>
        <w:tc>
          <w:tcPr>
            <w:tcW w:type="dxa" w:w="1440"/>
          </w:tcPr>
          <w:p>
            <w:r/>
            <w:r>
              <w:rPr>
                <w:rFonts w:ascii="Calibri" w:hAnsi="Calibri"/>
                <w:b/>
                <w:sz w:val="19"/>
              </w:rPr>
              <w:t>VRAM (GB)</w:t>
            </w:r>
          </w:p>
        </w:tc>
        <w:tc>
          <w:tcPr>
            <w:tcW w:type="dxa" w:w="1440"/>
          </w:tcPr>
          <w:p>
            <w:r/>
            <w:r>
              <w:rPr>
                <w:rFonts w:ascii="Calibri" w:hAnsi="Calibri"/>
                <w:b/>
                <w:sz w:val="19"/>
              </w:rPr>
              <w:t>VRAM saved</w:t>
            </w:r>
          </w:p>
        </w:tc>
        <w:tc>
          <w:tcPr>
            <w:tcW w:type="dxa" w:w="1440"/>
          </w:tcPr>
          <w:p>
            <w:r/>
            <w:r>
              <w:rPr>
                <w:rFonts w:ascii="Calibri" w:hAnsi="Calibri"/>
                <w:b/>
                <w:sz w:val="19"/>
              </w:rPr>
              <w:t>PPL cost</w:t>
            </w:r>
          </w:p>
        </w:tc>
        <w:tc>
          <w:tcPr>
            <w:tcW w:type="dxa" w:w="1440"/>
          </w:tcPr>
          <w:p>
            <w:r/>
            <w:r>
              <w:rPr>
                <w:rFonts w:ascii="Calibri" w:hAnsi="Calibri"/>
                <w:b/>
                <w:sz w:val="19"/>
              </w:rPr>
              <w:t>ROUGE-L cost</w:t>
            </w:r>
          </w:p>
        </w:tc>
        <w:tc>
          <w:tcPr>
            <w:tcW w:type="dxa" w:w="1440"/>
          </w:tcPr>
          <w:p>
            <w:r/>
            <w:r>
              <w:rPr>
                <w:rFonts w:ascii="Calibri" w:hAnsi="Calibri"/>
                <w:b/>
                <w:sz w:val="19"/>
              </w:rPr>
              <w:t>Time/round</w:t>
            </w:r>
          </w:p>
        </w:tc>
      </w:tr>
      <w:tr>
        <w:tc>
          <w:tcPr>
            <w:tcW w:type="dxa" w:w="1440"/>
          </w:tcPr>
          <w:p>
            <w:r/>
            <w:r>
              <w:rPr>
                <w:rFonts w:ascii="Calibri" w:hAnsi="Calibri"/>
                <w:b w:val="0"/>
                <w:sz w:val="19"/>
              </w:rPr>
              <w:t>LoRA</w:t>
            </w:r>
          </w:p>
        </w:tc>
        <w:tc>
          <w:tcPr>
            <w:tcW w:type="dxa" w:w="1440"/>
          </w:tcPr>
          <w:p>
            <w:r/>
            <w:r>
              <w:rPr>
                <w:rFonts w:ascii="Calibri" w:hAnsi="Calibri"/>
                <w:b w:val="0"/>
                <w:sz w:val="19"/>
              </w:rPr>
              <w:t>14.44</w:t>
            </w:r>
          </w:p>
        </w:tc>
        <w:tc>
          <w:tcPr>
            <w:tcW w:type="dxa" w:w="1440"/>
          </w:tcPr>
          <w:p>
            <w:r/>
            <w:r>
              <w:rPr>
                <w:rFonts w:ascii="Calibri" w:hAnsi="Calibri"/>
                <w:b w:val="0"/>
                <w:sz w:val="19"/>
              </w:rPr>
              <w:t>baseline</w:t>
            </w:r>
          </w:p>
        </w:tc>
        <w:tc>
          <w:tcPr>
            <w:tcW w:type="dxa" w:w="1440"/>
          </w:tcPr>
          <w:p>
            <w:r/>
            <w:r>
              <w:rPr>
                <w:rFonts w:ascii="Calibri" w:hAnsi="Calibri"/>
                <w:b w:val="0"/>
                <w:sz w:val="19"/>
              </w:rPr>
              <w:t>baseline</w:t>
            </w:r>
          </w:p>
        </w:tc>
        <w:tc>
          <w:tcPr>
            <w:tcW w:type="dxa" w:w="1440"/>
          </w:tcPr>
          <w:p>
            <w:r/>
            <w:r>
              <w:rPr>
                <w:rFonts w:ascii="Calibri" w:hAnsi="Calibri"/>
                <w:b w:val="0"/>
                <w:sz w:val="19"/>
              </w:rPr>
              <w:t>baseline</w:t>
            </w:r>
          </w:p>
        </w:tc>
        <w:tc>
          <w:tcPr>
            <w:tcW w:type="dxa" w:w="1440"/>
          </w:tcPr>
          <w:p>
            <w:r/>
            <w:r>
              <w:rPr>
                <w:rFonts w:ascii="Calibri" w:hAnsi="Calibri"/>
                <w:b w:val="0"/>
                <w:sz w:val="19"/>
              </w:rPr>
              <w:t>11.7 min</w:t>
            </w:r>
          </w:p>
        </w:tc>
      </w:tr>
      <w:tr>
        <w:tc>
          <w:tcPr>
            <w:tcW w:type="dxa" w:w="1440"/>
          </w:tcPr>
          <w:p>
            <w:r/>
            <w:r>
              <w:rPr>
                <w:rFonts w:ascii="Calibri" w:hAnsi="Calibri"/>
                <w:b w:val="0"/>
                <w:sz w:val="19"/>
              </w:rPr>
              <w:t>QLoRA 8-bit</w:t>
            </w:r>
          </w:p>
        </w:tc>
        <w:tc>
          <w:tcPr>
            <w:tcW w:type="dxa" w:w="1440"/>
          </w:tcPr>
          <w:p>
            <w:r/>
            <w:r>
              <w:rPr>
                <w:rFonts w:ascii="Calibri" w:hAnsi="Calibri"/>
                <w:b w:val="0"/>
                <w:sz w:val="19"/>
              </w:rPr>
              <w:t>12.24</w:t>
            </w:r>
          </w:p>
        </w:tc>
        <w:tc>
          <w:tcPr>
            <w:tcW w:type="dxa" w:w="1440"/>
          </w:tcPr>
          <w:p>
            <w:r/>
            <w:r>
              <w:rPr>
                <w:rFonts w:ascii="Calibri" w:hAnsi="Calibri"/>
                <w:b w:val="0"/>
                <w:sz w:val="19"/>
              </w:rPr>
              <w:t>15.2%</w:t>
            </w:r>
          </w:p>
        </w:tc>
        <w:tc>
          <w:tcPr>
            <w:tcW w:type="dxa" w:w="1440"/>
          </w:tcPr>
          <w:p>
            <w:r/>
            <w:r>
              <w:rPr>
                <w:rFonts w:ascii="Calibri" w:hAnsi="Calibri"/>
                <w:b w:val="0"/>
                <w:sz w:val="19"/>
              </w:rPr>
              <w:t>+0.030</w:t>
            </w:r>
          </w:p>
        </w:tc>
        <w:tc>
          <w:tcPr>
            <w:tcW w:type="dxa" w:w="1440"/>
          </w:tcPr>
          <w:p>
            <w:r/>
            <w:r>
              <w:rPr>
                <w:rFonts w:ascii="Calibri" w:hAnsi="Calibri"/>
                <w:b w:val="0"/>
                <w:sz w:val="19"/>
              </w:rPr>
              <w:t>-0.0026</w:t>
            </w:r>
          </w:p>
        </w:tc>
        <w:tc>
          <w:tcPr>
            <w:tcW w:type="dxa" w:w="1440"/>
          </w:tcPr>
          <w:p>
            <w:r/>
            <w:r>
              <w:rPr>
                <w:rFonts w:ascii="Calibri" w:hAnsi="Calibri"/>
                <w:b w:val="0"/>
                <w:sz w:val="19"/>
              </w:rPr>
              <w:t>25.5 min</w:t>
            </w:r>
          </w:p>
        </w:tc>
      </w:tr>
      <w:tr>
        <w:tc>
          <w:tcPr>
            <w:tcW w:type="dxa" w:w="1440"/>
          </w:tcPr>
          <w:p>
            <w:r/>
            <w:r>
              <w:rPr>
                <w:rFonts w:ascii="Calibri" w:hAnsi="Calibri"/>
                <w:b w:val="0"/>
                <w:sz w:val="19"/>
              </w:rPr>
              <w:t>QLoRA 4-bit</w:t>
            </w:r>
          </w:p>
        </w:tc>
        <w:tc>
          <w:tcPr>
            <w:tcW w:type="dxa" w:w="1440"/>
          </w:tcPr>
          <w:p>
            <w:r/>
            <w:r>
              <w:rPr>
                <w:rFonts w:ascii="Calibri" w:hAnsi="Calibri"/>
                <w:b w:val="0"/>
                <w:sz w:val="19"/>
              </w:rPr>
              <w:t>10.07</w:t>
            </w:r>
          </w:p>
        </w:tc>
        <w:tc>
          <w:tcPr>
            <w:tcW w:type="dxa" w:w="1440"/>
          </w:tcPr>
          <w:p>
            <w:r/>
            <w:r>
              <w:rPr>
                <w:rFonts w:ascii="Calibri" w:hAnsi="Calibri"/>
                <w:b w:val="0"/>
                <w:sz w:val="19"/>
              </w:rPr>
              <w:t>30.3%</w:t>
            </w:r>
          </w:p>
        </w:tc>
        <w:tc>
          <w:tcPr>
            <w:tcW w:type="dxa" w:w="1440"/>
          </w:tcPr>
          <w:p>
            <w:r/>
            <w:r>
              <w:rPr>
                <w:rFonts w:ascii="Calibri" w:hAnsi="Calibri"/>
                <w:b w:val="0"/>
                <w:sz w:val="19"/>
              </w:rPr>
              <w:t>+0.354</w:t>
            </w:r>
          </w:p>
        </w:tc>
        <w:tc>
          <w:tcPr>
            <w:tcW w:type="dxa" w:w="1440"/>
          </w:tcPr>
          <w:p>
            <w:r/>
            <w:r>
              <w:rPr>
                <w:rFonts w:ascii="Calibri" w:hAnsi="Calibri"/>
                <w:b w:val="0"/>
                <w:sz w:val="19"/>
              </w:rPr>
              <w:t>-0.0144</w:t>
            </w:r>
          </w:p>
        </w:tc>
        <w:tc>
          <w:tcPr>
            <w:tcW w:type="dxa" w:w="1440"/>
          </w:tcPr>
          <w:p>
            <w:r/>
            <w:r>
              <w:rPr>
                <w:rFonts w:ascii="Calibri" w:hAnsi="Calibri"/>
                <w:b w:val="0"/>
                <w:sz w:val="19"/>
              </w:rPr>
              <w:t>12.4 min</w:t>
            </w:r>
          </w:p>
        </w:tc>
      </w:tr>
    </w:tbl>
    <w:p/>
    <w:p>
      <w:pPr>
        <w:pStyle w:val="Heading2"/>
      </w:pPr>
      <w:r>
        <w:rPr>
          <w:rFonts w:ascii="Calibri" w:hAnsi="Calibri"/>
          <w:b/>
          <w:sz w:val="26"/>
        </w:rPr>
        <w:t>3.1 Compression Penalty and Alpha-Penalty Pearson Correlation</w:t>
      </w:r>
    </w:p>
    <w:p>
      <w:r>
        <w:rPr>
          <w:rFonts w:ascii="Calibri" w:hAnsi="Calibri"/>
          <w:b w:val="0"/>
          <w:sz w:val="22"/>
        </w:rPr>
        <w:t>This is the primary deliverable designed in Week 3. At each (FL, alpha) point the compression penalty is computed (QLoRA minus LoRA for PPL; sign-flipped to LoRA minus QLoRA for ROUGE-L, so that for both metrics a positive value means compression hurt performance), and the Pearson correlation between alpha and the penalty is taken. If the research hypothesis holds -- that stronger non-IID data increases the compression penalty -- the coefficient should be negative. Since alpha is a log-scale variable, both the raw and log10 axes are reported.</w:t>
      </w:r>
    </w:p>
    <w:p>
      <w:r>
        <w:rPr>
          <w:rFonts w:ascii="Calibri" w:hAnsi="Calibri"/>
          <w:b/>
          <w:sz w:val="21"/>
        </w:rPr>
        <w:t>Table 3. Compression penalty and alpha-penalty Pearson correlation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Calibri" w:hAnsi="Calibri"/>
                <w:b/>
                <w:sz w:val="19"/>
              </w:rPr>
              <w:t>Metric</w:t>
            </w:r>
          </w:p>
        </w:tc>
        <w:tc>
          <w:tcPr>
            <w:tcW w:type="dxa" w:w="1080"/>
          </w:tcPr>
          <w:p>
            <w:r/>
            <w:r>
              <w:rPr>
                <w:rFonts w:ascii="Calibri" w:hAnsi="Calibri"/>
                <w:b/>
                <w:sz w:val="19"/>
              </w:rPr>
              <w:t>Compression</w:t>
            </w:r>
          </w:p>
        </w:tc>
        <w:tc>
          <w:tcPr>
            <w:tcW w:type="dxa" w:w="1080"/>
          </w:tcPr>
          <w:p>
            <w:r/>
            <w:r>
              <w:rPr>
                <w:rFonts w:ascii="Calibri" w:hAnsi="Calibri"/>
                <w:b/>
                <w:sz w:val="19"/>
              </w:rPr>
              <w:t>FL</w:t>
            </w:r>
          </w:p>
        </w:tc>
        <w:tc>
          <w:tcPr>
            <w:tcW w:type="dxa" w:w="1080"/>
          </w:tcPr>
          <w:p>
            <w:r/>
            <w:r>
              <w:rPr>
                <w:rFonts w:ascii="Calibri" w:hAnsi="Calibri"/>
                <w:b/>
                <w:sz w:val="19"/>
              </w:rPr>
              <w:t>alpha=0.1</w:t>
            </w:r>
          </w:p>
        </w:tc>
        <w:tc>
          <w:tcPr>
            <w:tcW w:type="dxa" w:w="1080"/>
          </w:tcPr>
          <w:p>
            <w:r/>
            <w:r>
              <w:rPr>
                <w:rFonts w:ascii="Calibri" w:hAnsi="Calibri"/>
                <w:b/>
                <w:sz w:val="19"/>
              </w:rPr>
              <w:t>alpha=1</w:t>
            </w:r>
          </w:p>
        </w:tc>
        <w:tc>
          <w:tcPr>
            <w:tcW w:type="dxa" w:w="1080"/>
          </w:tcPr>
          <w:p>
            <w:r/>
            <w:r>
              <w:rPr>
                <w:rFonts w:ascii="Calibri" w:hAnsi="Calibri"/>
                <w:b/>
                <w:sz w:val="19"/>
              </w:rPr>
              <w:t>alpha=10</w:t>
            </w:r>
          </w:p>
        </w:tc>
        <w:tc>
          <w:tcPr>
            <w:tcW w:type="dxa" w:w="1080"/>
          </w:tcPr>
          <w:p>
            <w:r/>
            <w:r>
              <w:rPr>
                <w:rFonts w:ascii="Calibri" w:hAnsi="Calibri"/>
                <w:b/>
                <w:sz w:val="19"/>
              </w:rPr>
              <w:t>r (raw alpha)</w:t>
            </w:r>
          </w:p>
        </w:tc>
        <w:tc>
          <w:tcPr>
            <w:tcW w:type="dxa" w:w="1080"/>
          </w:tcPr>
          <w:p>
            <w:r/>
            <w:r>
              <w:rPr>
                <w:rFonts w:ascii="Calibri" w:hAnsi="Calibri"/>
                <w:b/>
                <w:sz w:val="19"/>
              </w:rPr>
              <w:t>r (log10 alpha)</w:t>
            </w:r>
          </w:p>
        </w:tc>
      </w:tr>
      <w:tr>
        <w:tc>
          <w:tcPr>
            <w:tcW w:type="dxa" w:w="1080"/>
          </w:tcPr>
          <w:p>
            <w:r/>
            <w:r>
              <w:rPr>
                <w:rFonts w:ascii="Calibri" w:hAnsi="Calibri"/>
                <w:b w:val="0"/>
                <w:sz w:val="19"/>
              </w:rPr>
              <w:t>PPL</w:t>
            </w:r>
          </w:p>
        </w:tc>
        <w:tc>
          <w:tcPr>
            <w:tcW w:type="dxa" w:w="1080"/>
          </w:tcPr>
          <w:p>
            <w:r/>
            <w:r>
              <w:rPr>
                <w:rFonts w:ascii="Calibri" w:hAnsi="Calibri"/>
                <w:b w:val="0"/>
                <w:sz w:val="19"/>
              </w:rPr>
              <w:t>4-bit</w:t>
            </w:r>
          </w:p>
        </w:tc>
        <w:tc>
          <w:tcPr>
            <w:tcW w:type="dxa" w:w="1080"/>
          </w:tcPr>
          <w:p>
            <w:r/>
            <w:r>
              <w:rPr>
                <w:rFonts w:ascii="Calibri" w:hAnsi="Calibri"/>
                <w:b w:val="0"/>
                <w:sz w:val="19"/>
              </w:rPr>
              <w:t>FedAvg</w:t>
            </w:r>
          </w:p>
        </w:tc>
        <w:tc>
          <w:tcPr>
            <w:tcW w:type="dxa" w:w="1080"/>
          </w:tcPr>
          <w:p>
            <w:r/>
            <w:r>
              <w:rPr>
                <w:rFonts w:ascii="Calibri" w:hAnsi="Calibri"/>
                <w:b w:val="0"/>
                <w:sz w:val="19"/>
              </w:rPr>
              <w:t>0.3580</w:t>
            </w:r>
          </w:p>
        </w:tc>
        <w:tc>
          <w:tcPr>
            <w:tcW w:type="dxa" w:w="1080"/>
          </w:tcPr>
          <w:p>
            <w:r/>
            <w:r>
              <w:rPr>
                <w:rFonts w:ascii="Calibri" w:hAnsi="Calibri"/>
                <w:b w:val="0"/>
                <w:sz w:val="19"/>
              </w:rPr>
              <w:t>0.3272</w:t>
            </w:r>
          </w:p>
        </w:tc>
        <w:tc>
          <w:tcPr>
            <w:tcW w:type="dxa" w:w="1080"/>
          </w:tcPr>
          <w:p>
            <w:r/>
            <w:r>
              <w:rPr>
                <w:rFonts w:ascii="Calibri" w:hAnsi="Calibri"/>
                <w:b w:val="0"/>
                <w:sz w:val="19"/>
              </w:rPr>
              <w:t>0.3399</w:t>
            </w:r>
          </w:p>
        </w:tc>
        <w:tc>
          <w:tcPr>
            <w:tcW w:type="dxa" w:w="1080"/>
          </w:tcPr>
          <w:p>
            <w:r/>
            <w:r>
              <w:rPr>
                <w:rFonts w:ascii="Calibri" w:hAnsi="Calibri"/>
                <w:b w:val="0"/>
                <w:sz w:val="19"/>
              </w:rPr>
              <w:t>-0.182</w:t>
            </w:r>
          </w:p>
        </w:tc>
        <w:tc>
          <w:tcPr>
            <w:tcW w:type="dxa" w:w="1080"/>
          </w:tcPr>
          <w:p>
            <w:r/>
            <w:r>
              <w:rPr>
                <w:rFonts w:ascii="Calibri" w:hAnsi="Calibri"/>
                <w:b w:val="0"/>
                <w:sz w:val="19"/>
              </w:rPr>
              <w:t>-0.585</w:t>
            </w:r>
          </w:p>
        </w:tc>
      </w:tr>
      <w:tr>
        <w:tc>
          <w:tcPr>
            <w:tcW w:type="dxa" w:w="1080"/>
          </w:tcPr>
          <w:p>
            <w:r/>
            <w:r>
              <w:rPr>
                <w:rFonts w:ascii="Calibri" w:hAnsi="Calibri"/>
                <w:b w:val="0"/>
                <w:sz w:val="19"/>
              </w:rPr>
              <w:t>PPL</w:t>
            </w:r>
          </w:p>
        </w:tc>
        <w:tc>
          <w:tcPr>
            <w:tcW w:type="dxa" w:w="1080"/>
          </w:tcPr>
          <w:p>
            <w:r/>
            <w:r>
              <w:rPr>
                <w:rFonts w:ascii="Calibri" w:hAnsi="Calibri"/>
                <w:b w:val="0"/>
                <w:sz w:val="19"/>
              </w:rPr>
              <w:t>4-bit</w:t>
            </w:r>
          </w:p>
        </w:tc>
        <w:tc>
          <w:tcPr>
            <w:tcW w:type="dxa" w:w="1080"/>
          </w:tcPr>
          <w:p>
            <w:r/>
            <w:r>
              <w:rPr>
                <w:rFonts w:ascii="Calibri" w:hAnsi="Calibri"/>
                <w:b w:val="0"/>
                <w:sz w:val="19"/>
              </w:rPr>
              <w:t>FedProx</w:t>
            </w:r>
          </w:p>
        </w:tc>
        <w:tc>
          <w:tcPr>
            <w:tcW w:type="dxa" w:w="1080"/>
          </w:tcPr>
          <w:p>
            <w:r/>
            <w:r>
              <w:rPr>
                <w:rFonts w:ascii="Calibri" w:hAnsi="Calibri"/>
                <w:b w:val="0"/>
                <w:sz w:val="19"/>
              </w:rPr>
              <w:t>0.3436</w:t>
            </w:r>
          </w:p>
        </w:tc>
        <w:tc>
          <w:tcPr>
            <w:tcW w:type="dxa" w:w="1080"/>
          </w:tcPr>
          <w:p>
            <w:r/>
            <w:r>
              <w:rPr>
                <w:rFonts w:ascii="Calibri" w:hAnsi="Calibri"/>
                <w:b w:val="0"/>
                <w:sz w:val="19"/>
              </w:rPr>
              <w:t>0.3588</w:t>
            </w:r>
          </w:p>
        </w:tc>
        <w:tc>
          <w:tcPr>
            <w:tcW w:type="dxa" w:w="1080"/>
          </w:tcPr>
          <w:p>
            <w:r/>
            <w:r>
              <w:rPr>
                <w:rFonts w:ascii="Calibri" w:hAnsi="Calibri"/>
                <w:b w:val="0"/>
                <w:sz w:val="19"/>
              </w:rPr>
              <w:t>0.3933</w:t>
            </w:r>
          </w:p>
        </w:tc>
        <w:tc>
          <w:tcPr>
            <w:tcW w:type="dxa" w:w="1080"/>
          </w:tcPr>
          <w:p>
            <w:r/>
            <w:r>
              <w:rPr>
                <w:rFonts w:ascii="Calibri" w:hAnsi="Calibri"/>
                <w:b w:val="0"/>
                <w:sz w:val="19"/>
              </w:rPr>
              <w:t>+0.976</w:t>
            </w:r>
          </w:p>
        </w:tc>
        <w:tc>
          <w:tcPr>
            <w:tcW w:type="dxa" w:w="1080"/>
          </w:tcPr>
          <w:p>
            <w:r/>
            <w:r>
              <w:rPr>
                <w:rFonts w:ascii="Calibri" w:hAnsi="Calibri"/>
                <w:b w:val="0"/>
                <w:sz w:val="19"/>
              </w:rPr>
              <w:t>+0.976</w:t>
            </w:r>
          </w:p>
        </w:tc>
      </w:tr>
      <w:tr>
        <w:tc>
          <w:tcPr>
            <w:tcW w:type="dxa" w:w="1080"/>
          </w:tcPr>
          <w:p>
            <w:r/>
            <w:r>
              <w:rPr>
                <w:rFonts w:ascii="Calibri" w:hAnsi="Calibri"/>
                <w:b w:val="0"/>
                <w:sz w:val="19"/>
              </w:rPr>
              <w:t>PPL</w:t>
            </w:r>
          </w:p>
        </w:tc>
        <w:tc>
          <w:tcPr>
            <w:tcW w:type="dxa" w:w="1080"/>
          </w:tcPr>
          <w:p>
            <w:r/>
            <w:r>
              <w:rPr>
                <w:rFonts w:ascii="Calibri" w:hAnsi="Calibri"/>
                <w:b w:val="0"/>
                <w:sz w:val="19"/>
              </w:rPr>
              <w:t>8-bit</w:t>
            </w:r>
          </w:p>
        </w:tc>
        <w:tc>
          <w:tcPr>
            <w:tcW w:type="dxa" w:w="1080"/>
          </w:tcPr>
          <w:p>
            <w:r/>
            <w:r>
              <w:rPr>
                <w:rFonts w:ascii="Calibri" w:hAnsi="Calibri"/>
                <w:b w:val="0"/>
                <w:sz w:val="19"/>
              </w:rPr>
              <w:t>FedAvg</w:t>
            </w:r>
          </w:p>
        </w:tc>
        <w:tc>
          <w:tcPr>
            <w:tcW w:type="dxa" w:w="1080"/>
          </w:tcPr>
          <w:p>
            <w:r/>
            <w:r>
              <w:rPr>
                <w:rFonts w:ascii="Calibri" w:hAnsi="Calibri"/>
                <w:b w:val="0"/>
                <w:sz w:val="19"/>
              </w:rPr>
              <w:t>0.0430</w:t>
            </w:r>
          </w:p>
        </w:tc>
        <w:tc>
          <w:tcPr>
            <w:tcW w:type="dxa" w:w="1080"/>
          </w:tcPr>
          <w:p>
            <w:r/>
            <w:r>
              <w:rPr>
                <w:rFonts w:ascii="Calibri" w:hAnsi="Calibri"/>
                <w:b w:val="0"/>
                <w:sz w:val="19"/>
              </w:rPr>
              <w:t>0.0579</w:t>
            </w:r>
          </w:p>
        </w:tc>
        <w:tc>
          <w:tcPr>
            <w:tcW w:type="dxa" w:w="1080"/>
          </w:tcPr>
          <w:p>
            <w:r/>
            <w:r>
              <w:rPr>
                <w:rFonts w:ascii="Calibri" w:hAnsi="Calibri"/>
                <w:b w:val="0"/>
                <w:sz w:val="19"/>
              </w:rPr>
              <w:t>0.0394</w:t>
            </w:r>
          </w:p>
        </w:tc>
        <w:tc>
          <w:tcPr>
            <w:tcW w:type="dxa" w:w="1080"/>
          </w:tcPr>
          <w:p>
            <w:r/>
            <w:r>
              <w:rPr>
                <w:rFonts w:ascii="Calibri" w:hAnsi="Calibri"/>
                <w:b w:val="0"/>
                <w:sz w:val="19"/>
              </w:rPr>
              <w:t>-0.586</w:t>
            </w:r>
          </w:p>
        </w:tc>
        <w:tc>
          <w:tcPr>
            <w:tcW w:type="dxa" w:w="1080"/>
          </w:tcPr>
          <w:p>
            <w:r/>
            <w:r>
              <w:rPr>
                <w:rFonts w:ascii="Calibri" w:hAnsi="Calibri"/>
                <w:b w:val="0"/>
                <w:sz w:val="19"/>
              </w:rPr>
              <w:t>-0.184</w:t>
            </w:r>
          </w:p>
        </w:tc>
      </w:tr>
      <w:tr>
        <w:tc>
          <w:tcPr>
            <w:tcW w:type="dxa" w:w="1080"/>
          </w:tcPr>
          <w:p>
            <w:r/>
            <w:r>
              <w:rPr>
                <w:rFonts w:ascii="Calibri" w:hAnsi="Calibri"/>
                <w:b w:val="0"/>
                <w:sz w:val="19"/>
              </w:rPr>
              <w:t>PPL</w:t>
            </w:r>
          </w:p>
        </w:tc>
        <w:tc>
          <w:tcPr>
            <w:tcW w:type="dxa" w:w="1080"/>
          </w:tcPr>
          <w:p>
            <w:r/>
            <w:r>
              <w:rPr>
                <w:rFonts w:ascii="Calibri" w:hAnsi="Calibri"/>
                <w:b w:val="0"/>
                <w:sz w:val="19"/>
              </w:rPr>
              <w:t>8-bit</w:t>
            </w:r>
          </w:p>
        </w:tc>
        <w:tc>
          <w:tcPr>
            <w:tcW w:type="dxa" w:w="1080"/>
          </w:tcPr>
          <w:p>
            <w:r/>
            <w:r>
              <w:rPr>
                <w:rFonts w:ascii="Calibri" w:hAnsi="Calibri"/>
                <w:b w:val="0"/>
                <w:sz w:val="19"/>
              </w:rPr>
              <w:t>FedProx</w:t>
            </w:r>
          </w:p>
        </w:tc>
        <w:tc>
          <w:tcPr>
            <w:tcW w:type="dxa" w:w="1080"/>
          </w:tcPr>
          <w:p>
            <w:r/>
            <w:r>
              <w:rPr>
                <w:rFonts w:ascii="Calibri" w:hAnsi="Calibri"/>
                <w:b w:val="0"/>
                <w:sz w:val="19"/>
              </w:rPr>
              <w:t>0.0467</w:t>
            </w:r>
          </w:p>
        </w:tc>
        <w:tc>
          <w:tcPr>
            <w:tcW w:type="dxa" w:w="1080"/>
          </w:tcPr>
          <w:p>
            <w:r/>
            <w:r>
              <w:rPr>
                <w:rFonts w:ascii="Calibri" w:hAnsi="Calibri"/>
                <w:b w:val="0"/>
                <w:sz w:val="19"/>
              </w:rPr>
              <w:t>-0.0349</w:t>
            </w:r>
          </w:p>
        </w:tc>
        <w:tc>
          <w:tcPr>
            <w:tcW w:type="dxa" w:w="1080"/>
          </w:tcPr>
          <w:p>
            <w:r/>
            <w:r>
              <w:rPr>
                <w:rFonts w:ascii="Calibri" w:hAnsi="Calibri"/>
                <w:b w:val="0"/>
                <w:sz w:val="19"/>
              </w:rPr>
              <w:t>0.0268</w:t>
            </w:r>
          </w:p>
        </w:tc>
        <w:tc>
          <w:tcPr>
            <w:tcW w:type="dxa" w:w="1080"/>
          </w:tcPr>
          <w:p>
            <w:r/>
            <w:r>
              <w:rPr>
                <w:rFonts w:ascii="Calibri" w:hAnsi="Calibri"/>
                <w:b w:val="0"/>
                <w:sz w:val="19"/>
              </w:rPr>
              <w:t>+0.204</w:t>
            </w:r>
          </w:p>
        </w:tc>
        <w:tc>
          <w:tcPr>
            <w:tcW w:type="dxa" w:w="1080"/>
          </w:tcPr>
          <w:p>
            <w:r/>
            <w:r>
              <w:rPr>
                <w:rFonts w:ascii="Calibri" w:hAnsi="Calibri"/>
                <w:b w:val="0"/>
                <w:sz w:val="19"/>
              </w:rPr>
              <w:t>-0.234</w:t>
            </w:r>
          </w:p>
        </w:tc>
      </w:tr>
      <w:tr>
        <w:tc>
          <w:tcPr>
            <w:tcW w:type="dxa" w:w="1080"/>
          </w:tcPr>
          <w:p>
            <w:r/>
            <w:r>
              <w:rPr>
                <w:rFonts w:ascii="Calibri" w:hAnsi="Calibri"/>
                <w:b w:val="0"/>
                <w:sz w:val="19"/>
              </w:rPr>
              <w:t>ROUGE-L</w:t>
            </w:r>
          </w:p>
        </w:tc>
        <w:tc>
          <w:tcPr>
            <w:tcW w:type="dxa" w:w="1080"/>
          </w:tcPr>
          <w:p>
            <w:r/>
            <w:r>
              <w:rPr>
                <w:rFonts w:ascii="Calibri" w:hAnsi="Calibri"/>
                <w:b w:val="0"/>
                <w:sz w:val="19"/>
              </w:rPr>
              <w:t>4-bit</w:t>
            </w:r>
          </w:p>
        </w:tc>
        <w:tc>
          <w:tcPr>
            <w:tcW w:type="dxa" w:w="1080"/>
          </w:tcPr>
          <w:p>
            <w:r/>
            <w:r>
              <w:rPr>
                <w:rFonts w:ascii="Calibri" w:hAnsi="Calibri"/>
                <w:b w:val="0"/>
                <w:sz w:val="19"/>
              </w:rPr>
              <w:t>FedAvg</w:t>
            </w:r>
          </w:p>
        </w:tc>
        <w:tc>
          <w:tcPr>
            <w:tcW w:type="dxa" w:w="1080"/>
          </w:tcPr>
          <w:p>
            <w:r/>
            <w:r>
              <w:rPr>
                <w:rFonts w:ascii="Calibri" w:hAnsi="Calibri"/>
                <w:b w:val="0"/>
                <w:sz w:val="19"/>
              </w:rPr>
              <w:t>0.0152</w:t>
            </w:r>
          </w:p>
        </w:tc>
        <w:tc>
          <w:tcPr>
            <w:tcW w:type="dxa" w:w="1080"/>
          </w:tcPr>
          <w:p>
            <w:r/>
            <w:r>
              <w:rPr>
                <w:rFonts w:ascii="Calibri" w:hAnsi="Calibri"/>
                <w:b w:val="0"/>
                <w:sz w:val="19"/>
              </w:rPr>
              <w:t>0.0125</w:t>
            </w:r>
          </w:p>
        </w:tc>
        <w:tc>
          <w:tcPr>
            <w:tcW w:type="dxa" w:w="1080"/>
          </w:tcPr>
          <w:p>
            <w:r/>
            <w:r>
              <w:rPr>
                <w:rFonts w:ascii="Calibri" w:hAnsi="Calibri"/>
                <w:b w:val="0"/>
                <w:sz w:val="19"/>
              </w:rPr>
              <w:t>0.0320</w:t>
            </w:r>
          </w:p>
        </w:tc>
        <w:tc>
          <w:tcPr>
            <w:tcW w:type="dxa" w:w="1080"/>
          </w:tcPr>
          <w:p>
            <w:r/>
            <w:r>
              <w:rPr>
                <w:rFonts w:ascii="Calibri" w:hAnsi="Calibri"/>
                <w:b w:val="0"/>
                <w:sz w:val="19"/>
              </w:rPr>
              <w:t>+0.978</w:t>
            </w:r>
          </w:p>
        </w:tc>
        <w:tc>
          <w:tcPr>
            <w:tcW w:type="dxa" w:w="1080"/>
          </w:tcPr>
          <w:p>
            <w:r/>
            <w:r>
              <w:rPr>
                <w:rFonts w:ascii="Calibri" w:hAnsi="Calibri"/>
                <w:b w:val="0"/>
                <w:sz w:val="19"/>
              </w:rPr>
              <w:t>+0.795</w:t>
            </w:r>
          </w:p>
        </w:tc>
      </w:tr>
      <w:tr>
        <w:tc>
          <w:tcPr>
            <w:tcW w:type="dxa" w:w="1080"/>
          </w:tcPr>
          <w:p>
            <w:r/>
            <w:r>
              <w:rPr>
                <w:rFonts w:ascii="Calibri" w:hAnsi="Calibri"/>
                <w:b w:val="0"/>
                <w:sz w:val="19"/>
              </w:rPr>
              <w:t>ROUGE-L</w:t>
            </w:r>
          </w:p>
        </w:tc>
        <w:tc>
          <w:tcPr>
            <w:tcW w:type="dxa" w:w="1080"/>
          </w:tcPr>
          <w:p>
            <w:r/>
            <w:r>
              <w:rPr>
                <w:rFonts w:ascii="Calibri" w:hAnsi="Calibri"/>
                <w:b w:val="0"/>
                <w:sz w:val="19"/>
              </w:rPr>
              <w:t>4-bit</w:t>
            </w:r>
          </w:p>
        </w:tc>
        <w:tc>
          <w:tcPr>
            <w:tcW w:type="dxa" w:w="1080"/>
          </w:tcPr>
          <w:p>
            <w:r/>
            <w:r>
              <w:rPr>
                <w:rFonts w:ascii="Calibri" w:hAnsi="Calibri"/>
                <w:b w:val="0"/>
                <w:sz w:val="19"/>
              </w:rPr>
              <w:t>FedProx</w:t>
            </w:r>
          </w:p>
        </w:tc>
        <w:tc>
          <w:tcPr>
            <w:tcW w:type="dxa" w:w="1080"/>
          </w:tcPr>
          <w:p>
            <w:r/>
            <w:r>
              <w:rPr>
                <w:rFonts w:ascii="Calibri" w:hAnsi="Calibri"/>
                <w:b w:val="0"/>
                <w:sz w:val="19"/>
              </w:rPr>
              <w:t>0.0000</w:t>
            </w:r>
          </w:p>
        </w:tc>
        <w:tc>
          <w:tcPr>
            <w:tcW w:type="dxa" w:w="1080"/>
          </w:tcPr>
          <w:p>
            <w:r/>
            <w:r>
              <w:rPr>
                <w:rFonts w:ascii="Calibri" w:hAnsi="Calibri"/>
                <w:b w:val="0"/>
                <w:sz w:val="19"/>
              </w:rPr>
              <w:t>0.0088</w:t>
            </w:r>
          </w:p>
        </w:tc>
        <w:tc>
          <w:tcPr>
            <w:tcW w:type="dxa" w:w="1080"/>
          </w:tcPr>
          <w:p>
            <w:r/>
            <w:r>
              <w:rPr>
                <w:rFonts w:ascii="Calibri" w:hAnsi="Calibri"/>
                <w:b w:val="0"/>
                <w:sz w:val="19"/>
              </w:rPr>
              <w:t>0.0179</w:t>
            </w:r>
          </w:p>
        </w:tc>
        <w:tc>
          <w:tcPr>
            <w:tcW w:type="dxa" w:w="1080"/>
          </w:tcPr>
          <w:p>
            <w:r/>
            <w:r>
              <w:rPr>
                <w:rFonts w:ascii="Calibri" w:hAnsi="Calibri"/>
                <w:b w:val="0"/>
                <w:sz w:val="19"/>
              </w:rPr>
              <w:t>+0.908</w:t>
            </w:r>
          </w:p>
        </w:tc>
        <w:tc>
          <w:tcPr>
            <w:tcW w:type="dxa" w:w="1080"/>
          </w:tcPr>
          <w:p>
            <w:r/>
            <w:r>
              <w:rPr>
                <w:rFonts w:ascii="Calibri" w:hAnsi="Calibri"/>
                <w:b w:val="0"/>
                <w:sz w:val="19"/>
              </w:rPr>
              <w:t>+1.000</w:t>
            </w:r>
          </w:p>
        </w:tc>
      </w:tr>
      <w:tr>
        <w:tc>
          <w:tcPr>
            <w:tcW w:type="dxa" w:w="1080"/>
          </w:tcPr>
          <w:p>
            <w:r/>
            <w:r>
              <w:rPr>
                <w:rFonts w:ascii="Calibri" w:hAnsi="Calibri"/>
                <w:b w:val="0"/>
                <w:sz w:val="19"/>
              </w:rPr>
              <w:t>ROUGE-L</w:t>
            </w:r>
          </w:p>
        </w:tc>
        <w:tc>
          <w:tcPr>
            <w:tcW w:type="dxa" w:w="1080"/>
          </w:tcPr>
          <w:p>
            <w:r/>
            <w:r>
              <w:rPr>
                <w:rFonts w:ascii="Calibri" w:hAnsi="Calibri"/>
                <w:b w:val="0"/>
                <w:sz w:val="19"/>
              </w:rPr>
              <w:t>8-bit</w:t>
            </w:r>
          </w:p>
        </w:tc>
        <w:tc>
          <w:tcPr>
            <w:tcW w:type="dxa" w:w="1080"/>
          </w:tcPr>
          <w:p>
            <w:r/>
            <w:r>
              <w:rPr>
                <w:rFonts w:ascii="Calibri" w:hAnsi="Calibri"/>
                <w:b w:val="0"/>
                <w:sz w:val="19"/>
              </w:rPr>
              <w:t>FedAvg</w:t>
            </w:r>
          </w:p>
        </w:tc>
        <w:tc>
          <w:tcPr>
            <w:tcW w:type="dxa" w:w="1080"/>
          </w:tcPr>
          <w:p>
            <w:r/>
            <w:r>
              <w:rPr>
                <w:rFonts w:ascii="Calibri" w:hAnsi="Calibri"/>
                <w:b w:val="0"/>
                <w:sz w:val="19"/>
              </w:rPr>
              <w:t>-0.0027</w:t>
            </w:r>
          </w:p>
        </w:tc>
        <w:tc>
          <w:tcPr>
            <w:tcW w:type="dxa" w:w="1080"/>
          </w:tcPr>
          <w:p>
            <w:r/>
            <w:r>
              <w:rPr>
                <w:rFonts w:ascii="Calibri" w:hAnsi="Calibri"/>
                <w:b w:val="0"/>
                <w:sz w:val="19"/>
              </w:rPr>
              <w:t>-0.0060</w:t>
            </w:r>
          </w:p>
        </w:tc>
        <w:tc>
          <w:tcPr>
            <w:tcW w:type="dxa" w:w="1080"/>
          </w:tcPr>
          <w:p>
            <w:r/>
            <w:r>
              <w:rPr>
                <w:rFonts w:ascii="Calibri" w:hAnsi="Calibri"/>
                <w:b w:val="0"/>
                <w:sz w:val="19"/>
              </w:rPr>
              <w:t>0.0075</w:t>
            </w:r>
          </w:p>
        </w:tc>
        <w:tc>
          <w:tcPr>
            <w:tcW w:type="dxa" w:w="1080"/>
          </w:tcPr>
          <w:p>
            <w:r/>
            <w:r>
              <w:rPr>
                <w:rFonts w:ascii="Calibri" w:hAnsi="Calibri"/>
                <w:b w:val="0"/>
                <w:sz w:val="19"/>
              </w:rPr>
              <w:t>+0.950</w:t>
            </w:r>
          </w:p>
        </w:tc>
        <w:tc>
          <w:tcPr>
            <w:tcW w:type="dxa" w:w="1080"/>
          </w:tcPr>
          <w:p>
            <w:r/>
            <w:r>
              <w:rPr>
                <w:rFonts w:ascii="Calibri" w:hAnsi="Calibri"/>
                <w:b w:val="0"/>
                <w:sz w:val="19"/>
              </w:rPr>
              <w:t>+0.725</w:t>
            </w:r>
          </w:p>
        </w:tc>
      </w:tr>
      <w:tr>
        <w:tc>
          <w:tcPr>
            <w:tcW w:type="dxa" w:w="1080"/>
          </w:tcPr>
          <w:p>
            <w:r/>
            <w:r>
              <w:rPr>
                <w:rFonts w:ascii="Calibri" w:hAnsi="Calibri"/>
                <w:b w:val="0"/>
                <w:sz w:val="19"/>
              </w:rPr>
              <w:t>ROUGE-L</w:t>
            </w:r>
          </w:p>
        </w:tc>
        <w:tc>
          <w:tcPr>
            <w:tcW w:type="dxa" w:w="1080"/>
          </w:tcPr>
          <w:p>
            <w:r/>
            <w:r>
              <w:rPr>
                <w:rFonts w:ascii="Calibri" w:hAnsi="Calibri"/>
                <w:b w:val="0"/>
                <w:sz w:val="19"/>
              </w:rPr>
              <w:t>8-bit</w:t>
            </w:r>
          </w:p>
        </w:tc>
        <w:tc>
          <w:tcPr>
            <w:tcW w:type="dxa" w:w="1080"/>
          </w:tcPr>
          <w:p>
            <w:r/>
            <w:r>
              <w:rPr>
                <w:rFonts w:ascii="Calibri" w:hAnsi="Calibri"/>
                <w:b w:val="0"/>
                <w:sz w:val="19"/>
              </w:rPr>
              <w:t>FedProx</w:t>
            </w:r>
          </w:p>
        </w:tc>
        <w:tc>
          <w:tcPr>
            <w:tcW w:type="dxa" w:w="1080"/>
          </w:tcPr>
          <w:p>
            <w:r/>
            <w:r>
              <w:rPr>
                <w:rFonts w:ascii="Calibri" w:hAnsi="Calibri"/>
                <w:b w:val="0"/>
                <w:sz w:val="19"/>
              </w:rPr>
              <w:t>0.0050</w:t>
            </w:r>
          </w:p>
        </w:tc>
        <w:tc>
          <w:tcPr>
            <w:tcW w:type="dxa" w:w="1080"/>
          </w:tcPr>
          <w:p>
            <w:r/>
            <w:r>
              <w:rPr>
                <w:rFonts w:ascii="Calibri" w:hAnsi="Calibri"/>
                <w:b w:val="0"/>
                <w:sz w:val="19"/>
              </w:rPr>
              <w:t>-0.0092</w:t>
            </w:r>
          </w:p>
        </w:tc>
        <w:tc>
          <w:tcPr>
            <w:tcW w:type="dxa" w:w="1080"/>
          </w:tcPr>
          <w:p>
            <w:r/>
            <w:r>
              <w:rPr>
                <w:rFonts w:ascii="Calibri" w:hAnsi="Calibri"/>
                <w:b w:val="0"/>
                <w:sz w:val="19"/>
              </w:rPr>
              <w:t>0.0212</w:t>
            </w:r>
          </w:p>
        </w:tc>
        <w:tc>
          <w:tcPr>
            <w:tcW w:type="dxa" w:w="1080"/>
          </w:tcPr>
          <w:p>
            <w:r/>
            <w:r>
              <w:rPr>
                <w:rFonts w:ascii="Calibri" w:hAnsi="Calibri"/>
                <w:b w:val="0"/>
                <w:sz w:val="19"/>
              </w:rPr>
              <w:t>+0.843</w:t>
            </w:r>
          </w:p>
        </w:tc>
        <w:tc>
          <w:tcPr>
            <w:tcW w:type="dxa" w:w="1080"/>
          </w:tcPr>
          <w:p>
            <w:r/>
            <w:r>
              <w:rPr>
                <w:rFonts w:ascii="Calibri" w:hAnsi="Calibri"/>
                <w:b w:val="0"/>
                <w:sz w:val="19"/>
              </w:rPr>
              <w:t>+0.533</w:t>
            </w:r>
          </w:p>
        </w:tc>
      </w:tr>
    </w:tbl>
    <w:p/>
    <w:p>
      <w:r>
        <w:rPr>
          <w:rFonts w:ascii="Calibri" w:hAnsi="Calibri"/>
          <w:b w:val="0"/>
          <w:sz w:val="22"/>
        </w:rPr>
        <w:t>Interpretation: only 2 of the 8 coefficients are negative as the hypothesis predicts (both PPL/FedAvg), and at the same compression level the sign flips when only the FL algorithm changes (4-bit/PPL: FedAvg -0.182 vs FedProx +0.976). On ROUGE-L all 4 exceed +0.84, the opposite of the hypothesis, because in all 4 cases the penalty was largest at alpha=10 and that point dominates on the raw axis (switching to the log10 axis scatters them across +0.533 to +1.000). The correlation on convergence speed (rounds_run) is not interpretable: 16 of the 18 runs ended at round 5, leaving penalties of [0, 1, 0] for FedAvg and [0, 0, 0] for FedProx, i.e. essentially no variance. All coefficients in this table are computed from 3 points; Section 5 explains why they cannot be trusted.</w:t>
      </w:r>
    </w:p>
    <w:p>
      <w:pPr>
        <w:pStyle w:val="Heading1"/>
      </w:pPr>
      <w:r>
        <w:rPr>
          <w:rFonts w:ascii="Calibri" w:hAnsi="Calibri"/>
          <w:b/>
          <w:sz w:val="32"/>
        </w:rPr>
        <w:t>4. Key Findings</w:t>
      </w:r>
    </w:p>
    <w:p>
      <w:pPr>
        <w:pStyle w:val="Heading2"/>
      </w:pPr>
      <w:r>
        <w:rPr>
          <w:rFonts w:ascii="Calibri" w:hAnsi="Calibri"/>
          <w:b/>
          <w:sz w:val="26"/>
        </w:rPr>
        <w:t>4.1 The Main Effect of Compression Is Clear and Monotonic</w:t>
      </w:r>
    </w:p>
    <w:p>
      <w:r>
        <w:rPr>
          <w:rFonts w:ascii="Calibri" w:hAnsi="Calibri"/>
          <w:b w:val="0"/>
          <w:sz w:val="22"/>
        </w:rPr>
        <w:t>PPL degrades monotonically from LoRA to 8-bit to 4-bit: 6.11 -&gt; 6.17 -&gt; 6.44. The compression penalty (QLoRA minus LoRA, averaged over 6 cells) is +0.030 for 8-bit and +0.354 for 4-bit -- roughly a 12-fold difference -- making 8-bit effectively lossless. ROUGE-L reproduces the same direction: in a paired comparison over the identical 200 evaluation examples, 8-bit scores -0.0026 (t=-0.78, not significant) and 4-bit -0.0144 (t=-3.56, n=1200), so only 4-bit is significant. Two independent metrics support the same conclusion.</w:t>
      </w:r>
    </w:p>
    <w:p>
      <w:pPr>
        <w:pStyle w:val="Heading2"/>
      </w:pPr>
      <w:r>
        <w:rPr>
          <w:rFonts w:ascii="Calibri" w:hAnsi="Calibri"/>
          <w:b/>
          <w:sz w:val="26"/>
        </w:rPr>
        <w:t>4.2 8-bit Quantization Is 2.2x Slower per Round (An Unexpected Result)</w:t>
      </w:r>
    </w:p>
    <w:p>
      <w:r>
        <w:rPr>
          <w:rFonts w:ascii="Calibri" w:hAnsi="Calibri"/>
          <w:b w:val="0"/>
          <w:sz w:val="22"/>
        </w:rPr>
        <w:t>Aggregating round_latency_sec shows that QLoRA 8-bit takes 25.5 minutes per round, more than twice LoRA (11.7 min) and QLoRA 4-bit (12.4 min). The likely cause is that bitsandbytes' INT8 matmul path is slower than its NF4 path. As a result, 8-bit saves only 15% memory while costing 2.2x the time, whereas 4-bit saves 30% memory at essentially LoRA's speed. Judged on accuracy alone, 8-bit looks like the best compromise; including the time axis reverses that conclusion -- under a memory constraint it is reasonable to skip 8-bit and go straight to 4-bit.</w:t>
      </w:r>
    </w:p>
    <w:p>
      <w:pPr>
        <w:pStyle w:val="Heading2"/>
      </w:pPr>
      <w:r>
        <w:rPr>
          <w:rFonts w:ascii="Calibri" w:hAnsi="Calibri"/>
          <w:b/>
          <w:sz w:val="26"/>
        </w:rPr>
        <w:t>4.3 The non-IID Effect Exists in Early Rounds and Is Washed Out as Training Proceeds</w:t>
      </w:r>
    </w:p>
    <w:p>
      <w:r>
        <w:rPr>
          <w:rFonts w:ascii="Calibri" w:hAnsi="Calibri"/>
          <w:b w:val="0"/>
          <w:sz w:val="22"/>
        </w:rPr>
        <w:t>Looking only at the final round, the effect of alpha is about 0.02 PPL and effectively unobservable. At round 1 (immediately after the first aggregation), however, alpha=0.1 is worse than alpha=10 in all 6 (compression x FL) combinations, with a mean gap of +0.147 PPL -- roughly 6x the final-round gap. Data heterogeneity is thus clearly harmful early on, but is largely cancelled out by repeated federated averaging.</w:t>
      </w:r>
    </w:p>
    <w:p>
      <w:r>
        <w:rPr>
          <w:rFonts w:ascii="Calibri" w:hAnsi="Calibri"/>
          <w:b/>
          <w:sz w:val="21"/>
        </w:rPr>
        <w:t>Table 4. Alpha gap (PPL at alpha=0.1 minus PPL at alpha=10) by round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19"/>
              </w:rPr>
              <w:t>Compression / FL</w:t>
            </w:r>
          </w:p>
        </w:tc>
        <w:tc>
          <w:tcPr>
            <w:tcW w:type="dxa" w:w="2880"/>
          </w:tcPr>
          <w:p>
            <w:r/>
            <w:r>
              <w:rPr>
                <w:rFonts w:ascii="Calibri" w:hAnsi="Calibri"/>
                <w:b/>
                <w:sz w:val="19"/>
              </w:rPr>
              <w:t>Round 1</w:t>
            </w:r>
          </w:p>
        </w:tc>
        <w:tc>
          <w:tcPr>
            <w:tcW w:type="dxa" w:w="2880"/>
          </w:tcPr>
          <w:p>
            <w:r/>
            <w:r>
              <w:rPr>
                <w:rFonts w:ascii="Calibri" w:hAnsi="Calibri"/>
                <w:b/>
                <w:sz w:val="19"/>
              </w:rPr>
              <w:t>Final round</w:t>
            </w:r>
          </w:p>
        </w:tc>
      </w:tr>
      <w:tr>
        <w:tc>
          <w:tcPr>
            <w:tcW w:type="dxa" w:w="2880"/>
          </w:tcPr>
          <w:p>
            <w:r/>
            <w:r>
              <w:rPr>
                <w:rFonts w:ascii="Calibri" w:hAnsi="Calibri"/>
                <w:b w:val="0"/>
                <w:sz w:val="19"/>
              </w:rPr>
              <w:t>LoRA / FedAvg</w:t>
            </w:r>
          </w:p>
        </w:tc>
        <w:tc>
          <w:tcPr>
            <w:tcW w:type="dxa" w:w="2880"/>
          </w:tcPr>
          <w:p>
            <w:r/>
            <w:r>
              <w:rPr>
                <w:rFonts w:ascii="Calibri" w:hAnsi="Calibri"/>
                <w:b w:val="0"/>
                <w:sz w:val="19"/>
              </w:rPr>
              <w:t>+0.1036</w:t>
            </w:r>
          </w:p>
        </w:tc>
        <w:tc>
          <w:tcPr>
            <w:tcW w:type="dxa" w:w="2880"/>
          </w:tcPr>
          <w:p>
            <w:r/>
            <w:r>
              <w:rPr>
                <w:rFonts w:ascii="Calibri" w:hAnsi="Calibri"/>
                <w:b w:val="0"/>
                <w:sz w:val="19"/>
              </w:rPr>
              <w:t>+0.0184</w:t>
            </w:r>
          </w:p>
        </w:tc>
      </w:tr>
      <w:tr>
        <w:tc>
          <w:tcPr>
            <w:tcW w:type="dxa" w:w="2880"/>
          </w:tcPr>
          <w:p>
            <w:r/>
            <w:r>
              <w:rPr>
                <w:rFonts w:ascii="Calibri" w:hAnsi="Calibri"/>
                <w:b w:val="0"/>
                <w:sz w:val="19"/>
              </w:rPr>
              <w:t>LoRA / FedProx</w:t>
            </w:r>
          </w:p>
        </w:tc>
        <w:tc>
          <w:tcPr>
            <w:tcW w:type="dxa" w:w="2880"/>
          </w:tcPr>
          <w:p>
            <w:r/>
            <w:r>
              <w:rPr>
                <w:rFonts w:ascii="Calibri" w:hAnsi="Calibri"/>
                <w:b w:val="0"/>
                <w:sz w:val="19"/>
              </w:rPr>
              <w:t>+0.1664</w:t>
            </w:r>
          </w:p>
        </w:tc>
        <w:tc>
          <w:tcPr>
            <w:tcW w:type="dxa" w:w="2880"/>
          </w:tcPr>
          <w:p>
            <w:r/>
            <w:r>
              <w:rPr>
                <w:rFonts w:ascii="Calibri" w:hAnsi="Calibri"/>
                <w:b w:val="0"/>
                <w:sz w:val="19"/>
              </w:rPr>
              <w:t>+0.0327</w:t>
            </w:r>
          </w:p>
        </w:tc>
      </w:tr>
      <w:tr>
        <w:tc>
          <w:tcPr>
            <w:tcW w:type="dxa" w:w="2880"/>
          </w:tcPr>
          <w:p>
            <w:r/>
            <w:r>
              <w:rPr>
                <w:rFonts w:ascii="Calibri" w:hAnsi="Calibri"/>
                <w:b w:val="0"/>
                <w:sz w:val="19"/>
              </w:rPr>
              <w:t>QLoRA 8-bit / FedAvg</w:t>
            </w:r>
          </w:p>
        </w:tc>
        <w:tc>
          <w:tcPr>
            <w:tcW w:type="dxa" w:w="2880"/>
          </w:tcPr>
          <w:p>
            <w:r/>
            <w:r>
              <w:rPr>
                <w:rFonts w:ascii="Calibri" w:hAnsi="Calibri"/>
                <w:b w:val="0"/>
                <w:sz w:val="19"/>
              </w:rPr>
              <w:t>+0.1104</w:t>
            </w:r>
          </w:p>
        </w:tc>
        <w:tc>
          <w:tcPr>
            <w:tcW w:type="dxa" w:w="2880"/>
          </w:tcPr>
          <w:p>
            <w:r/>
            <w:r>
              <w:rPr>
                <w:rFonts w:ascii="Calibri" w:hAnsi="Calibri"/>
                <w:b w:val="0"/>
                <w:sz w:val="19"/>
              </w:rPr>
              <w:t>+0.0220</w:t>
            </w:r>
          </w:p>
        </w:tc>
      </w:tr>
      <w:tr>
        <w:tc>
          <w:tcPr>
            <w:tcW w:type="dxa" w:w="2880"/>
          </w:tcPr>
          <w:p>
            <w:r/>
            <w:r>
              <w:rPr>
                <w:rFonts w:ascii="Calibri" w:hAnsi="Calibri"/>
                <w:b w:val="0"/>
                <w:sz w:val="19"/>
              </w:rPr>
              <w:t>QLoRA 8-bit / FedProx</w:t>
            </w:r>
          </w:p>
        </w:tc>
        <w:tc>
          <w:tcPr>
            <w:tcW w:type="dxa" w:w="2880"/>
          </w:tcPr>
          <w:p>
            <w:r/>
            <w:r>
              <w:rPr>
                <w:rFonts w:ascii="Calibri" w:hAnsi="Calibri"/>
                <w:b w:val="0"/>
                <w:sz w:val="19"/>
              </w:rPr>
              <w:t>+0.2058</w:t>
            </w:r>
          </w:p>
        </w:tc>
        <w:tc>
          <w:tcPr>
            <w:tcW w:type="dxa" w:w="2880"/>
          </w:tcPr>
          <w:p>
            <w:r/>
            <w:r>
              <w:rPr>
                <w:rFonts w:ascii="Calibri" w:hAnsi="Calibri"/>
                <w:b w:val="0"/>
                <w:sz w:val="19"/>
              </w:rPr>
              <w:t>+0.0526</w:t>
            </w:r>
          </w:p>
        </w:tc>
      </w:tr>
      <w:tr>
        <w:tc>
          <w:tcPr>
            <w:tcW w:type="dxa" w:w="2880"/>
          </w:tcPr>
          <w:p>
            <w:r/>
            <w:r>
              <w:rPr>
                <w:rFonts w:ascii="Calibri" w:hAnsi="Calibri"/>
                <w:b w:val="0"/>
                <w:sz w:val="19"/>
              </w:rPr>
              <w:t>QLoRA 4-bit / FedAvg</w:t>
            </w:r>
          </w:p>
        </w:tc>
        <w:tc>
          <w:tcPr>
            <w:tcW w:type="dxa" w:w="2880"/>
          </w:tcPr>
          <w:p>
            <w:r/>
            <w:r>
              <w:rPr>
                <w:rFonts w:ascii="Calibri" w:hAnsi="Calibri"/>
                <w:b w:val="0"/>
                <w:sz w:val="19"/>
              </w:rPr>
              <w:t>+0.0877</w:t>
            </w:r>
          </w:p>
        </w:tc>
        <w:tc>
          <w:tcPr>
            <w:tcW w:type="dxa" w:w="2880"/>
          </w:tcPr>
          <w:p>
            <w:r/>
            <w:r>
              <w:rPr>
                <w:rFonts w:ascii="Calibri" w:hAnsi="Calibri"/>
                <w:b w:val="0"/>
                <w:sz w:val="19"/>
              </w:rPr>
              <w:t>+0.0365</w:t>
            </w:r>
          </w:p>
        </w:tc>
      </w:tr>
      <w:tr>
        <w:tc>
          <w:tcPr>
            <w:tcW w:type="dxa" w:w="2880"/>
          </w:tcPr>
          <w:p>
            <w:r/>
            <w:r>
              <w:rPr>
                <w:rFonts w:ascii="Calibri" w:hAnsi="Calibri"/>
                <w:b w:val="0"/>
                <w:sz w:val="19"/>
              </w:rPr>
              <w:t>QLoRA 4-bit / FedProx</w:t>
            </w:r>
          </w:p>
        </w:tc>
        <w:tc>
          <w:tcPr>
            <w:tcW w:type="dxa" w:w="2880"/>
          </w:tcPr>
          <w:p>
            <w:r/>
            <w:r>
              <w:rPr>
                <w:rFonts w:ascii="Calibri" w:hAnsi="Calibri"/>
                <w:b w:val="0"/>
                <w:sz w:val="19"/>
              </w:rPr>
              <w:t>+0.2088</w:t>
            </w:r>
          </w:p>
        </w:tc>
        <w:tc>
          <w:tcPr>
            <w:tcW w:type="dxa" w:w="2880"/>
          </w:tcPr>
          <w:p>
            <w:r/>
            <w:r>
              <w:rPr>
                <w:rFonts w:ascii="Calibri" w:hAnsi="Calibri"/>
                <w:b w:val="0"/>
                <w:sz w:val="19"/>
              </w:rPr>
              <w:t>-0.0170</w:t>
            </w:r>
          </w:p>
        </w:tc>
      </w:tr>
      <w:tr>
        <w:tc>
          <w:tcPr>
            <w:tcW w:type="dxa" w:w="2880"/>
          </w:tcPr>
          <w:p>
            <w:r/>
            <w:r>
              <w:rPr>
                <w:rFonts w:ascii="Calibri" w:hAnsi="Calibri"/>
                <w:b w:val="0"/>
                <w:sz w:val="19"/>
              </w:rPr>
              <w:t>Positive / mean</w:t>
            </w:r>
          </w:p>
        </w:tc>
        <w:tc>
          <w:tcPr>
            <w:tcW w:type="dxa" w:w="2880"/>
          </w:tcPr>
          <w:p>
            <w:r/>
            <w:r>
              <w:rPr>
                <w:rFonts w:ascii="Calibri" w:hAnsi="Calibri"/>
                <w:b w:val="0"/>
                <w:sz w:val="19"/>
              </w:rPr>
              <w:t>6/6, +0.147</w:t>
            </w:r>
          </w:p>
        </w:tc>
        <w:tc>
          <w:tcPr>
            <w:tcW w:type="dxa" w:w="2880"/>
          </w:tcPr>
          <w:p>
            <w:r/>
            <w:r>
              <w:rPr>
                <w:rFonts w:ascii="Calibri" w:hAnsi="Calibri"/>
                <w:b w:val="0"/>
                <w:sz w:val="19"/>
              </w:rPr>
              <w:t>5/6, +0.024</w:t>
            </w:r>
          </w:p>
        </w:tc>
      </w:tr>
    </w:tbl>
    <w:p/>
    <w:p>
      <w:r>
        <w:rPr>
          <w:rFonts w:ascii="Calibri" w:hAnsi="Calibri"/>
          <w:b w:val="0"/>
          <w:sz w:val="22"/>
        </w:rPr>
        <w:t>This result should not be over-trusted statistically. All 6 rows point the same way, giving a sign-test p=0.031, but the partitioning seed is fixed at 42 (src/partitioning.py), so the 6 rows share only 3 partitions -- one per alpha. They are not independent samples, so the possibility that the single alpha=0.1 partition draw was unfavourable cannot be excluded; confirming this requires repeating with 3 seeds.</w:t>
      </w:r>
    </w:p>
    <w:p>
      <w:pPr>
        <w:pStyle w:val="Heading2"/>
      </w:pPr>
      <w:r>
        <w:rPr>
          <w:rFonts w:ascii="Calibri" w:hAnsi="Calibri"/>
          <w:b/>
          <w:sz w:val="26"/>
        </w:rPr>
        <w:t>4.4 Compression x non-IID Interaction: Observed Only Under FedProx</w:t>
      </w:r>
    </w:p>
    <w:p>
      <w:r>
        <w:rPr>
          <w:rFonts w:ascii="Calibri" w:hAnsi="Calibri"/>
          <w:b w:val="0"/>
          <w:sz w:val="22"/>
        </w:rPr>
        <w:t>Arranging the round-1 alpha gap by compression level, FedProx increases monotonically -- LoRA +0.166 -&gt; 8-bit +0.206 -&gt; 4-bit +0.209 -- consistent with the hypothesis that stronger compression is more vulnerable to non-IID data. Under FedAvg, however, there is no trend: +0.104 -&gt; +0.110 -&gt; +0.088. Since the two FL algorithms disagree, this is reported as a conditional observation rather than conclusive evidence. At the final round the trend survives under neither algorithm.</w:t>
      </w:r>
    </w:p>
    <w:p>
      <w:pPr>
        <w:pStyle w:val="Heading2"/>
      </w:pPr>
      <w:r>
        <w:rPr>
          <w:rFonts w:ascii="Calibri" w:hAnsi="Calibri"/>
          <w:b/>
          <w:sz w:val="26"/>
        </w:rPr>
        <w:t>4.5 Communication Volume Is Independent of Compression and Determined Only by Round Count</w:t>
      </w:r>
    </w:p>
    <w:p>
      <w:r>
        <w:rPr>
          <w:rFonts w:ascii="Calibri" w:hAnsi="Calibri"/>
          <w:b w:val="0"/>
          <w:sz w:val="22"/>
        </w:rPr>
        <w:t>Per-round communication is exactly 17,301,504 bytes (17.3 MB) in all 18 runs: the LoRA adapter's 540,672 parameters x 4 bytes = 2.16 MB, multiplied by 8 clients. QLoRA quantizes only the base model weights while the adapter that is trained and transmitted stays in fp32, so communication does not shrink. Totals are 86.5 MB for the 16 five-round runs, and 103.8 MB / 121.1 MB for the two runs that ended at 6 and 7 rounds. For reference, transmitting the full model would cost about 2 GB per round, so PEFT reduces communication roughly 120-fold. Reducing it further would require quantizing the adapter itself or lowering the LoRA rank.</w:t>
      </w:r>
    </w:p>
    <w:p>
      <w:pPr>
        <w:pStyle w:val="Heading2"/>
      </w:pPr>
      <w:r>
        <w:rPr>
          <w:rFonts w:ascii="Calibri" w:hAnsi="Calibri"/>
          <w:b/>
          <w:sz w:val="26"/>
        </w:rPr>
        <w:t>4.6 FedProx Underperformed FedAvg in All 18 Cells</w:t>
      </w:r>
    </w:p>
    <w:p>
      <w:r>
        <w:rPr>
          <w:rFonts w:ascii="Calibri" w:hAnsi="Calibri"/>
          <w:b w:val="0"/>
          <w:sz w:val="22"/>
        </w:rPr>
        <w:t>By PPL, FedProx is worse than the corresponding FedAvg cell in all 9 pairs. The paired ROUGE-L comparison agrees at -0.0131 (t=-4.56, pooled), the most consistent signal in this experiment. Broken down by compression, however, LoRA is -0.0147 (t=-3.09) and 8-bit -0.0208 (t=-3.69) while 4-bit is only -0.0037 (t=-0.85), where the difference disappears. Round-1 values show FedProx's initial handicap is largest (+0.54 PPL under 4-bit), suggesting the proximal term (mu=0.01) over-constrains divergence from the global model in a short run that converges within 5 rounds.</w:t>
      </w:r>
    </w:p>
    <w:p>
      <w:pPr>
        <w:pStyle w:val="Heading2"/>
      </w:pPr>
      <w:r>
        <w:rPr>
          <w:rFonts w:ascii="Calibri" w:hAnsi="Calibri"/>
          <w:b/>
          <w:sz w:val="26"/>
        </w:rPr>
        <w:t>4.7 Training Stability</w:t>
      </w:r>
    </w:p>
    <w:p>
      <w:r>
        <w:rPr>
          <w:rFonts w:ascii="Calibri" w:hAnsi="Calibri"/>
          <w:b w:val="0"/>
          <w:sz w:val="22"/>
        </w:rPr>
        <w:t>Across the 18 runs, val_loss increased between rounds in only 2 cases, by a negligible +0.0003 and +0.0031. No divergence or NaN loss occurred. All 18 runs confirm that the NaN-loss issue from fully-masked labels, fixed in Week 4, did not recur.</w:t>
      </w:r>
    </w:p>
    <w:p>
      <w:pPr>
        <w:pStyle w:val="Heading1"/>
      </w:pPr>
      <w:r>
        <w:rPr>
          <w:rFonts w:ascii="Calibri" w:hAnsi="Calibri"/>
          <w:b/>
          <w:sz w:val="32"/>
        </w:rPr>
        <w:t>5. Methodological Limitations</w:t>
      </w:r>
    </w:p>
    <w:p>
      <w:pPr>
        <w:pStyle w:val="ListBullet"/>
      </w:pPr>
      <w:r>
        <w:rPr>
          <w:rFonts w:ascii="Calibri" w:hAnsi="Calibri"/>
          <w:b w:val="0"/>
          <w:sz w:val="21"/>
        </w:rPr>
        <w:t>Only 3 alpha points, so the correlation coefficients cannot be interpreted: the Pearson coefficients produced by compute_compression_alpha_trend are computed from 3 (alpha, compression penalty) points. The signs of the 8 coefficients disagree across FL algorithms and metrics (for 4-bit, FedAvg -0.18 vs FedProx +0.98), and the variation in penalty across alpha (0.031 PPL) is smaller than run-to-run variation (standard deviation 0.033 PPL across the 6 8-bit penalty cells). The signal being measured is smaller than the measurement error.</w:t>
      </w:r>
    </w:p>
    <w:p>
      <w:pPr>
        <w:pStyle w:val="ListBullet"/>
      </w:pPr>
      <w:r>
        <w:rPr>
          <w:rFonts w:ascii="Calibri" w:hAnsi="Calibri"/>
          <w:b w:val="0"/>
          <w:sz w:val="21"/>
        </w:rPr>
        <w:t>X-axis scale of the correlation analysis: as noted in Section 2.2, alpha should be log-transformed. In the current implementation the alpha=10 point dominates the result; the fact that all 4 ROUGE-L coefficients came out between +0.84 and +0.98 is because the penalty was largest at alpha=10 in all 4 cases.</w:t>
      </w:r>
    </w:p>
    <w:p>
      <w:pPr>
        <w:pStyle w:val="ListBullet"/>
      </w:pPr>
      <w:r>
        <w:rPr>
          <w:rFonts w:ascii="Calibri" w:hAnsi="Calibri"/>
          <w:b w:val="0"/>
          <w:sz w:val="21"/>
        </w:rPr>
        <w:t>Limits of per-category vulnerability screening: per_category_compression_penalty uses a relative penalty ((LoRA - compressed) / LoRA), which over-weights categories with a small baseline. Under 4-bit, brainstorming is flagged first (z=+1.72), yet the absolute loss for information_extraction (-0.028) is twice that of brainstorming (-0.014). Furthermore 4-bit and 8-bit flag different categories (brainstorming vs summarization), and with 25 examples per category across 8 comparisons no category survives a multiple-comparison correction. It should be read as exploratory screening only.</w:t>
      </w:r>
    </w:p>
    <w:p>
      <w:pPr>
        <w:pStyle w:val="ListBullet"/>
      </w:pPr>
      <w:r>
        <w:rPr>
          <w:rFonts w:ascii="Calibri" w:hAnsi="Calibri"/>
          <w:b w:val="0"/>
          <w:sz w:val="21"/>
        </w:rPr>
        <w:t>Insufficient discrimination due to early convergence: 71% of the total improvement (min 62%, max 79%) occurs between rounds 1 and 2, and from round 2 to 3 onward the improvement rate is already below the convergence threshold (1%). All combinations reach a similar point within 2 rounds, leaving little room for between-condition differences to emerge.</w:t>
      </w:r>
    </w:p>
    <w:p>
      <w:pPr>
        <w:pStyle w:val="ListBullet"/>
      </w:pPr>
      <w:r>
        <w:rPr>
          <w:rFonts w:ascii="Calibri" w:hAnsi="Calibri"/>
          <w:b w:val="0"/>
          <w:sz w:val="21"/>
        </w:rPr>
        <w:t>Single seed: every run uses the single seed=42 partition, so run-to-run variance cannot be estimated directly. The variance estimate in this report is indirect, derived from the spread of the 8-bit penalty under the assumption that 8-bit is approximately equal to LoRA.</w:t>
      </w:r>
    </w:p>
    <w:p>
      <w:pPr>
        <w:pStyle w:val="Heading1"/>
      </w:pPr>
      <w:r>
        <w:rPr>
          <w:rFonts w:ascii="Calibri" w:hAnsi="Calibri"/>
          <w:b/>
          <w:sz w:val="32"/>
        </w:rPr>
        <w:t>6. Next Steps</w:t>
      </w:r>
    </w:p>
    <w:p>
      <w:pPr>
        <w:pStyle w:val="ListBullet"/>
      </w:pPr>
      <w:r>
        <w:rPr>
          <w:rFonts w:ascii="Calibri" w:hAnsi="Calibri"/>
          <w:b w:val="0"/>
          <w:sz w:val="21"/>
        </w:rPr>
        <w:t>Subtask 2.2 robustness check: rerun the best-performing combination by PPL among the 18 -- LoRA/FedAvg/alpha=1 -- with local_epochs=5. This is also expected to mitigate the 'insufficient discrimination due to early convergence' issue identified in Sections 4.3 and 5.</w:t>
      </w:r>
    </w:p>
    <w:p>
      <w:pPr>
        <w:pStyle w:val="ListBullet"/>
      </w:pPr>
      <w:r>
        <w:rPr>
          <w:rFonts w:ascii="Calibri" w:hAnsi="Calibri"/>
          <w:b w:val="0"/>
          <w:sz w:val="21"/>
        </w:rPr>
        <w:t>Change the correlation analysis x-axis to log10(alpha), and add per-round trajectory figures via the visualization script (scripts/plot_results.py) -- the finding in Section 4.3 cannot be conveyed by a final-round table alone.</w:t>
      </w:r>
    </w:p>
    <w:p>
      <w:pPr>
        <w:pStyle w:val="ListBullet"/>
      </w:pPr>
      <w:r>
        <w:rPr>
          <w:rFonts w:ascii="Calibri" w:hAnsi="Calibri"/>
          <w:b w:val="0"/>
          <w:sz w:val="21"/>
        </w:rPr>
        <w:t>Week 6: write the final report. Based on Sections 4 (findings) and 5 (limitations), it will conclude that the main effect of compression is confirmed while the compression x non-IID interaction cannot be verified at the current experimental scale, and will propose a future design (6 alpha points, 3 seed repetitions).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