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sz w:val="32"/>
        </w:rPr>
        <w:t>1. Introduction (draft)</w:t>
      </w:r>
    </w:p>
    <w:p>
      <w:r>
        <w:rPr>
          <w:rFonts w:ascii="Times New Roman" w:hAnsi="Times New Roman"/>
          <w:b w:val="0"/>
          <w:sz w:val="24"/>
        </w:rPr>
        <w:t>Instruction-tuned language models are increasingly trained on data that cannot be centralised, whether for privacy, regulatory or commercial reasons. Federated learning addresses this by keeping data on the client and exchanging only model updates [1]. The clients in such a federation are typically far more constrained than a datacentre node, and two constraints dominate in practice: how much GPU memory a client can devote to training, and how unevenly the training data are distributed across clients.</w:t>
      </w:r>
    </w:p>
    <w:p>
      <w:r>
        <w:rPr>
          <w:rFonts w:ascii="Times New Roman" w:hAnsi="Times New Roman"/>
          <w:b w:val="0"/>
          <w:sz w:val="24"/>
        </w:rPr>
        <w:t>Both constraints have well-established individual remedies. Full fine-tuning of even a small language model is impractical on a constrained client, so parameter-efficient methods are used instead; Low-Rank Adaptation (LoRA) freezes the pre-trained weights and trains small low-rank adapters, reducing the number of trainable parameters by orders of magnitude [4]. Because only those adapters are exchanged, LoRA also reduces the federated communication payload. Memory can be reduced further by quantising the frozen base model, either to 8-bit integers [5] or, as in QLoRA, to 4-bit NormalFloat [6]. Separately, the effect of non-identically distributed client data is well documented: heterogeneous local objectives cause client updates to diverge, which slows convergence and degrades the aggregated model [2], and Dirichlet sampling has become the standard way to synthesise a controlled range of heterogeneity [3].</w:t>
      </w:r>
    </w:p>
    <w:p>
      <w:r>
        <w:rPr>
          <w:rFonts w:ascii="Times New Roman" w:hAnsi="Times New Roman"/>
          <w:b w:val="0"/>
          <w:sz w:val="24"/>
        </w:rPr>
        <w:t>What is not established is whether these two pressures interact. A plausible mechanism suggests they should: a quantised model carries less numerical headroom, and might therefore absorb conflicting client updates less gracefully, so that the penalty for aggressive quantisation would grow as client data become more heterogeneous. If that is so, the choice of compression level cannot be made without knowing how heterogeneous the federation's data are, which is information a deployment rarely has in advance. If the two are instead independent, the choice collapses into a straightforward resource decision. The question is therefore of practical as well as theoretical interest, and it is the question this placement set out to answer.</w:t>
      </w:r>
    </w:p>
    <w:p>
      <w:r>
        <w:rPr>
          <w:rFonts w:ascii="Times New Roman" w:hAnsi="Times New Roman"/>
          <w:b w:val="0"/>
          <w:sz w:val="24"/>
        </w:rPr>
        <w:t>Accordingly, this study asks: does the performance cost of quantising the frozen base model increase as client data become more non-identically distributed? The working hypothesis was that it does. Three objectives follow. The first is to quantify the main effect of compression level on both model quality and operational cost. The second, and primary, objective is to test for an interaction between compression level and data heterogeneity, across a Dirichlet concentration parameter spanning three orders of magnitude. The third is to characterise the resulting memory, accuracy and time trade-off in terms concrete enough to guide a deployment decision.</w:t>
      </w:r>
    </w:p>
    <w:p>
      <w:r>
        <w:rPr>
          <w:rFonts w:ascii="Times New Roman" w:hAnsi="Times New Roman"/>
          <w:b w:val="0"/>
          <w:sz w:val="24"/>
        </w:rPr>
        <w:t>The study is deliberately bounded. It uses a single 0.5B-parameter instruction model (Qwen2.5-0.5B-Instruct [14]) fine-tuned on the Dolly-15k instruction corpus [13] across a simulated federation of eight clients, comparing three compression levels, two aggregation rules and four Dirichlet settings in a full factorial grid of 24 runs. This scale was chosen so that the complete grid could be executed within the GPU budget available for a six-week placement, at the cost of the limitations set out in Section 5.</w:t>
      </w:r>
    </w:p>
    <w:p>
      <w:r>
        <w:br w:type="page"/>
      </w:r>
    </w:p>
    <w:p>
      <w:r>
        <w:rPr>
          <w:rFonts w:ascii="Times New Roman" w:hAnsi="Times New Roman"/>
          <w:b/>
          <w:sz w:val="32"/>
        </w:rPr>
        <w:t>References</w:t>
      </w:r>
    </w:p>
    <w:p>
      <w:r>
        <w:rPr>
          <w:rFonts w:ascii="Times New Roman" w:hAnsi="Times New Roman"/>
          <w:b w:val="0"/>
          <w:sz w:val="20"/>
        </w:rPr>
        <w:t>Bibliographic details were verified against publisher or arXiv pages on 12 September 2026. IEEE numeric style.</w:t>
      </w:r>
    </w:p>
    <w:p>
      <w:pPr>
        <w:spacing w:after="120"/>
      </w:pPr>
      <w:r>
        <w:rPr>
          <w:rFonts w:ascii="Times New Roman" w:hAnsi="Times New Roman"/>
          <w:b w:val="0"/>
          <w:sz w:val="22"/>
        </w:rPr>
        <w:t>[1] B. McMahan, E. Moore, D. Ramage, S. Hampson, and B. Agüera y Arcas, "Communication-efficient learning of deep networks from decentralized data," in Proc. 20th Int. Conf. Artificial Intelligence and Statistics (AISTATS), 2017, pp. 1273-1282.</w:t>
      </w:r>
    </w:p>
    <w:p>
      <w:pPr>
        <w:spacing w:after="120"/>
      </w:pPr>
      <w:r>
        <w:rPr>
          <w:rFonts w:ascii="Times New Roman" w:hAnsi="Times New Roman"/>
          <w:b w:val="0"/>
          <w:sz w:val="22"/>
        </w:rPr>
        <w:t>[2] T. Li, A. K. Sahu, M. Zaheer, M. Sanjabi, A. Talwalkar, and V. Smith, "Federated optimization in heterogeneous networks," in Proc. Machine Learning and Systems (MLSys), vol. 2, 2020.</w:t>
      </w:r>
    </w:p>
    <w:p>
      <w:pPr>
        <w:spacing w:after="120"/>
      </w:pPr>
      <w:r>
        <w:rPr>
          <w:rFonts w:ascii="Times New Roman" w:hAnsi="Times New Roman"/>
          <w:b w:val="0"/>
          <w:sz w:val="22"/>
        </w:rPr>
        <w:t>[3] T.-M. H. Hsu, H. Qi, and M. Brown, "Measuring the effects of non-identical data distribution for federated visual classification," arXiv:1909.06335, 2019.</w:t>
      </w:r>
    </w:p>
    <w:p>
      <w:pPr>
        <w:spacing w:after="120"/>
      </w:pPr>
      <w:r>
        <w:rPr>
          <w:rFonts w:ascii="Times New Roman" w:hAnsi="Times New Roman"/>
          <w:b w:val="0"/>
          <w:sz w:val="22"/>
        </w:rPr>
        <w:t>[4] E. J. Hu, Y. Shen, P. Wallis, Z. Allen-Zhu, Y. Li, S. Wang, L. Wang, and W. Chen, "LoRA: Low-rank adaptation of large language models," in Proc. Int. Conf. Learning Representations (ICLR), 2022.</w:t>
      </w:r>
    </w:p>
    <w:p>
      <w:pPr>
        <w:spacing w:after="120"/>
      </w:pPr>
      <w:r>
        <w:rPr>
          <w:rFonts w:ascii="Times New Roman" w:hAnsi="Times New Roman"/>
          <w:b w:val="0"/>
          <w:sz w:val="22"/>
        </w:rPr>
        <w:t>[5] T. Dettmers, M. Lewis, Y. Belkada, and L. Zettlemoyer, "LLM.int8(): 8-bit matrix multiplication for transformers at scale," in Advances in Neural Information Processing Systems (NeurIPS), vol. 35, 2022.</w:t>
      </w:r>
    </w:p>
    <w:p>
      <w:pPr>
        <w:spacing w:after="120"/>
      </w:pPr>
      <w:r>
        <w:rPr>
          <w:rFonts w:ascii="Times New Roman" w:hAnsi="Times New Roman"/>
          <w:b w:val="0"/>
          <w:sz w:val="22"/>
        </w:rPr>
        <w:t>[6] T. Dettmers, A. Pagnoni, A. Holtzman, and L. Zettlemoyer, "QLoRA: Efficient finetuning of quantized LLMs," in Advances in Neural Information Processing Systems (NeurIPS), vol. 36, 2023.</w:t>
      </w:r>
    </w:p>
    <w:p>
      <w:pPr>
        <w:spacing w:after="120"/>
      </w:pPr>
      <w:r>
        <w:rPr>
          <w:rFonts w:ascii="Times New Roman" w:hAnsi="Times New Roman"/>
          <w:b w:val="0"/>
          <w:sz w:val="22"/>
        </w:rPr>
        <w:t>[7] J. Konečný, H. B. McMahan, F. X. Yu, P. Richtárik, A. T. Suresh, and D. Bacon, "Federated learning: Strategies for improving communication efficiency," arXiv:1610.05492, 2016.</w:t>
      </w:r>
    </w:p>
    <w:p>
      <w:pPr>
        <w:spacing w:after="120"/>
      </w:pPr>
      <w:r>
        <w:rPr>
          <w:rFonts w:ascii="Times New Roman" w:hAnsi="Times New Roman"/>
          <w:b w:val="0"/>
          <w:sz w:val="22"/>
        </w:rPr>
        <w:t>[8] D. Alistarh, D. Grubic, J. Li, R. Tomioka, and M. Vojnovic, "QSGD: Communication-efficient SGD via gradient quantization and encoding," in Advances in Neural Information Processing Systems (NIPS), vol. 30, 2017.</w:t>
      </w:r>
    </w:p>
    <w:p>
      <w:pPr>
        <w:spacing w:after="120"/>
      </w:pPr>
      <w:r>
        <w:rPr>
          <w:rFonts w:ascii="Times New Roman" w:hAnsi="Times New Roman"/>
          <w:b w:val="0"/>
          <w:sz w:val="22"/>
        </w:rPr>
        <w:t>[9] Y. Lin, S. Han, H. Mao, Y. Wang, and W. J. Dally, "Deep gradient compression: Reducing the communication bandwidth for distributed training," in Proc. Int. Conf. Learning Representations (ICLR), 2018.</w:t>
      </w:r>
    </w:p>
    <w:p>
      <w:pPr>
        <w:spacing w:after="120"/>
      </w:pPr>
      <w:r>
        <w:rPr>
          <w:rFonts w:ascii="Times New Roman" w:hAnsi="Times New Roman"/>
          <w:b w:val="0"/>
          <w:sz w:val="22"/>
        </w:rPr>
        <w:t>[10] S. P. Karimireddy, Q. Rebjock, S. U. Stich, and M. Jaggi, "Error feedback fixes SignSGD and other gradient compression schemes," in Proc. 36th Int. Conf. Machine Learning (ICML), PMLR vol. 97, 2019, pp. 3252-3261.</w:t>
      </w:r>
    </w:p>
    <w:p>
      <w:pPr>
        <w:spacing w:after="120"/>
      </w:pPr>
      <w:r>
        <w:rPr>
          <w:rFonts w:ascii="Times New Roman" w:hAnsi="Times New Roman"/>
          <w:b w:val="0"/>
          <w:sz w:val="22"/>
        </w:rPr>
        <w:t>[11] F. Sattler, S. Wiedemann, K.-R. Müller, and W. Samek, "Robust and communication-efficient federated learning from non-i.i.d. data," IEEE Trans. Neural Networks and Learning Systems, vol. 31, no. 9, pp. 3400-3413, 2020.</w:t>
      </w:r>
    </w:p>
    <w:p>
      <w:pPr>
        <w:spacing w:after="120"/>
      </w:pPr>
      <w:r>
        <w:rPr>
          <w:rFonts w:ascii="Times New Roman" w:hAnsi="Times New Roman"/>
          <w:b w:val="0"/>
          <w:sz w:val="22"/>
        </w:rPr>
        <w:t>[12] D. J. Beutel et al., "Flower: A friendly federated learning research framework," arXiv:2007.14390, 2020.</w:t>
      </w:r>
    </w:p>
    <w:p>
      <w:pPr>
        <w:spacing w:after="120"/>
      </w:pPr>
      <w:r>
        <w:rPr>
          <w:rFonts w:ascii="Times New Roman" w:hAnsi="Times New Roman"/>
          <w:b w:val="0"/>
          <w:sz w:val="22"/>
        </w:rPr>
        <w:t>[13] M. Conover et al., "Free Dolly: Introducing the world's first truly open instruction-tuned LLM," Databricks Blog, 12 April 2023. Dataset: databricks/databricks-dolly-15k, licensed CC BY-SA 3.0.</w:t>
      </w:r>
    </w:p>
    <w:p>
      <w:pPr>
        <w:spacing w:after="120"/>
      </w:pPr>
      <w:r>
        <w:rPr>
          <w:rFonts w:ascii="Times New Roman" w:hAnsi="Times New Roman"/>
          <w:b w:val="0"/>
          <w:sz w:val="22"/>
        </w:rPr>
        <w:t>[14] Qwen Team, "Qwen2.5 technical report," arXiv:2412.15115, 2024. Model: Qwen/Qwen2.5-0.5B-Instruct, Apache 2.0.</w:t>
      </w:r>
    </w:p>
    <w:p>
      <w:pPr>
        <w:spacing w:after="120"/>
      </w:pPr>
      <w:r>
        <w:rPr>
          <w:rFonts w:ascii="Times New Roman" w:hAnsi="Times New Roman"/>
          <w:b w:val="0"/>
          <w:sz w:val="22"/>
        </w:rPr>
        <w:t>[15] C.-Y. Lin, "ROUGE: A package for automatic evaluation of summaries," in Text Summarization Branches Out, Barcelona, Spain: Association for Computational Linguistics, 2004, pp. 74-81.</w:t>
      </w:r>
    </w:p>
    <w:p>
      <w:r>
        <w:br w:type="page"/>
      </w:r>
    </w:p>
    <w:p>
      <w:r>
        <w:rPr>
          <w:rFonts w:ascii="Times New Roman" w:hAnsi="Times New Roman"/>
          <w:b/>
          <w:sz w:val="32"/>
        </w:rPr>
        <w:t>Declaration of generative AI use</w:t>
      </w:r>
    </w:p>
    <w:p>
      <w:r>
        <w:rPr>
          <w:rFonts w:ascii="Times New Roman" w:hAnsi="Times New Roman"/>
          <w:b w:val="0"/>
          <w:sz w:val="20"/>
        </w:rPr>
        <w:t>Macquarie University requires that any use of generative AI in an assessment be acknowledged, stating which tools were used and how. The exact placement and format should be confirmed with the unit convenor, and the assessment's AI category (Open or Observed) checked in the unit guide, since requirements differ between the two. The statement below is a draft to be edited so that it describes the actual use accurately.</w:t>
      </w:r>
    </w:p>
    <w:p>
      <w:r>
        <w:rPr>
          <w:rFonts w:ascii="Times New Roman" w:hAnsi="Times New Roman"/>
          <w:b/>
          <w:sz w:val="26"/>
        </w:rPr>
        <w:t>Draft statement</w:t>
      </w:r>
    </w:p>
    <w:p>
      <w:r>
        <w:rPr>
          <w:rFonts w:ascii="Times New Roman" w:hAnsi="Times New Roman"/>
          <w:b w:val="0"/>
          <w:sz w:val="24"/>
        </w:rPr>
        <w:t>Generative AI was used in the preparation of this placement deliverable, as follows. Claude Code (Anthropic, Claude Opus 5) was used between [START DATE] and [END DATE] to assist with implementing the federated learning pipeline and its test suite, to diagnose defects during development, to write the analysis and plotting scripts used to produce the figures and appendix tables, and to draft and edit sections of this report. All research decisions, including the research question, the experimental design, the choice of metrics and the interpretation of results, were made by the author in consultation with the placement mentor. All experiments were executed and supervised by the author. Every AI-assisted component was verified by the author: the implementation is covered by an automated suite of 66 tests, and every statistic, figure and table in this report is reproducible from the committed experiment logs using the analysis scripts archived in the project repository. All cited references were checked against publisher or arXiv records rather than accepted as generated. [Add or remove items so that this reflects your actual use.]</w:t>
      </w:r>
    </w:p>
    <w:p>
      <w:r>
        <w:rPr>
          <w:rFonts w:ascii="Times New Roman" w:hAnsi="Times New Roman"/>
          <w:b/>
          <w:sz w:val="26"/>
        </w:rPr>
        <w:t>Points to confirm with the convenor or mentor</w:t>
      </w:r>
    </w:p>
    <w:p>
      <w:pPr>
        <w:pStyle w:val="ListBullet"/>
      </w:pPr>
      <w:r>
        <w:rPr>
          <w:rFonts w:ascii="Times New Roman" w:hAnsi="Times New Roman"/>
          <w:sz w:val="22"/>
        </w:rPr>
        <w:t>Whether this deliverable is categorised as AI Open or AI Observed, and whether that changes what is permitted.</w:t>
      </w:r>
    </w:p>
    <w:p>
      <w:pPr>
        <w:pStyle w:val="ListBullet"/>
      </w:pPr>
      <w:r>
        <w:rPr>
          <w:rFonts w:ascii="Times New Roman" w:hAnsi="Times New Roman"/>
          <w:sz w:val="22"/>
        </w:rPr>
        <w:t>Whether the declaration belongs on the title page, in a preface, or in an appendix.</w:t>
      </w:r>
    </w:p>
    <w:p>
      <w:pPr>
        <w:pStyle w:val="ListBullet"/>
      </w:pPr>
      <w:r>
        <w:rPr>
          <w:rFonts w:ascii="Times New Roman" w:hAnsi="Times New Roman"/>
          <w:sz w:val="22"/>
        </w:rPr>
        <w:t>Whether AI use also needs an in-text citation in IEEE style in addition to this statement.</w:t>
      </w:r>
    </w:p>
    <w:p>
      <w:pPr>
        <w:pStyle w:val="ListBullet"/>
      </w:pPr>
      <w:r>
        <w:rPr>
          <w:rFonts w:ascii="Times New Roman" w:hAnsi="Times New Roman"/>
          <w:sz w:val="22"/>
        </w:rPr>
        <w:t>Whether the same declaration is required for the accompanying presentation.</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