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32"/>
        </w:rPr>
        <w:t>Methods (draft)</w:t>
      </w:r>
    </w:p>
    <w:p>
      <w:r>
        <w:rPr>
          <w:rFonts w:ascii="Times New Roman" w:hAnsi="Times New Roman"/>
          <w:b w:val="0"/>
          <w:sz w:val="20"/>
        </w:rPr>
        <w:t>Placeholders marked [CONFIRM] require the exact library versions recorded in env_alpha100.txt.</w:t>
      </w:r>
    </w:p>
    <w:p>
      <w:r>
        <w:rPr>
          <w:rFonts w:ascii="Times New Roman" w:hAnsi="Times New Roman"/>
          <w:b/>
          <w:sz w:val="26"/>
        </w:rPr>
        <w:t>2.1 Data</w:t>
      </w:r>
    </w:p>
    <w:p>
      <w:r>
        <w:rPr>
          <w:rFonts w:ascii="Times New Roman" w:hAnsi="Times New Roman"/>
          <w:b w:val="0"/>
          <w:sz w:val="24"/>
        </w:rPr>
        <w:t>All experiments used databricks-dolly-15k, an open instruction-following corpus of 15,011 human-written records spanning eight task categories (brainstorming, classification, closed_qa, creative_writing, general_qa, information_extraction, open_qa and summarization). The dataset was obtained from the Hugging Face Hub and was not collected by the author; it is released under CC BY-SA 3.0 [CONFIRM licence statement]. Because the corpus is public and contains no personal data, no ethics approval was required. Before any client partitioning, a global held-out evaluation set was carved out by sampling 10% of each category (1,497 records), leaving 13,514 records for federated training. Holding out per category rather than uniformly ensured that every task type was represented in evaluation even when clients held skewed data. A category-stratified subsample of 200 held-out records was drawn once for generation-based evaluation.</w:t>
      </w:r>
    </w:p>
    <w:p>
      <w:r>
        <w:rPr>
          <w:rFonts w:ascii="Times New Roman" w:hAnsi="Times New Roman"/>
          <w:b/>
          <w:sz w:val="26"/>
        </w:rPr>
        <w:t>2.2 Model and parameter-efficient fine-tuning</w:t>
      </w:r>
    </w:p>
    <w:p>
      <w:r>
        <w:rPr>
          <w:rFonts w:ascii="Times New Roman" w:hAnsi="Times New Roman"/>
          <w:b w:val="0"/>
          <w:sz w:val="24"/>
        </w:rPr>
        <w:t>The base model was Qwen2.5-0.5B-Instruct, loaded in bfloat16. Fine-tuning used Low-Rank Adaptation (LoRA) with rank r = 8, scaling alpha = 16, dropout 0.05, applied to the q_proj and v_proj projections of all 24 transformer layers. This yielded 540,672 trainable parameters, approximately 0.11% of the model. Three compression levels were compared: an uncompressed baseline with a bfloat16 base model, QLoRA with an 8-bit base model (bitsandbytes LLM.int8(), default outlier threshold), and QLoRA with a 4-bit NF4 base model (bfloat16 compute dtype). In every condition the base model was frozen and only the LoRA adapter was trained and exchanged, and the adapter itself was always kept in fp32. Compression therefore altered client memory and computation but never the quantity of data transmitted.</w:t>
      </w:r>
    </w:p>
    <w:p>
      <w:r>
        <w:rPr>
          <w:rFonts w:ascii="Times New Roman" w:hAnsi="Times New Roman"/>
          <w:b/>
          <w:sz w:val="26"/>
        </w:rPr>
        <w:t>2.3 Federated setup and data partitioning</w:t>
      </w:r>
    </w:p>
    <w:p>
      <w:r>
        <w:rPr>
          <w:rFonts w:ascii="Times New Roman" w:hAnsi="Times New Roman"/>
          <w:b w:val="0"/>
          <w:sz w:val="24"/>
        </w:rPr>
        <w:t>A federation of eight clients was simulated, with all eight participating in every round. Training data were distributed across clients using a Dirichlet(alpha) draw applied independently per task category, so that alpha controls how concentrated each category is on a few clients. Four values were swept: alpha = 0.1, 1, 10 and 100. At alpha = 0.1 the largest category accounted for 66% of a client's data on average and client dataset sizes ranged from 119 to 3,047 records; at alpha = 100 the largest category accounted for 25% and sizes ranged from 1,645 to 1,773 (Figure 2). Categories containing fewer than 150 records were upsampled with replacement before partitioning so that no client received an empty shard. Partitioning used a fixed seed (42), so all runs at a given alpha shared an identical data split and differed only in compression level and aggregation rule. Two aggregation rules were compared: FedAvg, and FedProx with a proximal coefficient mu = 0.01.</w:t>
      </w:r>
    </w:p>
    <w:p>
      <w:r>
        <w:rPr>
          <w:rFonts w:ascii="Times New Roman" w:hAnsi="Times New Roman"/>
          <w:b/>
          <w:sz w:val="26"/>
        </w:rPr>
        <w:t>2.4 Training and convergence criterion</w:t>
      </w:r>
    </w:p>
    <w:p>
      <w:r>
        <w:rPr>
          <w:rFonts w:ascii="Times New Roman" w:hAnsi="Times New Roman"/>
          <w:b w:val="0"/>
          <w:sz w:val="24"/>
        </w:rPr>
        <w:t>Clients trained with AdamW at a learning rate of 2.0e-4, a micro-batch size of 4 and gradient accumulation over 4 steps (effective batch size 16), for one local epoch per round, with sequences truncated to 512 tokens. Prompt tokens were masked out of the loss (label -100) so that only response tokens contributed; when a prompt and response together exceeded the length limit, the prompt was truncated from its start so that response tokens were always retained. This detail matters because truncating from the end can leave an example with no unmasked labels, which produced NaN losses in an earlier pilot. Training ran for at most 10 rounds and stopped early when validation loss improved by less than 1% for three consecutive rounds. Model state was checkpointed after every round so that interrupted runs could resume.</w:t>
      </w:r>
    </w:p>
    <w:p>
      <w:r>
        <w:rPr>
          <w:rFonts w:ascii="Times New Roman" w:hAnsi="Times New Roman"/>
          <w:b/>
          <w:sz w:val="26"/>
        </w:rPr>
        <w:t>2.5 Evaluation metrics</w:t>
      </w:r>
    </w:p>
    <w:p>
      <w:r>
        <w:rPr>
          <w:rFonts w:ascii="Times New Roman" w:hAnsi="Times New Roman"/>
          <w:b w:val="0"/>
          <w:sz w:val="24"/>
        </w:rPr>
        <w:t>Evaluation was performed by the server on the global held-out set rather than by individual clients, so that all conditions were scored on identical data. Seven quantities were recorded per round: validation loss, validation perplexity, round wall-clock latency, communication payload, peak GPU memory, the round index, and, at the final round only, ROUGE-L. Perplexity is the exponential of the mean token-level cross-entropy and was computed every round over the full held-out set. ROUGE-L requires autoregressive generation and is therefore expensive, so it was computed once at the final round over the 200-example stratified subsample using greedy decoding with a limit of 128 new tokens. Perplexity and ROUGE-L are complementary: the former scores the model under teacher forcing, whereas the latter scores text the model actually produced. Communication was recorded as the serialised size of the trainable parameters multiplied by the number of participating clients, and therefore counts the client-to-server direction only; the true bidirectional cost per round is twice the reported figure. Peak GPU memory was read from the CUDA allocator during each client's local training; because the simulation held all eight client models and the server model resident on a single GPU, this figure reflects the whole simulation rather than one device.</w:t>
      </w:r>
    </w:p>
    <w:p>
      <w:r>
        <w:rPr>
          <w:rFonts w:ascii="Times New Roman" w:hAnsi="Times New Roman"/>
          <w:b/>
          <w:sz w:val="26"/>
        </w:rPr>
        <w:t>2.6 Experimental design</w:t>
      </w:r>
    </w:p>
    <w:p>
      <w:r>
        <w:rPr>
          <w:rFonts w:ascii="Times New Roman" w:hAnsi="Times New Roman"/>
          <w:b w:val="0"/>
          <w:sz w:val="24"/>
        </w:rPr>
        <w:t>The design was a full factorial grid of 3 compression levels x 2 aggregation rules x 4 Dirichlet alpha values, giving 24 runs, each executed once. The primary question concerned the interaction between compression level and data heterogeneity, which is why alpha was swept across three orders of magnitude rather than fixed. The grid was originally specified with three alpha values; alpha = 100 was added after supervisory feedback in order to establish a near-IID endpoint. Earlier design iterations were revised for cost and scope: the base model was reduced from Qwen2.5-3B to Qwen2.5-0.5B-Instruct to fit the available GPU budget, and SCAFFOLD was dropped from the core design so that the compression axis could be widened, although its implementation and tests were retained in the codebase. In total the 24 runs consumed 33.7 GPU-hours.</w:t>
      </w:r>
    </w:p>
    <w:p>
      <w:r>
        <w:rPr>
          <w:rFonts w:ascii="Times New Roman" w:hAnsi="Times New Roman"/>
          <w:b/>
          <w:sz w:val="26"/>
        </w:rPr>
        <w:t>2.7 Computing environment and reproducibility</w:t>
      </w:r>
    </w:p>
    <w:p>
      <w:r>
        <w:rPr>
          <w:rFonts w:ascii="Times New Roman" w:hAnsi="Times New Roman"/>
          <w:b w:val="0"/>
          <w:sz w:val="24"/>
        </w:rPr>
        <w:t>Runs were executed on AWS EC2 GPU instances in the ap-northeast-2 region using a single NVIDIA A10G (23 GB). The 18 runs at alpha = 0.1, 1 and 10 were executed in one environment and the six alpha = 100 runs in a later, separately provisioned environment running Python 3.13.15 with [CONFIRM torch, transformers, peft, bitsandbytes, flwr, datasets versions]. The two environments are not identical: 8-bit rounds took 25.5 minutes in the first and 21.6 minutes in the second, indicating a change in the bitsandbytes kernel implementation, while LoRA and 4-bit round times were unchanged. Timing comparisons in this report are therefore restricted to runs from the first environment. All random seeds were fixed at 42. The implementation was verified by an automated test suite of 66 tests covering data preparation, partitioning, adapter wiring, aggregation, checkpointing, convergence and the analysis functions.</w:t>
      </w:r>
    </w:p>
    <w:p>
      <w:r>
        <w:rPr>
          <w:rFonts w:ascii="Times New Roman" w:hAnsi="Times New Roman"/>
          <w:b/>
          <w:sz w:val="32"/>
        </w:rPr>
        <w:t>Data management</w:t>
      </w:r>
    </w:p>
    <w:p>
      <w:r>
        <w:rPr>
          <w:rFonts w:ascii="Times New Roman" w:hAnsi="Times New Roman"/>
          <w:b w:val="0"/>
          <w:sz w:val="24"/>
        </w:rPr>
        <w:t>All code, configuration, logs and analysis scripts are version-controlled in a single Git repository (github.com/hufs0529/peft_fl_STEM_placement). The repository doubles as the experimental record: each week of the placement is preserved as its own branch (week1 to week6), so the state of the code at every stage is recoverable, and commit messages record the reason for each design change. Experimental outputs are stored as newline-delimited JSON. Each run produces {run_name}_rounds.jsonl, holding one record per round with validation loss, perplexity, round latency, communication bytes, peak GPU memory and, at the final round, ROUGE-L; and {run_name}_generations.jsonl, holding the 200 evaluated instructions with their reference and generated responses and category labels, which allows every generation metric to be recomputed without rerunning the model. Run names encode the full configuration, so a file identifies its own experimental condition. The logs and per-round checkpoints for the 18 original runs are committed on the week4-results branch (413 MB across 129 files) and the alpha = 100 logs on the week5 branch. Analysis and plotting scripts (run_experiment.py, run_alpha100.sh, analyze_interaction.py, plot_results.py) are archived alongside the data, so every figure and table in this report can be regenerated from the committed logs. For long-term preservation the repository will be [CONFIRM: archived to a DOI-issuing repository such as Zenodo / deposited in the Macquarie University research data store], and the raw environment specification captured at run time (env_alpha100.txt) is retained with it.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