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맑은 고딕" w:hAnsi="맑은 고딕" w:eastAsia="맑은 고딕"/>
          <w:b/>
          <w:color w:val="1F3A5F"/>
          <w:sz w:val="48"/>
        </w:rPr>
        <w:t>Dolly-15k FL × PEFT 연구실습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color w:val="555555"/>
          <w:sz w:val="36"/>
        </w:rPr>
        <w:t>Week 1 진행 보고서</w:t>
      </w:r>
    </w:p>
    <w:p>
      <w:pPr>
        <w:spacing w:after="80"/>
        <w:jc w:val="center"/>
      </w:pP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1"/>
        </w:rPr>
        <w:t>작성자: hufs0529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1"/>
        </w:rPr>
        <w:t>작성일: 2026-08-16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1"/>
        </w:rPr>
        <w:t>저장소: github.com/hufs0529/peft_fl_STEM_placement (branch: week1)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1F3A5F"/>
          <w:sz w:val="32"/>
        </w:rPr>
        <w:t>1. 연구질문</w:t>
      </w:r>
    </w:p>
    <w:p>
      <w:pPr>
        <w:spacing w:after="120"/>
      </w:pPr>
      <w:r>
        <w:rPr>
          <w:rFonts w:ascii="맑은 고딕" w:hAnsi="맑은 고딕" w:eastAsia="맑은 고딕"/>
          <w:b/>
          <w:i w:val="0"/>
          <w:sz w:val="24"/>
        </w:rPr>
        <w:t>FL 드리프트 교정(FedAvg → FedProx → SCAFFOLD)의 이점이 PEFT 양자화(LoRA → QLoRA)가 심해져도 유지되는가?</w:t>
      </w: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55555"/>
          <w:sz w:val="21"/>
        </w:rPr>
        <w:t>"Does Drift-Correction Sophistication Interact with PEFT Quantisation Noise in Federated LLM Fine-Tuning?"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본 프로젝트는 6주간 위 연구질문에 답하기 위한 코드베이스를 단계적으로 구축한다. 이 보고서는 그중 Week 1(모델·GPU 환경 확인 및 PEFT 배선)에서 완료한 작업을 정리한다.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1F3A5F"/>
          <w:sz w:val="32"/>
        </w:rPr>
        <w:t>2. 6주 로드맵과 Week 1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5953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Week 1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모델+GPU 환경 확인, PEFT 배선(LoRA/QLoRA/DoRA), 단일 클라이언트 loss 감소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완료 (본 보고서)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Week 2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Dolly-15k 파이프라인 + Dirichlet 파티셔닝 검증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Week 3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FedProx/SCAFFOLD 통합 + 체크포인트/수렴 기준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Week 4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Core 6조합(3 FL × 2 PEFT) 실행 + DoRA/local-epoch 진단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Week 5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상호작용 분석 + 카테고리별/수렴궤적 진단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Week 6</w:t>
            </w:r>
          </w:p>
        </w:tc>
        <w:tc>
          <w:tcPr>
            <w:tcW w:type="dxa" w:w="595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최종 리포트 및 발표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예정</w:t>
            </w:r>
          </w:p>
        </w:tc>
      </w:tr>
    </w:tbl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1F3A5F"/>
          <w:sz w:val="32"/>
        </w:rPr>
        <w:t>3. Week 1에서 수행한 작업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color w:val="1F3A5F"/>
          <w:sz w:val="26"/>
        </w:rPr>
        <w:t>3.1 프로젝트 스켈레톤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requirements.txt: </w:t>
      </w:r>
      <w:r>
        <w:rPr>
          <w:rFonts w:ascii="맑은 고딕" w:hAnsi="맑은 고딕" w:eastAsia="맑은 고딕"/>
          <w:b w:val="0"/>
          <w:sz w:val="21"/>
        </w:rPr>
        <w:t>torch, transformers, peft, bitsandbytes, flwr[simulation] 등 핵심 의존성 정의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configs/dev_config.yaml: </w:t>
      </w:r>
      <w:r>
        <w:rPr>
          <w:rFonts w:ascii="맑은 고딕" w:hAnsi="맑은 고딕" w:eastAsia="맑은 고딕"/>
          <w:b w:val="0"/>
          <w:sz w:val="21"/>
        </w:rPr>
        <w:t>Week 1~3 개발/검증 단계에서 쓸 미니어처 설정(초소형 모델, 소규모 라운드) 정의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color w:val="1F3A5F"/>
          <w:sz w:val="26"/>
        </w:rPr>
        <w:t>3.2 PEFT 배선 (src/models.py)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연구계획서 Subtask 1.1(core: LoRA/QLoRA)과 Subtask 2.1(진단: DoRA)에 필요한 3가지 PEFT 방식을 하나의 get_model(config) 함수로 통합했다.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LoRA: </w:t>
      </w:r>
      <w:r>
        <w:rPr>
          <w:rFonts w:ascii="맑은 고딕" w:hAnsi="맑은 고딕" w:eastAsia="맑은 고딕"/>
          <w:b w:val="0"/>
          <w:sz w:val="21"/>
        </w:rPr>
        <w:t>r=8, α=16, dropout=0.05, target_modules=["q_proj","v_proj"]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QLoRA: </w:t>
      </w:r>
      <w:r>
        <w:rPr>
          <w:rFonts w:ascii="맑은 고딕" w:hAnsi="맑은 고딕" w:eastAsia="맑은 고딕"/>
          <w:b w:val="0"/>
          <w:sz w:val="21"/>
        </w:rPr>
        <w:t>동일한 LoRA 설정 + BitsAndBytesConfig(load_in_4bit=True, bnb_4bit_quant_type="nf4")로 4bit 양자화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DoRA: </w:t>
      </w:r>
      <w:r>
        <w:rPr>
          <w:rFonts w:ascii="맑은 고딕" w:hAnsi="맑은 고딕" w:eastAsia="맑은 고딕"/>
          <w:b w:val="0"/>
          <w:sz w:val="21"/>
        </w:rPr>
        <w:t>LoRA와 압축률은 같지만 양자화가 없는 진단 대조군(use_dora=True) — Task 2에서 "상호작용이 양자화 때문인지 압축 자체 때문인지"를 가르는 데 사용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예외 처리: </w:t>
      </w:r>
      <w:r>
        <w:rPr>
          <w:rFonts w:ascii="맑은 고딕" w:hAnsi="맑은 고딕" w:eastAsia="맑은 고딕"/>
          <w:b w:val="0"/>
          <w:sz w:val="21"/>
        </w:rPr>
        <w:t>lora/qlora/dora 이외의 값을 넘기면 ValueError 발생(의도된 동작)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color w:val="1F3A5F"/>
          <w:sz w:val="26"/>
        </w:rPr>
        <w:t>3.3 FL 파라미터 헬퍼 (src/communication.py)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라운드트립(파라미터 송수신) 자체는 Week 2 스코프이지만, 학습 가능한 파라미터만 추출하는 get_trainable_state_dict()는 이번 주 wiring 테스트에 바로 필요해 먼저 구현했다. PEFT로 모델을 감싸면 베이스 모델은 동결되고 어댑터 파라미터만 requires_grad=True가 되는데, 이 함수가 그 파라미터만 골라내는 지점으로, 이후 FL 통신 비용을 줄이는 핵심 장치가 된다.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color w:val="1F3A5F"/>
          <w:sz w:val="26"/>
        </w:rPr>
        <w:t>3.4 검증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tests/test_model_wiring.py: </w:t>
      </w:r>
      <w:r>
        <w:rPr>
          <w:rFonts w:ascii="맑은 고딕" w:hAnsi="맑은 고딕" w:eastAsia="맑은 고딕"/>
          <w:b w:val="0"/>
          <w:sz w:val="21"/>
        </w:rPr>
        <w:t>LoRA/DoRA에 학습 가능한 파라미터가 정상적으로 잡히는지, forward pass가 에러 없이 도는지, 정의되지 않은 PEFT type이 ValueError를 내는지 확인. QLoRA는 bitsandbytes 4bit 제약으로 GPU 환경에서만 테스트(현재 환경에서는 skip).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scripts/run_dev_pilot.py: </w:t>
      </w:r>
      <w:r>
        <w:rPr>
          <w:rFonts w:ascii="맑은 고딕" w:hAnsi="맑은 고딕" w:eastAsia="맑은 고딕"/>
          <w:b w:val="0"/>
          <w:sz w:val="21"/>
        </w:rPr>
        <w:t>실제 모델로 단일 클라이언트를 5스텝 학습시켜 loss가 실제로 감소하는지 확인 (FL 없이 순수 PEFT 배선만 검증).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color w:val="1F3A5F"/>
          <w:sz w:val="26"/>
        </w:rPr>
        <w:t>3.5 설계 노트 — 개발용 모델 선정 이유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처음에는 gpt2를 개발용 모델로 쓰려 했으나, GPT-2의 어텐션은 결합형 c_attn(Conv1D) 구조라 target_modules=["q_proj","v_proj"]와 맞지 않아 LoRA 주입 자체가 실패했다. 본실험 모델(Qwen2.5-3B-Instruct)과 동일한 q_proj/v_proj 구조를 가진 hf-internal-testing/tiny-random-LlamaForCausalLM으로 교체하여 문제를 해결했다. 작지만 구조가 같은 모델을 써야 Week 1의 wiring 검증이 본실험에 대해서도 실제로 유효하다.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1F3A5F"/>
          <w:sz w:val="32"/>
        </w:rPr>
        <w:t>4. 실행 방법 및 결과</w:t>
      </w:r>
    </w:p>
    <w:p>
      <w:pPr>
        <w:spacing w:after="200"/>
        <w:ind w:left="283"/>
        <w:shd w:val="clear" w:color="auto" w:fill="F2F2F2"/>
      </w:pPr>
      <w:r>
        <w:rPr>
          <w:rFonts w:ascii="Consolas" w:hAnsi="Consolas" w:eastAsia="Consolas"/>
          <w:b w:val="0"/>
          <w:color w:val="202020"/>
          <w:sz w:val="19"/>
        </w:rPr>
        <w:t>pip install -r requirements.txt</w:t>
        <w:br/>
      </w:r>
      <w:r>
        <w:rPr>
          <w:rFonts w:ascii="Consolas" w:hAnsi="Consolas" w:eastAsia="Consolas"/>
          <w:b w:val="0"/>
          <w:color w:val="202020"/>
          <w:sz w:val="19"/>
        </w:rPr>
        <w:t>pytest tests/test_model_wiring.py -v</w:t>
        <w:br/>
      </w:r>
      <w:r>
        <w:rPr>
          <w:rFonts w:ascii="Consolas" w:hAnsi="Consolas" w:eastAsia="Consolas"/>
          <w:b w:val="0"/>
          <w:color w:val="202020"/>
          <w:sz w:val="19"/>
        </w:rPr>
        <w:t>python scripts/run_dev_pilot.py --stage single_client</w:t>
      </w:r>
    </w:p>
    <w:p>
      <w:pPr>
        <w:spacing w:after="120"/>
      </w:pPr>
      <w:r>
        <w:rPr>
          <w:rFonts w:ascii="맑은 고딕" w:hAnsi="맑은 고딕" w:eastAsia="맑은 고딕"/>
          <w:b/>
          <w:i w:val="0"/>
          <w:sz w:val="22"/>
        </w:rPr>
        <w:t>테스트 결과: 4 passed, 1 skipped (QLoRA — GPU 환경 필요)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run_dev_pilot.py 실행 결과, 5스텝에 걸쳐 loss가 지속적으로 감소함을 확인하여 PEFT 배선이 실제 학습 가능한 상태임을 검증했다.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color w:val="1F3A5F"/>
          <w:sz w:val="32"/>
        </w:rPr>
        <w:t>5. 다음 주(Week 2) 계획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Week 2의 목표는 "연합학습 클라이언트에 나눠줄 데이터를 어떻게 만들 것인가"이다. Dolly-15k 원본 데이터를 불러와 토큰화하고, 클라이언트 간에 실제 현실처럼 불균등(non-IID)하게 나누는 파이프라인을 구축한다.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color w:val="1F3A5F"/>
          <w:sz w:val="26"/>
        </w:rPr>
        <w:t>5.1 Dolly-15k 데이터 파이프라인 (src/data.py)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load_raw_dolly15k(): </w:t>
      </w:r>
      <w:r>
        <w:rPr>
          <w:rFonts w:ascii="맑은 고딕" w:hAnsi="맑은 고딕" w:eastAsia="맑은 고딕"/>
          <w:b w:val="0"/>
          <w:sz w:val="21"/>
        </w:rPr>
        <w:t>HuggingFace datasets로 databricks-dolly-15k 원본 로딩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build_holdout_split(): </w:t>
      </w:r>
      <w:r>
        <w:rPr>
          <w:rFonts w:ascii="맑은 고딕" w:hAnsi="맑은 고딕" w:eastAsia="맑은 고딕"/>
          <w:b w:val="0"/>
          <w:sz w:val="21"/>
        </w:rPr>
        <w:t>클라이언트에 데이터를 나누기 전, 카테고리별로 균등하게 전역 held-out 평가셋을 먼저 떼어놓음 — 이후 Subtask 2.3의 카테고리별 성능 분해가 가능하려면 평가셋 자체가 카테고리 편향 없이 구성돼야 하기 때문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tokenize_example(): </w:t>
      </w:r>
      <w:r>
        <w:rPr>
          <w:rFonts w:ascii="맑은 고딕" w:hAnsi="맑은 고딕" w:eastAsia="맑은 고딕"/>
          <w:b w:val="0"/>
          <w:sz w:val="21"/>
        </w:rPr>
        <w:t>prompt 구간은 라벨을 -100으로 마스킹해 loss 계산에서 제외하고, response 구간에 대해서만 loss를 계산하도록 토큰화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build_client_dataloaders(): </w:t>
      </w:r>
      <w:r>
        <w:rPr>
          <w:rFonts w:ascii="맑은 고딕" w:hAnsi="맑은 고딕" w:eastAsia="맑은 고딕"/>
          <w:b w:val="0"/>
          <w:sz w:val="21"/>
        </w:rPr>
        <w:t>partitioning.py의 분배 결과에 토큰화를 적용해 클라이언트별 DataLoader로 변환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color w:val="1F3A5F"/>
          <w:sz w:val="26"/>
        </w:rPr>
        <w:t>5.2 Dirichlet 비IID 파티셔닝 (src/partitioning.py)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연구계획서 Subtask 1.1: 8개 클라이언트에게 Dolly-15k를 "태스크 카테고리" 기준으로 Dirichlet(α=0.5) 분포를 이용해 불균등 분배한다(α는 고정값, 스윕하지 않음). α가 작을수록(예: 0.1) 클라이언트 간 데이터 분포가 강하게 치우치고(강한 non-IID), α가 클수록(예: 1.0) 거의 균등(near-IID)해진다 — 이렇게 의도적으로 불균등한 환경을 만들어야 FedAvg 대비 FedProx/SCAFFOLD의 교정 효과를 의미 있게 관찰할 수 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최소 카테고리 임계값 리샘플링: </w:t>
      </w:r>
      <w:r>
        <w:rPr>
          <w:rFonts w:ascii="맑은 고딕" w:hAnsi="맑은 고딕" w:eastAsia="맑은 고딕"/>
          <w:b w:val="0"/>
          <w:sz w:val="21"/>
        </w:rPr>
        <w:t>카테고리별 표본 수가 min_category_threshold 미만이면 해당 카테고리를 업샘플링(리샘플링)하여 모든 클라이언트가 각 카테고리에서 최소한의 학습 샘플을 확보하도록 함 — 연구계획서 §5.2, §6 리스크 대응 항목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color w:val="1F3A5F"/>
          <w:sz w:val="26"/>
        </w:rPr>
        <w:t>5.3 검증 계획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tests/test_roundtrip.py: </w:t>
      </w:r>
      <w:r>
        <w:rPr>
          <w:rFonts w:ascii="맑은 고딕" w:hAnsi="맑은 고딕" w:eastAsia="맑은 고딕"/>
          <w:b w:val="0"/>
          <w:sz w:val="21"/>
        </w:rPr>
        <w:t>FL 파라미터를 state_dict → ndarrays → state_dict로 왕복 변환했을 때 값과 키 순서가 그대로 보존되는지 확인 (서버-클라이언트 간 파라미터 전송의 정확성을 보장하는 기초 테스트)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tests/test_partitioning.py: </w:t>
      </w:r>
      <w:r>
        <w:rPr>
          <w:rFonts w:ascii="맑은 고딕" w:hAnsi="맑은 고딕" w:eastAsia="맑은 고딕"/>
          <w:b w:val="0"/>
          <w:sz w:val="21"/>
        </w:rPr>
        <w:t>최소 카테고리 임계값 리샘플링이 정상 동작하는지, α가 작을수록 실제로 클라이언트 간 분포가 더 비IID해지는지 정량적으로 확인</w:t>
      </w:r>
    </w:p>
    <w:p>
      <w:pPr>
        <w:spacing w:after="80"/>
      </w:pP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— 이하 여백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