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0325"/>
      </w:tblGrid>
      <w:tr>
        <w:tc>
          <w:tcPr>
            <w:tcW w:type="dxa" w:w="10325"/>
            <w:tcBorders>
              <w:top w:val="nil"/>
              <w:left w:val="nil"/>
              <w:bottom w:sz="12" w:color="1E7032" w:val="single"/>
              <w:right w:val="nil"/>
              <w:insideH w:val="nil"/>
              <w:insideV w:val="nil"/>
            </w:tcBorders>
            <w:tcMar>
              <w:top w:w="0" w:type="dxa"/>
              <w:bottom w:w="0" w:type="dxa"/>
              <w:start w:w="0" w:type="dxa"/>
              <w:end w:w="0" w:type="dxa"/>
            </w:tcMar>
          </w:tcPr>
          <w:p>
            <w:r/>
            <w:r>
              <w:rPr>
                <w:b w:val="0"/>
                <w:i w:val="0"/>
                <w:sz w:val="2"/>
              </w:rPr>
            </w:r>
          </w:p>
        </w:tc>
      </w:tr>
    </w:tbl>
    <w:p>
      <w:pPr>
        <w:spacing w:after="120"/>
      </w:pPr>
      <w:r>
        <w:rPr>
          <w:rFonts w:ascii="NanumSquareOTF" w:hAnsi="NanumSquareOTF" w:eastAsia="NanumSquareOTF"/>
          <w:b/>
          <w:i w:val="0"/>
          <w:color w:val="1D1D1B"/>
          <w:sz w:val="44"/>
        </w:rPr>
        <w:t>외국인 '팔자'는 반도체 고점 신호인가? — 36조원 매도, 개인이 흡수한 장세의 의미와 투자전략</w:t>
      </w:r>
    </w:p>
    <w:tbl>
      <w:tblPr>
        <w:tblW w:type="auto" w:w="0"/>
        <w:jc w:val="center"/>
        <w:tblLayout w:type="fixed"/>
        <w:tblLook w:firstColumn="1" w:firstRow="1" w:lastColumn="0" w:lastRow="0" w:noHBand="0" w:noVBand="1" w:val="04A0"/>
      </w:tblPr>
      <w:tblGrid>
        <w:gridCol w:w="8352"/>
        <w:gridCol w:w="2880"/>
      </w:tblGrid>
      <w:tr>
        <w:tc>
          <w:tcPr>
            <w:tcW w:type="dxa" w:w="5162"/>
            <w:shd w:fill="1E7032"/>
            <w:tcBorders>
              <w:top w:val="nil"/>
              <w:left w:val="nil"/>
              <w:bottom w:val="nil"/>
              <w:right w:val="nil"/>
              <w:insideH w:val="nil"/>
              <w:insideV w:val="nil"/>
            </w:tcBorders>
            <w:tcMar>
              <w:top w:w="0" w:type="dxa"/>
              <w:bottom w:w="0" w:type="dxa"/>
              <w:start w:w="0" w:type="dxa"/>
              <w:end w:w="0" w:type="dxa"/>
            </w:tcMar>
          </w:tcPr>
          <w:p>
            <w:r/>
            <w:r>
              <w:rPr>
                <w:b w:val="0"/>
                <w:i w:val="0"/>
                <w:sz w:val="2"/>
              </w:rPr>
            </w:r>
          </w:p>
        </w:tc>
        <w:tc>
          <w:tcPr>
            <w:tcW w:type="dxa" w:w="5162"/>
            <w:shd w:fill="E1D601"/>
            <w:tcBorders>
              <w:top w:val="nil"/>
              <w:left w:val="nil"/>
              <w:bottom w:val="nil"/>
              <w:right w:val="nil"/>
              <w:insideH w:val="nil"/>
              <w:insideV w:val="nil"/>
            </w:tcBorders>
            <w:tcMar>
              <w:top w:w="0" w:type="dxa"/>
              <w:bottom w:w="0" w:type="dxa"/>
              <w:start w:w="0" w:type="dxa"/>
              <w:end w:w="0" w:type="dxa"/>
            </w:tcMar>
          </w:tcPr>
          <w:p>
            <w:r/>
            <w:r>
              <w:rPr>
                <w:b w:val="0"/>
                <w:i w:val="0"/>
                <w:sz w:val="2"/>
              </w:rPr>
            </w:r>
          </w:p>
        </w:tc>
      </w:tr>
    </w:tbl>
    <w:tbl>
      <w:tblPr>
        <w:tblW w:type="auto" w:w="0"/>
        <w:jc w:val="center"/>
        <w:tblLook w:firstColumn="1" w:firstRow="1" w:lastColumn="0" w:lastRow="0" w:noHBand="0" w:noVBand="1" w:val="04A0"/>
      </w:tblPr>
      <w:tblGrid>
        <w:gridCol w:w="10325"/>
      </w:tblGrid>
      <w:tr>
        <w:tc>
          <w:tcPr>
            <w:tcW w:type="dxa" w:w="10325"/>
            <w:shd w:fill="EFF5EC"/>
            <w:tcBorders>
              <w:top w:val="nil"/>
              <w:left w:val="nil"/>
              <w:bottom w:val="nil"/>
              <w:right w:val="nil"/>
              <w:insideH w:val="nil"/>
              <w:insideV w:val="nil"/>
            </w:tcBorders>
            <w:tcMar>
              <w:top w:w="180" w:type="dxa"/>
              <w:bottom w:w="180" w:type="dxa"/>
              <w:start w:w="220" w:type="dxa"/>
              <w:end w:w="220" w:type="dxa"/>
            </w:tcMar>
          </w:tcPr>
          <w:p>
            <w:r/>
            <w:r>
              <w:rPr>
                <w:rFonts w:ascii="NanumSquareOTF" w:hAnsi="NanumSquareOTF" w:eastAsia="NanumSquareOTF"/>
                <w:b/>
                <w:i w:val="0"/>
                <w:color w:val="255A1B"/>
                <w:sz w:val="36"/>
              </w:rPr>
              <w:t>외국인 차익실현 vs. 제도적 수급 회복 기대 — 반도체·증권주 관점의 비교 평가</w:t>
            </w:r>
          </w:p>
        </w:tc>
      </w:tr>
    </w:tbl>
    <w:tbl>
      <w:tblPr>
        <w:tblW w:type="auto" w:w="0"/>
        <w:jc w:val="center"/>
        <w:tblLayout w:type="fixed"/>
        <w:tblLook w:firstColumn="1" w:firstRow="1" w:lastColumn="0" w:lastRow="0" w:noHBand="0" w:noVBand="1" w:val="04A0"/>
      </w:tblPr>
      <w:tblGrid>
        <w:gridCol w:w="1475"/>
        <w:gridCol w:w="1475"/>
        <w:gridCol w:w="1475"/>
        <w:gridCol w:w="1475"/>
        <w:gridCol w:w="1475"/>
        <w:gridCol w:w="1475"/>
        <w:gridCol w:w="1475"/>
      </w:tblGrid>
      <w:tr>
        <w:tc>
          <w:tcPr>
            <w:tcW w:type="dxa" w:w="1475"/>
            <w:shd w:fill="1E7032"/>
            <w:tcMar>
              <w:top w:w="70" w:type="dxa"/>
              <w:bottom w:w="70" w:type="dxa"/>
              <w:start w:w="80" w:type="dxa"/>
              <w:end w:w="80" w:type="dxa"/>
            </w:tcMar>
          </w:tcPr>
          <w:p>
            <w:r/>
            <w:r>
              <w:rPr>
                <w:rFonts w:ascii="NanumSquareOTF" w:hAnsi="NanumSquareOTF" w:eastAsia="NanumSquareOTF"/>
                <w:b/>
                <w:i w:val="0"/>
                <w:color w:val="FFFFFF"/>
                <w:sz w:val="20"/>
              </w:rPr>
              <w:t>종목명</w:t>
            </w:r>
          </w:p>
        </w:tc>
        <w:tc>
          <w:tcPr>
            <w:tcW w:type="dxa" w:w="1475"/>
            <w:shd w:fill="1E7032"/>
            <w:tcMar>
              <w:top w:w="70" w:type="dxa"/>
              <w:bottom w:w="70" w:type="dxa"/>
              <w:start w:w="80" w:type="dxa"/>
              <w:end w:w="80" w:type="dxa"/>
            </w:tcMar>
          </w:tcPr>
          <w:p>
            <w:r/>
            <w:r>
              <w:rPr>
                <w:rFonts w:ascii="NanumSquareOTF" w:hAnsi="NanumSquareOTF" w:eastAsia="NanumSquareOTF"/>
                <w:b/>
                <w:i w:val="0"/>
                <w:color w:val="FFFFFF"/>
                <w:sz w:val="20"/>
              </w:rPr>
              <w:t>티커</w:t>
            </w:r>
          </w:p>
        </w:tc>
        <w:tc>
          <w:tcPr>
            <w:tcW w:type="dxa" w:w="1475"/>
            <w:shd w:fill="1E7032"/>
            <w:tcMar>
              <w:top w:w="70" w:type="dxa"/>
              <w:bottom w:w="70" w:type="dxa"/>
              <w:start w:w="80" w:type="dxa"/>
              <w:end w:w="80" w:type="dxa"/>
            </w:tcMar>
          </w:tcPr>
          <w:p>
            <w:r/>
            <w:r>
              <w:rPr>
                <w:rFonts w:ascii="NanumSquareOTF" w:hAnsi="NanumSquareOTF" w:eastAsia="NanumSquareOTF"/>
                <w:b/>
                <w:i w:val="0"/>
                <w:color w:val="FFFFFF"/>
                <w:sz w:val="20"/>
              </w:rPr>
              <w:t>시장</w:t>
            </w:r>
          </w:p>
        </w:tc>
        <w:tc>
          <w:tcPr>
            <w:tcW w:type="dxa" w:w="1475"/>
            <w:shd w:fill="1E7032"/>
            <w:tcMar>
              <w:top w:w="70" w:type="dxa"/>
              <w:bottom w:w="70" w:type="dxa"/>
              <w:start w:w="80" w:type="dxa"/>
              <w:end w:w="80" w:type="dxa"/>
            </w:tcMar>
          </w:tcPr>
          <w:p>
            <w:r/>
            <w:r>
              <w:rPr>
                <w:rFonts w:ascii="NanumSquareOTF" w:hAnsi="NanumSquareOTF" w:eastAsia="NanumSquareOTF"/>
                <w:b/>
                <w:i w:val="0"/>
                <w:color w:val="FFFFFF"/>
                <w:sz w:val="20"/>
              </w:rPr>
              <w:t>의견</w:t>
            </w:r>
          </w:p>
        </w:tc>
        <w:tc>
          <w:tcPr>
            <w:tcW w:type="dxa" w:w="1475"/>
            <w:shd w:fill="1E7032"/>
            <w:tcMar>
              <w:top w:w="70" w:type="dxa"/>
              <w:bottom w:w="70" w:type="dxa"/>
              <w:start w:w="80" w:type="dxa"/>
              <w:end w:w="80" w:type="dxa"/>
            </w:tcMar>
          </w:tcPr>
          <w:p>
            <w:r/>
            <w:r>
              <w:rPr>
                <w:rFonts w:ascii="NanumSquareOTF" w:hAnsi="NanumSquareOTF" w:eastAsia="NanumSquareOTF"/>
                <w:b/>
                <w:i w:val="0"/>
                <w:color w:val="FFFFFF"/>
                <w:sz w:val="20"/>
              </w:rPr>
              <w:t>점수</w:t>
            </w:r>
          </w:p>
        </w:tc>
        <w:tc>
          <w:tcPr>
            <w:tcW w:type="dxa" w:w="1475"/>
            <w:shd w:fill="1E7032"/>
            <w:tcMar>
              <w:top w:w="70" w:type="dxa"/>
              <w:bottom w:w="70" w:type="dxa"/>
              <w:start w:w="80" w:type="dxa"/>
              <w:end w:w="80" w:type="dxa"/>
            </w:tcMar>
          </w:tcPr>
          <w:p>
            <w:r/>
            <w:r>
              <w:rPr>
                <w:rFonts w:ascii="NanumSquareOTF" w:hAnsi="NanumSquareOTF" w:eastAsia="NanumSquareOTF"/>
                <w:b/>
                <w:i w:val="0"/>
                <w:color w:val="FFFFFF"/>
                <w:sz w:val="20"/>
              </w:rPr>
              <w:t>신뢰도</w:t>
            </w:r>
          </w:p>
        </w:tc>
        <w:tc>
          <w:tcPr>
            <w:tcW w:type="dxa" w:w="1475"/>
            <w:shd w:fill="1E7032"/>
            <w:tcMar>
              <w:top w:w="70" w:type="dxa"/>
              <w:bottom w:w="70" w:type="dxa"/>
              <w:start w:w="80" w:type="dxa"/>
              <w:end w:w="80" w:type="dxa"/>
            </w:tcMar>
          </w:tcPr>
          <w:p>
            <w:r/>
            <w:r>
              <w:rPr>
                <w:rFonts w:ascii="NanumSquareOTF" w:hAnsi="NanumSquareOTF" w:eastAsia="NanumSquareOTF"/>
                <w:b/>
                <w:i w:val="0"/>
                <w:color w:val="FFFFFF"/>
                <w:sz w:val="20"/>
              </w:rPr>
              <w:t>위험도</w:t>
            </w:r>
          </w:p>
        </w:tc>
      </w:tr>
      <w:tr>
        <w:tc>
          <w:tcPr>
            <w:tcW w:type="dxa" w:w="1475"/>
            <w:shd w:fill="C9D1C8"/>
            <w:tcMar>
              <w:top w:w="70" w:type="dxa"/>
              <w:bottom w:w="70" w:type="dxa"/>
              <w:start w:w="80" w:type="dxa"/>
              <w:end w:w="80" w:type="dxa"/>
            </w:tcMar>
          </w:tcPr>
          <w:p>
            <w:r/>
            <w:r>
              <w:rPr>
                <w:rFonts w:ascii="NanumSquareOTF" w:hAnsi="NanumSquareOTF" w:eastAsia="NanumSquareOTF"/>
                <w:b w:val="0"/>
                <w:i w:val="0"/>
                <w:color w:val="1D1D1B"/>
                <w:sz w:val="19"/>
              </w:rPr>
              <w:t>삼성전자</w:t>
            </w:r>
          </w:p>
        </w:tc>
        <w:tc>
          <w:tcPr>
            <w:tcW w:type="dxa" w:w="1475"/>
            <w:shd w:fill="C9D1C8"/>
            <w:tcMar>
              <w:top w:w="70" w:type="dxa"/>
              <w:bottom w:w="70" w:type="dxa"/>
              <w:start w:w="80" w:type="dxa"/>
              <w:end w:w="80" w:type="dxa"/>
            </w:tcMar>
          </w:tcPr>
          <w:p>
            <w:r/>
            <w:r>
              <w:rPr>
                <w:rFonts w:ascii="NanumSquareOTF" w:hAnsi="NanumSquareOTF" w:eastAsia="NanumSquareOTF"/>
                <w:b w:val="0"/>
                <w:i w:val="0"/>
                <w:color w:val="1D1D1B"/>
                <w:sz w:val="19"/>
              </w:rPr>
              <w:t>005930</w:t>
            </w:r>
          </w:p>
        </w:tc>
        <w:tc>
          <w:tcPr>
            <w:tcW w:type="dxa" w:w="1475"/>
            <w:shd w:fill="C9D1C8"/>
            <w:tcMar>
              <w:top w:w="70" w:type="dxa"/>
              <w:bottom w:w="70" w:type="dxa"/>
              <w:start w:w="80" w:type="dxa"/>
              <w:end w:w="80" w:type="dxa"/>
            </w:tcMar>
          </w:tcPr>
          <w:p>
            <w:r/>
            <w:r>
              <w:rPr>
                <w:rFonts w:ascii="NanumSquareOTF" w:hAnsi="NanumSquareOTF" w:eastAsia="NanumSquareOTF"/>
                <w:b w:val="0"/>
                <w:i w:val="0"/>
                <w:color w:val="1D1D1B"/>
                <w:sz w:val="19"/>
              </w:rPr>
              <w:t>KOSPI</w:t>
            </w:r>
          </w:p>
        </w:tc>
        <w:tc>
          <w:tcPr>
            <w:tcW w:type="dxa" w:w="1475"/>
            <w:shd w:fill="C9D1C8"/>
            <w:tcMar>
              <w:top w:w="70" w:type="dxa"/>
              <w:bottom w:w="70" w:type="dxa"/>
              <w:start w:w="80" w:type="dxa"/>
              <w:end w:w="80" w:type="dxa"/>
            </w:tcMar>
          </w:tcPr>
          <w:p>
            <w:r/>
            <w:r>
              <w:rPr>
                <w:rFonts w:ascii="NanumSquareOTF" w:hAnsi="NanumSquareOTF" w:eastAsia="NanumSquareOTF"/>
                <w:b w:val="0"/>
                <w:i w:val="0"/>
                <w:color w:val="1D1D1B"/>
                <w:sz w:val="19"/>
              </w:rPr>
              <w:t>강력 매수</w:t>
            </w:r>
          </w:p>
        </w:tc>
        <w:tc>
          <w:tcPr>
            <w:tcW w:type="dxa" w:w="1475"/>
            <w:shd w:fill="C9D1C8"/>
            <w:tcMar>
              <w:top w:w="70" w:type="dxa"/>
              <w:bottom w:w="70" w:type="dxa"/>
              <w:start w:w="80" w:type="dxa"/>
              <w:end w:w="80" w:type="dxa"/>
            </w:tcMar>
          </w:tcPr>
          <w:p>
            <w:r/>
            <w:r>
              <w:rPr>
                <w:rFonts w:ascii="NanumSquareOTF" w:hAnsi="NanumSquareOTF" w:eastAsia="NanumSquareOTF"/>
                <w:b w:val="0"/>
                <w:i w:val="0"/>
                <w:color w:val="1D1D1B"/>
                <w:sz w:val="19"/>
              </w:rPr>
              <w:t>13.00</w:t>
            </w:r>
          </w:p>
        </w:tc>
        <w:tc>
          <w:tcPr>
            <w:tcW w:type="dxa" w:w="1475"/>
            <w:shd w:fill="C9D1C8"/>
            <w:tcMar>
              <w:top w:w="70" w:type="dxa"/>
              <w:bottom w:w="70" w:type="dxa"/>
              <w:start w:w="80" w:type="dxa"/>
              <w:end w:w="80" w:type="dxa"/>
            </w:tcMar>
          </w:tcPr>
          <w:p>
            <w:r/>
            <w:r>
              <w:rPr>
                <w:rFonts w:ascii="NanumSquareOTF" w:hAnsi="NanumSquareOTF" w:eastAsia="NanumSquareOTF"/>
                <w:b w:val="0"/>
                <w:i w:val="0"/>
                <w:color w:val="1D1D1B"/>
                <w:sz w:val="19"/>
              </w:rPr>
              <w:t>0.95</w:t>
            </w:r>
          </w:p>
        </w:tc>
        <w:tc>
          <w:tcPr>
            <w:tcW w:type="dxa" w:w="1475"/>
            <w:shd w:fill="C9D1C8"/>
            <w:tcMar>
              <w:top w:w="70" w:type="dxa"/>
              <w:bottom w:w="70" w:type="dxa"/>
              <w:start w:w="80" w:type="dxa"/>
              <w:end w:w="80" w:type="dxa"/>
            </w:tcMar>
          </w:tcPr>
          <w:p>
            <w:r/>
            <w:r>
              <w:rPr>
                <w:rFonts w:ascii="NanumSquareOTF" w:hAnsi="NanumSquareOTF" w:eastAsia="NanumSquareOTF"/>
                <w:b w:val="0"/>
                <w:i w:val="0"/>
                <w:color w:val="1D1D1B"/>
                <w:sz w:val="19"/>
              </w:rPr>
              <w:t>높음</w:t>
            </w:r>
          </w:p>
        </w:tc>
      </w:tr>
      <w:tr>
        <w:tc>
          <w:tcPr>
            <w:tcW w:type="dxa" w:w="1475"/>
            <w:shd w:fill="DCE3DA"/>
            <w:tcMar>
              <w:top w:w="70" w:type="dxa"/>
              <w:bottom w:w="70" w:type="dxa"/>
              <w:start w:w="80" w:type="dxa"/>
              <w:end w:w="80" w:type="dxa"/>
            </w:tcMar>
          </w:tcPr>
          <w:p>
            <w:r/>
            <w:r>
              <w:rPr>
                <w:rFonts w:ascii="NanumSquareOTF" w:hAnsi="NanumSquareOTF" w:eastAsia="NanumSquareOTF"/>
                <w:b w:val="0"/>
                <w:i w:val="0"/>
                <w:color w:val="1D1D1B"/>
                <w:sz w:val="19"/>
              </w:rPr>
              <w:t>SK하이닉스</w:t>
            </w:r>
          </w:p>
        </w:tc>
        <w:tc>
          <w:tcPr>
            <w:tcW w:type="dxa" w:w="1475"/>
            <w:shd w:fill="DCE3DA"/>
            <w:tcMar>
              <w:top w:w="70" w:type="dxa"/>
              <w:bottom w:w="70" w:type="dxa"/>
              <w:start w:w="80" w:type="dxa"/>
              <w:end w:w="80" w:type="dxa"/>
            </w:tcMar>
          </w:tcPr>
          <w:p>
            <w:r/>
            <w:r>
              <w:rPr>
                <w:rFonts w:ascii="NanumSquareOTF" w:hAnsi="NanumSquareOTF" w:eastAsia="NanumSquareOTF"/>
                <w:b w:val="0"/>
                <w:i w:val="0"/>
                <w:color w:val="1D1D1B"/>
                <w:sz w:val="19"/>
              </w:rPr>
              <w:t>000660</w:t>
            </w:r>
          </w:p>
        </w:tc>
        <w:tc>
          <w:tcPr>
            <w:tcW w:type="dxa" w:w="1475"/>
            <w:shd w:fill="DCE3DA"/>
            <w:tcMar>
              <w:top w:w="70" w:type="dxa"/>
              <w:bottom w:w="70" w:type="dxa"/>
              <w:start w:w="80" w:type="dxa"/>
              <w:end w:w="80" w:type="dxa"/>
            </w:tcMar>
          </w:tcPr>
          <w:p>
            <w:r/>
            <w:r>
              <w:rPr>
                <w:rFonts w:ascii="NanumSquareOTF" w:hAnsi="NanumSquareOTF" w:eastAsia="NanumSquareOTF"/>
                <w:b w:val="0"/>
                <w:i w:val="0"/>
                <w:color w:val="1D1D1B"/>
                <w:sz w:val="19"/>
              </w:rPr>
              <w:t>KOSPI</w:t>
            </w:r>
          </w:p>
        </w:tc>
        <w:tc>
          <w:tcPr>
            <w:tcW w:type="dxa" w:w="1475"/>
            <w:shd w:fill="DCE3DA"/>
            <w:tcMar>
              <w:top w:w="70" w:type="dxa"/>
              <w:bottom w:w="70" w:type="dxa"/>
              <w:start w:w="80" w:type="dxa"/>
              <w:end w:w="80" w:type="dxa"/>
            </w:tcMar>
          </w:tcPr>
          <w:p>
            <w:r/>
            <w:r>
              <w:rPr>
                <w:rFonts w:ascii="NanumSquareOTF" w:hAnsi="NanumSquareOTF" w:eastAsia="NanumSquareOTF"/>
                <w:b w:val="0"/>
                <w:i w:val="0"/>
                <w:color w:val="1D1D1B"/>
                <w:sz w:val="19"/>
              </w:rPr>
              <w:t>강력 매수</w:t>
            </w:r>
          </w:p>
        </w:tc>
        <w:tc>
          <w:tcPr>
            <w:tcW w:type="dxa" w:w="1475"/>
            <w:shd w:fill="DCE3DA"/>
            <w:tcMar>
              <w:top w:w="70" w:type="dxa"/>
              <w:bottom w:w="70" w:type="dxa"/>
              <w:start w:w="80" w:type="dxa"/>
              <w:end w:w="80" w:type="dxa"/>
            </w:tcMar>
          </w:tcPr>
          <w:p>
            <w:r/>
            <w:r>
              <w:rPr>
                <w:rFonts w:ascii="NanumSquareOTF" w:hAnsi="NanumSquareOTF" w:eastAsia="NanumSquareOTF"/>
                <w:b w:val="0"/>
                <w:i w:val="0"/>
                <w:color w:val="1D1D1B"/>
                <w:sz w:val="19"/>
              </w:rPr>
              <w:t>13.00</w:t>
            </w:r>
          </w:p>
        </w:tc>
        <w:tc>
          <w:tcPr>
            <w:tcW w:type="dxa" w:w="1475"/>
            <w:shd w:fill="DCE3DA"/>
            <w:tcMar>
              <w:top w:w="70" w:type="dxa"/>
              <w:bottom w:w="70" w:type="dxa"/>
              <w:start w:w="80" w:type="dxa"/>
              <w:end w:w="80" w:type="dxa"/>
            </w:tcMar>
          </w:tcPr>
          <w:p>
            <w:r/>
            <w:r>
              <w:rPr>
                <w:rFonts w:ascii="NanumSquareOTF" w:hAnsi="NanumSquareOTF" w:eastAsia="NanumSquareOTF"/>
                <w:b w:val="0"/>
                <w:i w:val="0"/>
                <w:color w:val="1D1D1B"/>
                <w:sz w:val="19"/>
              </w:rPr>
              <w:t>0.95</w:t>
            </w:r>
          </w:p>
        </w:tc>
        <w:tc>
          <w:tcPr>
            <w:tcW w:type="dxa" w:w="1475"/>
            <w:shd w:fill="DCE3DA"/>
            <w:tcMar>
              <w:top w:w="70" w:type="dxa"/>
              <w:bottom w:w="70" w:type="dxa"/>
              <w:start w:w="80" w:type="dxa"/>
              <w:end w:w="80" w:type="dxa"/>
            </w:tcMar>
          </w:tcPr>
          <w:p>
            <w:r/>
            <w:r>
              <w:rPr>
                <w:rFonts w:ascii="NanumSquareOTF" w:hAnsi="NanumSquareOTF" w:eastAsia="NanumSquareOTF"/>
                <w:b w:val="0"/>
                <w:i w:val="0"/>
                <w:color w:val="1D1D1B"/>
                <w:sz w:val="19"/>
              </w:rPr>
              <w:t>높음</w:t>
            </w:r>
          </w:p>
        </w:tc>
      </w:tr>
      <w:tr>
        <w:tc>
          <w:tcPr>
            <w:tcW w:type="dxa" w:w="1475"/>
            <w:shd w:fill="C9D1C8"/>
            <w:tcMar>
              <w:top w:w="70" w:type="dxa"/>
              <w:bottom w:w="70" w:type="dxa"/>
              <w:start w:w="80" w:type="dxa"/>
              <w:end w:w="80" w:type="dxa"/>
            </w:tcMar>
          </w:tcPr>
          <w:p>
            <w:r/>
            <w:r>
              <w:rPr>
                <w:rFonts w:ascii="NanumSquareOTF" w:hAnsi="NanumSquareOTF" w:eastAsia="NanumSquareOTF"/>
                <w:b w:val="0"/>
                <w:i w:val="0"/>
                <w:color w:val="1D1D1B"/>
                <w:sz w:val="19"/>
              </w:rPr>
              <w:t>삼성증권</w:t>
            </w:r>
          </w:p>
        </w:tc>
        <w:tc>
          <w:tcPr>
            <w:tcW w:type="dxa" w:w="1475"/>
            <w:shd w:fill="C9D1C8"/>
            <w:tcMar>
              <w:top w:w="70" w:type="dxa"/>
              <w:bottom w:w="70" w:type="dxa"/>
              <w:start w:w="80" w:type="dxa"/>
              <w:end w:w="80" w:type="dxa"/>
            </w:tcMar>
          </w:tcPr>
          <w:p>
            <w:r/>
            <w:r>
              <w:rPr>
                <w:rFonts w:ascii="NanumSquareOTF" w:hAnsi="NanumSquareOTF" w:eastAsia="NanumSquareOTF"/>
                <w:b w:val="0"/>
                <w:i w:val="0"/>
                <w:color w:val="1D1D1B"/>
                <w:sz w:val="19"/>
              </w:rPr>
              <w:t>016360</w:t>
            </w:r>
          </w:p>
        </w:tc>
        <w:tc>
          <w:tcPr>
            <w:tcW w:type="dxa" w:w="1475"/>
            <w:shd w:fill="C9D1C8"/>
            <w:tcMar>
              <w:top w:w="70" w:type="dxa"/>
              <w:bottom w:w="70" w:type="dxa"/>
              <w:start w:w="80" w:type="dxa"/>
              <w:end w:w="80" w:type="dxa"/>
            </w:tcMar>
          </w:tcPr>
          <w:p>
            <w:r/>
            <w:r>
              <w:rPr>
                <w:rFonts w:ascii="NanumSquareOTF" w:hAnsi="NanumSquareOTF" w:eastAsia="NanumSquareOTF"/>
                <w:b w:val="0"/>
                <w:i w:val="0"/>
                <w:color w:val="1D1D1B"/>
                <w:sz w:val="19"/>
              </w:rPr>
              <w:t>KOSPI</w:t>
            </w:r>
          </w:p>
        </w:tc>
        <w:tc>
          <w:tcPr>
            <w:tcW w:type="dxa" w:w="1475"/>
            <w:shd w:fill="C9D1C8"/>
            <w:tcMar>
              <w:top w:w="70" w:type="dxa"/>
              <w:bottom w:w="70" w:type="dxa"/>
              <w:start w:w="80" w:type="dxa"/>
              <w:end w:w="80" w:type="dxa"/>
            </w:tcMar>
          </w:tcPr>
          <w:p>
            <w:r/>
            <w:r>
              <w:rPr>
                <w:rFonts w:ascii="NanumSquareOTF" w:hAnsi="NanumSquareOTF" w:eastAsia="NanumSquareOTF"/>
                <w:b w:val="0"/>
                <w:i w:val="0"/>
                <w:color w:val="1D1D1B"/>
                <w:sz w:val="19"/>
              </w:rPr>
              <w:t>강력 매수</w:t>
            </w:r>
          </w:p>
        </w:tc>
        <w:tc>
          <w:tcPr>
            <w:tcW w:type="dxa" w:w="1475"/>
            <w:shd w:fill="C9D1C8"/>
            <w:tcMar>
              <w:top w:w="70" w:type="dxa"/>
              <w:bottom w:w="70" w:type="dxa"/>
              <w:start w:w="80" w:type="dxa"/>
              <w:end w:w="80" w:type="dxa"/>
            </w:tcMar>
          </w:tcPr>
          <w:p>
            <w:r/>
            <w:r>
              <w:rPr>
                <w:rFonts w:ascii="NanumSquareOTF" w:hAnsi="NanumSquareOTF" w:eastAsia="NanumSquareOTF"/>
                <w:b w:val="0"/>
                <w:i w:val="0"/>
                <w:color w:val="1D1D1B"/>
                <w:sz w:val="19"/>
              </w:rPr>
              <w:t>10.00</w:t>
            </w:r>
          </w:p>
        </w:tc>
        <w:tc>
          <w:tcPr>
            <w:tcW w:type="dxa" w:w="1475"/>
            <w:shd w:fill="C9D1C8"/>
            <w:tcMar>
              <w:top w:w="70" w:type="dxa"/>
              <w:bottom w:w="70" w:type="dxa"/>
              <w:start w:w="80" w:type="dxa"/>
              <w:end w:w="80" w:type="dxa"/>
            </w:tcMar>
          </w:tcPr>
          <w:p>
            <w:r/>
            <w:r>
              <w:rPr>
                <w:rFonts w:ascii="NanumSquareOTF" w:hAnsi="NanumSquareOTF" w:eastAsia="NanumSquareOTF"/>
                <w:b w:val="0"/>
                <w:i w:val="0"/>
                <w:color w:val="1D1D1B"/>
                <w:sz w:val="19"/>
              </w:rPr>
              <w:t>0.95</w:t>
            </w:r>
          </w:p>
        </w:tc>
        <w:tc>
          <w:tcPr>
            <w:tcW w:type="dxa" w:w="1475"/>
            <w:shd w:fill="C9D1C8"/>
            <w:tcMar>
              <w:top w:w="70" w:type="dxa"/>
              <w:bottom w:w="70" w:type="dxa"/>
              <w:start w:w="80" w:type="dxa"/>
              <w:end w:w="80" w:type="dxa"/>
            </w:tcMar>
          </w:tcPr>
          <w:p>
            <w:r/>
            <w:r>
              <w:rPr>
                <w:rFonts w:ascii="NanumSquareOTF" w:hAnsi="NanumSquareOTF" w:eastAsia="NanumSquareOTF"/>
                <w:b w:val="0"/>
                <w:i w:val="0"/>
                <w:color w:val="1D1D1B"/>
                <w:sz w:val="19"/>
              </w:rPr>
              <w:t>높음</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34"/>
              </w:rPr>
              <w:t>Summary</w:t>
            </w:r>
          </w:p>
        </w:tc>
      </w:tr>
      <w:tr>
        <w:tc>
          <w:tcPr>
            <w:tcW w:type="dxa" w:w="10325"/>
            <w:shd w:fill="EFF5EC"/>
            <w:tcBorders>
              <w:top w:val="nil"/>
              <w:left w:val="nil"/>
              <w:bottom w:val="nil"/>
              <w:right w:val="nil"/>
              <w:insideH w:val="nil"/>
              <w:insideV w:val="nil"/>
            </w:tcBorders>
            <w:tcMar>
              <w:top w:w="120" w:type="dxa"/>
              <w:bottom w:w="120" w:type="dxa"/>
              <w:start w:w="120" w:type="dxa"/>
              <w:end w:w="120" w:type="dxa"/>
            </w:tcMar>
          </w:tcPr>
          <w:p>
            <w:pPr>
              <w:spacing w:after="0"/>
            </w:pPr>
            <w:r/>
            <w:r>
              <w:rPr>
                <w:rFonts w:ascii="NanumSquareOTF" w:hAnsi="NanumSquareOTF" w:eastAsia="NanumSquareOTF"/>
                <w:b w:val="0"/>
                <w:i w:val="0"/>
                <w:color w:val="1D1D1B"/>
                <w:sz w:val="22"/>
              </w:rPr>
              <w:t>코스피가 사상 최고치를 경신하는 가운데 외국인이 5거래일 연속 대규모 순매도(약 36조원)를 기록했고 그 중심에 삼성전자(약 24.46조원)와 SK하이닉스(약 11.5조원)가 있었다. 기사와 제공된 지표들을 종합하면 이번 매도는 단기 차익실현 성격이 강하며, 개인투자자가 상당 부분을 흡수해 지수 상단이 유지됐다. 동시에 삼성증권의 Omnibus 계좌 도입은 외국인 수급의 제도적 개선 가능성을 제시한다. 다만 삼성·SK의 밸류에이션 지표와 기술적 과열 신호(RSI 등)를 고려하면 현 구간은 기대(미래 실적 선반영)에 기반한 가격 형성으로 판단되며, 투자자는 수급 회복 시나리오와 밸류에이션 리레이팅 리스크를 함께 관리할 필요가 있다. 종목별로는 강한 기술적 추세와 업황 기대를 반영해 비중확대(Accumulation)를 권하되, 밸류에이션과 모멘…</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34"/>
              </w:rPr>
              <w:t>INDUSTRY</w:t>
            </w:r>
          </w:p>
        </w:tc>
      </w:tr>
      <w:tr>
        <w:tc>
          <w:tcPr>
            <w:tcW w:type="dxa" w:w="10325"/>
            <w:shd w:fill="EFF5EC"/>
            <w:tcBorders>
              <w:top w:val="nil"/>
              <w:left w:val="nil"/>
              <w:bottom w:val="nil"/>
              <w:right w:val="nil"/>
              <w:insideH w:val="nil"/>
              <w:insideV w:val="nil"/>
            </w:tcBorders>
            <w:tcMar>
              <w:top w:w="120" w:type="dxa"/>
              <w:bottom w:w="120" w:type="dxa"/>
              <w:start w:w="120" w:type="dxa"/>
              <w:end w:w="120" w:type="dxa"/>
            </w:tcMar>
          </w:tcPr>
          <w:p>
            <w:pPr>
              <w:spacing w:after="0"/>
            </w:pPr>
            <w:r/>
            <w:r>
              <w:rPr>
                <w:rFonts w:ascii="NanumSquareOTF" w:hAnsi="NanumSquareOTF" w:eastAsia="NanumSquareOTF"/>
                <w:b w:val="0"/>
                <w:i w:val="0"/>
                <w:color w:val="1D1D1B"/>
                <w:sz w:val="22"/>
              </w:rPr>
              <w:t>외국인의 대규모 순매도는 단기 매물 출회 요인으로 해석되지만, 이번 매도 규모(약 36조원)가 코스피 최고치 진입 국면에서 나온 점은 외국인이 포지션 조정(차익실현)을 통해 수익을 실현했다는 점을 시사한다. 동시에 삼성전자와 SK하이닉스의 펀더멘털(반도체·AI 수요 기대)과 기술적 추세(강한 상방 모멘텀)는 유지되고 있어, 단기 조정은 매수기회로 활용 가능한 구조다. 삼성증권의 Omnibus 계좌 도입은 외국인 수급 차원의 제도적 개선으로 연결될 수 있어 증시 전반의 수급 안정성에 긍정적이다. 결론적으로 이번 매도는 '구조적 이탈'보다 '포지션 조정'에 무게를 두되, 고평가 기대가 이미 상당 부분 가격에 반영된 상태여서 회복 국면 진입 시까지는 밸류에이션과 모멘텀 지표를 주의해야 한다. 이번 사건은 두 가지 축으로 산업 해석이 가능하다. 첫째, 반도체업종은 외국인 비중이 높아 글로벌 포지셔닝에 민감한 섹터라는 점이 다시 확인됐다. 삼성전자·SK하이닉스의 대규모 매도는 글로벌 투자자들이 코스피 고점 구간에서 포트폴리오 리밸런싱을 행한 것이라 해석된다. 둘째, 증권업(특히 증권사 서비스)은 외국인 유입 경로의 개선이 직접적인 수혜로 연결될 수 있다는 점이 부각됐다. Omnibus 계좌 도입은 외국인 자금 집행을 원활하게 해 거래대금과 수수료 수익의 증가 가능성을 제시하므로 증권업 전반의 구조적 개선 기대를 키운다. 요약하면 반도체주는 수급 변동성에 취약하지만 기초 수요(서버·AI 등)에 대한 기대가 밑바탕으로 남아 있어 조정은 매수 기회, 증권주는 제도 변화 수혜를 통한 실적…</w:t>
            </w:r>
          </w:p>
        </w:tc>
      </w:tr>
    </w:tbl>
    <w:p>
      <w:r>
        <w:br w:type="page"/>
      </w:r>
    </w:p>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34"/>
              </w:rPr>
              <w:t>Conclusion</w:t>
            </w:r>
          </w:p>
        </w:tc>
      </w:tr>
      <w:tr>
        <w:tc>
          <w:tcPr>
            <w:tcW w:type="dxa" w:w="10325"/>
            <w:shd w:fill="EFF5EC"/>
            <w:tcBorders>
              <w:top w:val="nil"/>
              <w:left w:val="nil"/>
              <w:bottom w:val="nil"/>
              <w:right w:val="nil"/>
              <w:insideH w:val="nil"/>
              <w:insideV w:val="nil"/>
            </w:tcBorders>
            <w:tcMar>
              <w:top w:w="120" w:type="dxa"/>
              <w:bottom w:w="120" w:type="dxa"/>
              <w:start w:w="120" w:type="dxa"/>
              <w:end w:w="120" w:type="dxa"/>
            </w:tcMar>
          </w:tcPr>
          <w:p>
            <w:pPr>
              <w:spacing w:after="0"/>
            </w:pPr>
            <w:r/>
            <w:r>
              <w:rPr>
                <w:rFonts w:ascii="NanumSquareOTF" w:hAnsi="NanumSquareOTF" w:eastAsia="NanumSquareOTF"/>
                <w:b w:val="0"/>
                <w:i w:val="0"/>
                <w:color w:val="1D1D1B"/>
                <w:sz w:val="22"/>
              </w:rPr>
              <w:t>외국인의 36조원 규모 순매도는 단기 포지션 조정으로 해석하는 것이 타당하며, 개인투자자가 매물을 상당 부분 흡수한 점은 국내 투자자 중심의 지수 방어력을 드러낸다. 반도체 대형주(삼성전자·SK하이닉스)는 기술적·펀더멘털 측면에서 여전히 강한 상방 모멘텀과 실적 레버리지를 보유하지만, 현재 밸류에이션은 높은 기대를 상당 부분 선반영하고 있어 회복이 더뎌질 경우 심리적·가격적 조정이 클 수 있다. 삼성증권은 Omnibus 도입으로 수급 개선의 직접적 수혜가 가능한 종목으로 매력적이지만, 도입 속도와 재무구조를 면밀히 관찰할 필요가 있다. 투자전략은 다음과 같다. 핵심 노출은 반도체(삼성·SK)로 유지하되, 진입은 분할매수로 리스크를 관리하고 외국인 수급 회복 시점을 포착해 비중을 확대하라. 증권업(삼성증권)은 제도적 수혜를 반영한 적극적 접근이 가능하나 실행·레버리지 리스크를 모니터링하며 부분적 비중확대가 합리적이다. 전반적으로 이번 외국인 매도는 '고점 경고'라기보다는 '조정—재흡수'의 과정으로 보는 것이 균형적이며, 투자자는 모멘텀의 강도와 밸류에이션의 높음을 동시에 관리하는 포지셔닝을 권한다.</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34"/>
              </w:rPr>
              <w:t>Key Factors</w:t>
            </w:r>
          </w:p>
        </w:tc>
      </w:tr>
      <w:tr>
        <w:tc>
          <w:tcPr>
            <w:tcW w:type="dxa" w:w="10325"/>
            <w:shd w:fill="EFF5EC"/>
            <w:tcBorders>
              <w:top w:val="nil"/>
              <w:left w:val="nil"/>
              <w:bottom w:val="nil"/>
              <w:right w:val="nil"/>
              <w:insideH w:val="nil"/>
              <w:insideV w:val="nil"/>
            </w:tcBorders>
            <w:tcMar>
              <w:top w:w="120" w:type="dxa"/>
              <w:bottom w:w="120" w:type="dxa"/>
              <w:start w:w="120" w:type="dxa"/>
              <w:end w:w="120" w:type="dxa"/>
            </w:tcMar>
          </w:tcPr>
          <w:p>
            <w:pPr>
              <w:spacing w:after="0"/>
            </w:pPr>
            <w:r/>
            <w:r>
              <w:rPr>
                <w:rFonts w:ascii="NanumSquareOTF" w:hAnsi="NanumSquareOTF" w:eastAsia="NanumSquareOTF"/>
                <w:b w:val="0"/>
                <w:i w:val="0"/>
                <w:color w:val="1D1D1B"/>
                <w:sz w:val="22"/>
              </w:rPr>
              <w:t>삼성전자: 강력 매수 / score 13.00 / confidence 0.95</w:t>
              <w:br/>
              <w:t>SK하이닉스: 강력 매수 / score 13.00 / confidence 0.95</w:t>
              <w:br/>
              <w:t>삼성증권: 강력 매수 / score 10.00 / confidence 0.95</w:t>
              <w:br/>
              <w:t>공통 리스크: 투자 판단에 영향을 줄 핵심 리스크는 다음과 같다. • 외국인의 추가적인 집중 매도 지속: 이번 매도는 차익실현으로 보이나 외국인의 방향 전환이 늦어지면 주가 하방 압력이 커진다. • 밸류에이션 고평가: 삼성·SK 양사의 PER·PBR 수준은 이미 미래 실적을 많이 선반영하고 있어 실적 미달 시 급격한 리레이팅이 발생할 수 있다. • 기술적 과열에 따른 변동성 확대: 높은 RSI와 과열 신호는 조정 시 손실을 키울 수 있다. • 업황 리스크(수요 둔화): 글로벌 반도체 수요 약화 또는 기술주 동반 약세는 업종 전반의 밸류에이션을 끌어내릴 위험이 있다. • 제도·실행 리스크: Omnibus 계좌의 도입 확장 및 운영상 문제 지연 시 삼성증권의 기대 이익이 실현되지 않을 수 있다. • 기업 고유 리스크: 삼성전자의 노조·운영 이슈 등 기업 고유 사건은 주가에 단기 충격을 줄 수 있다. 마지막으로, 제공된 재무지표의 한계(예: 삼성증권의 높은 부채비율 수치 등)는 추가적 정밀 분석 없이는 해석에 제약을 준다.</w:t>
            </w:r>
          </w:p>
        </w:tc>
      </w:tr>
    </w:tbl>
    <w:p>
      <w:r>
        <w:br w:type="page"/>
      </w:r>
    </w:p>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34"/>
              </w:rPr>
              <w:t>Financial / Valuation</w:t>
            </w:r>
          </w:p>
        </w:tc>
      </w:tr>
      <w:tr>
        <w:tc>
          <w:tcPr>
            <w:tcW w:type="dxa" w:w="10325"/>
            <w:shd w:fill="EFF5EC"/>
            <w:tcBorders>
              <w:top w:val="nil"/>
              <w:left w:val="nil"/>
              <w:bottom w:val="nil"/>
              <w:right w:val="nil"/>
              <w:insideH w:val="nil"/>
              <w:insideV w:val="nil"/>
            </w:tcBorders>
            <w:tcMar>
              <w:top w:w="120" w:type="dxa"/>
              <w:bottom w:w="120" w:type="dxa"/>
              <w:start w:w="120" w:type="dxa"/>
              <w:end w:w="120" w:type="dxa"/>
            </w:tcMar>
          </w:tcPr>
          <w:p>
            <w:pPr>
              <w:spacing w:after="0"/>
            </w:pPr>
            <w:r/>
            <w:r>
              <w:rPr>
                <w:rFonts w:ascii="NanumSquareOTF" w:hAnsi="NanumSquareOTF" w:eastAsia="NanumSquareOTF"/>
                <w:b w:val="0"/>
                <w:i w:val="0"/>
                <w:color w:val="1D1D1B"/>
                <w:sz w:val="22"/>
              </w:rPr>
              <w:t>제공된 재무지표는 세 종목 모두 현재 주가가 미래 실적 개선에 대한 높은 기대를 반영하고 있음을 보여준다. 삼성전자는 PER 43, PBR 4.46으로 대형주의 성장 프리미엄이 가격에 상당 부분 반영되어 있다. ROE 10.8%와 영업이익률 13.1%는 견조하지만, 높은 PER은 향후 이익 실현 없이는 밸류에이션 부담으로 전환될 수 있음을 의미한다. SK하이닉스의 PER 32.7과 PBR 11.65는 더욱 공격적인 성장 기대를 반영하며, ROE 44%와 영업이익률 48.6%는 실적 레버리지를 설명하지만 밸류에이션이 매우 고밀도로 형성되어 있음을 경계해야 한다. 삼성증권은 PER 11.3, PBR 1.42, 배당수익률 2.74%로 타격이 제한적인 보수적 밸류에이션을 보인다. 다만 삼성증권의 높은 부채비율은 추가적인 재무주의를 요구하며, Omnibus의 수익 전이속도와 규제·운영 리스크가 실적 개선을 좌우할 것으로 판단된다. 요약하면, 반도체주는 실적 개선을 전제로 한 리레이팅(valuation rerating)이 가능하지만 현재 수준은 '기대가 상당 부분 선반영된 고평가'로 분류해야 한다.</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34"/>
              </w:rPr>
              <w:t>Technical / Momentum</w:t>
            </w:r>
          </w:p>
        </w:tc>
      </w:tr>
      <w:tr>
        <w:tc>
          <w:tcPr>
            <w:tcW w:type="dxa" w:w="10325"/>
            <w:shd w:fill="EFF5EC"/>
            <w:tcBorders>
              <w:top w:val="nil"/>
              <w:left w:val="nil"/>
              <w:bottom w:val="nil"/>
              <w:right w:val="nil"/>
              <w:insideH w:val="nil"/>
              <w:insideV w:val="nil"/>
            </w:tcBorders>
            <w:tcMar>
              <w:top w:w="120" w:type="dxa"/>
              <w:bottom w:w="120" w:type="dxa"/>
              <w:start w:w="120" w:type="dxa"/>
              <w:end w:w="120" w:type="dxa"/>
            </w:tcMar>
          </w:tcPr>
          <w:p>
            <w:pPr>
              <w:spacing w:after="0"/>
            </w:pPr>
            <w:r/>
            <w:r>
              <w:rPr>
                <w:rFonts w:ascii="NanumSquareOTF" w:hAnsi="NanumSquareOTF" w:eastAsia="NanumSquareOTF"/>
                <w:b w:val="0"/>
                <w:i w:val="0"/>
                <w:color w:val="1D1D1B"/>
                <w:sz w:val="22"/>
              </w:rPr>
              <w:t>기술적 신호는 단기적으로 강한 상승 모멘텀을 확인시킨다. 삼성전자와 SK하이닉스는 SMA20&gt;SMA50, 종가&gt;EMA20, MACD 및 ADX 지표가 강세 국면을 지지하며 거래량·OBV 흐름도 매수 우위를 시사한다. 그러나 RSI(삼성전자 ≈75, SK하이닉스 ≈86)는 과열 신호로서 단기 조정의 가능성을 높인다. 삼성증권은 기술적 지표가 역시 중기 상승세를 보이나 최근 수익률의 약화가 관찰되어 상대적으로 보수적인 진입이 가능하다. 이러한 기술적 구성은 '기대 주도의 랠리'를 뒷받침하지만, 과열 구간에서는 외부 변수(외국인 추가 매도·글로벌 기술주 약세 등)에 의해 빠른 방향 전환이 발생할 수 있으므로 포지션 관리가 중요하다.</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34"/>
              </w:rPr>
              <w:t>Risk Factors</w:t>
            </w:r>
          </w:p>
        </w:tc>
      </w:tr>
      <w:tr>
        <w:tc>
          <w:tcPr>
            <w:tcW w:type="dxa" w:w="10325"/>
            <w:shd w:fill="EFF5EC"/>
            <w:tcBorders>
              <w:top w:val="nil"/>
              <w:left w:val="nil"/>
              <w:bottom w:val="nil"/>
              <w:right w:val="nil"/>
              <w:insideH w:val="nil"/>
              <w:insideV w:val="nil"/>
            </w:tcBorders>
            <w:tcMar>
              <w:top w:w="120" w:type="dxa"/>
              <w:bottom w:w="120" w:type="dxa"/>
              <w:start w:w="120" w:type="dxa"/>
              <w:end w:w="120" w:type="dxa"/>
            </w:tcMar>
          </w:tcPr>
          <w:p>
            <w:pPr>
              <w:spacing w:after="0"/>
            </w:pPr>
            <w:r/>
            <w:r>
              <w:rPr>
                <w:rFonts w:ascii="NanumSquareOTF" w:hAnsi="NanumSquareOTF" w:eastAsia="NanumSquareOTF"/>
                <w:b w:val="0"/>
                <w:i w:val="0"/>
                <w:color w:val="1D1D1B"/>
                <w:sz w:val="22"/>
              </w:rPr>
              <w:t>투자 판단에 영향을 줄 핵심 리스크는 다음과 같다. • 외국인의 추가적인 집중 매도 지속: 이번 매도는 차익실현으로 보이나 외국인의 방향 전환이 늦어지면 주가 하방 압력이 커진다. • 밸류에이션 고평가: 삼성·SK 양사의 PER·PBR 수준은 이미 미래 실적을 많이 선반영하고 있어 실적 미달 시 급격한 리레이팅이 발생할 수 있다. • 기술적 과열에 따른 변동성 확대: 높은 RSI와 과열 신호는 조정 시 손실을 키울 수 있다. • 업황 리스크(수요 둔화): 글로벌 반도체 수요 약화 또는 기술주 동반 약세는 업종 전반의 밸류에이션을 끌어내릴 위험이 있다. • 제도·실행 리스크: Omnibus 계좌의 도입 확장 및 운영상 문제 지연 시 삼성증권의 기대 이익이 실현되지 않을 수 있다. • 기업 고유 리스크: 삼성전자의 노조·운영 이슈 등 기업 고유 사건은 주가에 단기 충격을 줄 수 있다. 마지막으로, 제공된 재무지표의 한계(예: 삼성증권의 높은 부채비율 수치 등)는 추가적 정밀 분석 없이는 해석에 제약을 준다.</w:t>
            </w:r>
          </w:p>
        </w:tc>
      </w:tr>
    </w:tbl>
    <w:p>
      <w:r>
        <w:br w:type="page"/>
      </w:r>
    </w:p>
    <w:tbl>
      <w:tblPr>
        <w:tblW w:type="auto" w:w="0"/>
        <w:jc w:val="center"/>
        <w:tblLayout w:type="fixed"/>
        <w:tblLook w:firstColumn="1" w:firstRow="1" w:lastColumn="0" w:lastRow="0" w:noHBand="0" w:noVBand="1" w:val="04A0"/>
      </w:tblPr>
      <w:tblGrid>
        <w:gridCol w:w="3312"/>
        <w:gridCol w:w="6912"/>
      </w:tblGrid>
      <w:tr>
        <w:tc>
          <w:tcPr>
            <w:tcW w:type="dxa" w:w="5162"/>
            <w:shd w:fill="1E7032"/>
            <w:tcBorders>
              <w:top w:val="nil"/>
              <w:left w:val="nil"/>
              <w:bottom w:val="nil"/>
              <w:right w:val="nil"/>
              <w:insideH w:val="nil"/>
              <w:insideV w:val="nil"/>
            </w:tcBorders>
            <w:tcMar>
              <w:top w:w="160" w:type="dxa"/>
              <w:bottom w:w="180" w:type="dxa"/>
              <w:start w:w="160" w:type="dxa"/>
              <w:end w:w="160" w:type="dxa"/>
            </w:tcMar>
            <w:vAlign w:val="top"/>
          </w:tcPr>
          <w:p>
            <w:r>
              <w:rPr>
                <w:rFonts w:ascii="NanumSquareOTF" w:hAnsi="NanumSquareOTF" w:eastAsia="NanumSquareOTF"/>
                <w:b/>
                <w:i w:val="0"/>
                <w:color w:val="FFFFFF"/>
                <w:sz w:val="36"/>
              </w:rPr>
              <w:t>삼성전자</w:t>
              <w:br/>
              <w:t>(005930)</w:t>
            </w:r>
          </w:p>
          <w:p>
            <w:r>
              <w:rPr>
                <w:rFonts w:ascii="NanumSquareOTF" w:hAnsi="NanumSquareOTF" w:eastAsia="NanumSquareOTF"/>
                <w:b w:val="0"/>
                <w:i w:val="0"/>
                <w:color w:val="FFFFFF"/>
                <w:sz w:val="19"/>
              </w:rPr>
              <w:t>KOSPI</w:t>
              <w:br/>
              <w:t>재무 기준일: 2025-12-31</w:t>
              <w:br/>
              <w:t>출처: OpenDART</w:t>
            </w:r>
          </w:p>
          <w:tbl>
            <w:tblPr>
              <w:tblW w:type="auto" w:w="0"/>
              <w:tblLook w:firstColumn="1" w:firstRow="1" w:lastColumn="0" w:lastRow="0" w:noHBand="0" w:noVBand="1" w:val="04A0"/>
            </w:tblPr>
            <w:tblGrid>
              <w:gridCol w:w="5162"/>
            </w:tblGrid>
            <w:tr>
              <w:tc>
                <w:tcPr>
                  <w:tcW w:type="dxa" w:w="5162"/>
                  <w:shd w:fill="FFFFFF"/>
                  <w:tcBorders>
                    <w:top w:val="nil"/>
                    <w:left w:val="nil"/>
                    <w:bottom w:val="nil"/>
                    <w:right w:val="nil"/>
                    <w:insideH w:val="nil"/>
                    <w:insideV w:val="nil"/>
                  </w:tcBorders>
                  <w:tcMar>
                    <w:top w:w="100" w:type="dxa"/>
                    <w:bottom w:w="100" w:type="dxa"/>
                    <w:start w:w="110" w:type="dxa"/>
                    <w:end w:w="110" w:type="dxa"/>
                  </w:tcMar>
                </w:tcPr>
                <w:p>
                  <w:r/>
                  <w:r>
                    <w:rPr>
                      <w:rFonts w:ascii="NanumSquareOTF" w:hAnsi="NanumSquareOTF" w:eastAsia="NanumSquareOTF"/>
                      <w:b w:val="0"/>
                      <w:i w:val="0"/>
                      <w:color w:val="1D1D1B"/>
                      <w:sz w:val="18"/>
                    </w:rPr>
                    <w:t>의견      강력 매수</w:t>
                    <w:br/>
                    <w:t>점수      13.00</w:t>
                    <w:br/>
                    <w:t>신뢰도    0.95</w:t>
                    <w:br/>
                    <w:t>종가      284,000.00</w:t>
                    <w:br/>
                    <w:t>PER       43.01</w:t>
                    <w:br/>
                    <w:t>PBR       4.46</w:t>
                    <w:br/>
                    <w:t>ROE       10.78%</w:t>
                  </w:r>
                </w:p>
              </w:tc>
            </w:tr>
          </w:tbl>
          <w:p/>
        </w:tc>
        <w:tc>
          <w:tcPr>
            <w:tcW w:type="dxa" w:w="5162"/>
            <w:tcBorders>
              <w:top w:val="nil"/>
              <w:left w:val="nil"/>
              <w:bottom w:val="nil"/>
              <w:right w:val="nil"/>
              <w:insideH w:val="nil"/>
              <w:insideV w:val="nil"/>
            </w:tcBorders>
            <w:tcMar>
              <w:top w:w="60" w:type="dxa"/>
              <w:bottom w:w="80" w:type="dxa"/>
              <w:start w:w="150" w:type="dxa"/>
              <w:end w:w="150" w:type="dxa"/>
            </w:tcMar>
            <w:vAlign w:val="top"/>
          </w:tcPr>
          <w:p/>
          <w:tbl>
            <w:tblPr>
              <w:tblW w:type="auto" w:w="0"/>
              <w:jc w:val="center"/>
              <w:tblLayout w:type="autofit"/>
              <w:tblLook w:firstColumn="1" w:firstRow="1" w:lastColumn="0" w:lastRow="0" w:noHBand="0" w:noVBand="1" w:val="04A0"/>
            </w:tblPr>
            <w:tblGrid>
              <w:gridCol w:w="5162"/>
            </w:tblGrid>
            <w:tr>
              <w:tc>
                <w:tcPr>
                  <w:tcW w:type="dxa" w:w="5162"/>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26"/>
                    </w:rPr>
                    <w:t>OPINION</w:t>
                  </w:r>
                </w:p>
              </w:tc>
            </w:tr>
            <w:tr>
              <w:tc>
                <w:tcPr>
                  <w:tcW w:type="dxa" w:w="5162"/>
                  <w:shd w:fill="FFFFFF"/>
                  <w:tcBorders>
                    <w:top w:val="nil"/>
                    <w:left w:val="nil"/>
                    <w:bottom w:val="nil"/>
                    <w:right w:val="nil"/>
                    <w:insideH w:val="nil"/>
                    <w:insideV w:val="nil"/>
                  </w:tcBorders>
                  <w:tcMar>
                    <w:top w:w="90" w:type="dxa"/>
                    <w:bottom w:w="120" w:type="dxa"/>
                    <w:start w:w="120" w:type="dxa"/>
                    <w:end w:w="120" w:type="dxa"/>
                  </w:tcMar>
                </w:tcPr>
                <w:p>
                  <w:pPr>
                    <w:spacing w:after="0"/>
                  </w:pPr>
                  <w:r/>
                  <w:r>
                    <w:rPr>
                      <w:rFonts w:ascii="NanumSquareOTF" w:hAnsi="NanumSquareOTF" w:eastAsia="NanumSquareOTF"/>
                      <w:b w:val="0"/>
                      <w:i w:val="0"/>
                      <w:color w:val="1D1D1B"/>
                      <w:sz w:val="20"/>
                    </w:rPr>
                    <w:t>삼성전자(005930)는 대형주의 특징이 분명하다.</w:t>
                  </w:r>
                </w:p>
              </w:tc>
            </w:tr>
          </w:tbl>
          <w:p/>
          <w:tbl>
            <w:tblPr>
              <w:tblW w:type="auto" w:w="0"/>
              <w:jc w:val="center"/>
              <w:tblLayout w:type="autofit"/>
              <w:tblLook w:firstColumn="1" w:firstRow="1" w:lastColumn="0" w:lastRow="0" w:noHBand="0" w:noVBand="1" w:val="04A0"/>
            </w:tblPr>
            <w:tblGrid>
              <w:gridCol w:w="5162"/>
            </w:tblGrid>
            <w:tr>
              <w:tc>
                <w:tcPr>
                  <w:tcW w:type="dxa" w:w="5162"/>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26"/>
                    </w:rPr>
                    <w:t>Technical / Momentum</w:t>
                  </w:r>
                </w:p>
              </w:tc>
            </w:tr>
            <w:tr>
              <w:tc>
                <w:tcPr>
                  <w:tcW w:type="dxa" w:w="5162"/>
                  <w:shd w:fill="FFFFFF"/>
                  <w:tcBorders>
                    <w:top w:val="nil"/>
                    <w:left w:val="nil"/>
                    <w:bottom w:val="nil"/>
                    <w:right w:val="nil"/>
                    <w:insideH w:val="nil"/>
                    <w:insideV w:val="nil"/>
                  </w:tcBorders>
                  <w:tcMar>
                    <w:top w:w="90" w:type="dxa"/>
                    <w:bottom w:w="120" w:type="dxa"/>
                    <w:start w:w="120" w:type="dxa"/>
                    <w:end w:w="120" w:type="dxa"/>
                  </w:tcMar>
                </w:tcPr>
                <w:p>
                  <w:pPr>
                    <w:spacing w:after="0"/>
                  </w:pPr>
                  <w:r/>
                  <w:r>
                    <w:rPr>
                      <w:rFonts w:ascii="NanumSquareOTF" w:hAnsi="NanumSquareOTF" w:eastAsia="NanumSquareOTF"/>
                      <w:b w:val="0"/>
                      <w:i w:val="0"/>
                      <w:color w:val="1D1D1B"/>
                      <w:sz w:val="20"/>
                    </w:rPr>
                    <w:t>현재 기술 국면은 추세장으로 분류되며, 종합 신호는 강력 매수(점수 13.00, 신뢰도 0.95)다. 최근 20일 평균가격과 50일 평균가격의 상대 위치로 중기 추세를 읽는 이동평균 지표에서, SMA20(236,300.00)이 SMA50(208,419.00) 위에 있어 중기 추세는 우상향으로 해석된다. 최근 가격 압력이 단기적으로 얼마나 강한지를 보여주는 EMA20 기준으로도 종가(284,000.00)가 EMA20(242,584.08) 위에 있어 단기 매수 압력이 우세하다. 단기·장기 이동평균의 간격 변화로 모멘텀 전환을 읽는 MACD 지표는 21366.44이며, 시그널선(15986.36) 위에 있어 상승 모멘텀이 우세하다고, 히스토그램도 양(+)의 구간(5380.08)에 있다. 추세의 세기 자체를 측정하는 ADX는 37.29 수준으로 강한 편이고, 방향성 지표에서는 +DI(35.86)가 -DI(14.43)보다 높아 상승 추세가 우세하다. 거래량이 가격 움직임을 얼마나 뒷받침하는지 보여주는 OBV 흐름도 단기 평균이 장기 평균 위에 있어 수급 측면의 뒷받침이 우호적이다. 가격의 상승·하락 압력이 얼마나 한쪽으로 쏠렸는지 보여주는 RSI 지표는 74.96로, 통상적 기준상 과매수(70 이상) 구간에 해당한다. 단기 변곡 가능성을 빠르게 포착하는 스토캐스틱은 %K 89.90, %D 90.05로 과매수권 둔화 신호에 가깝다. 주요 근거로는 SMA20이 SMA50 위에 있어 중기 상승 추세가 확인됩니다, MACD가 시그널선 위에 있어 상승 모멘텀이 나타납니다, 추세장에서 +DI가…</w:t>
                  </w:r>
                </w:p>
              </w:tc>
            </w:tr>
          </w:tbl>
          <w:p/>
          <w:tbl>
            <w:tblPr>
              <w:tblW w:type="auto" w:w="0"/>
              <w:jc w:val="center"/>
              <w:tblLayout w:type="autofit"/>
              <w:tblLook w:firstColumn="1" w:firstRow="1" w:lastColumn="0" w:lastRow="0" w:noHBand="0" w:noVBand="1" w:val="04A0"/>
            </w:tblPr>
            <w:tblGrid>
              <w:gridCol w:w="5162"/>
            </w:tblGrid>
            <w:tr>
              <w:tc>
                <w:tcPr>
                  <w:tcW w:type="dxa" w:w="5162"/>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26"/>
                    </w:rPr>
                    <w:t>RISK</w:t>
                  </w:r>
                </w:p>
              </w:tc>
            </w:tr>
            <w:tr>
              <w:tc>
                <w:tcPr>
                  <w:tcW w:type="dxa" w:w="5162"/>
                  <w:shd w:fill="FFFFFF"/>
                  <w:tcBorders>
                    <w:top w:val="nil"/>
                    <w:left w:val="nil"/>
                    <w:bottom w:val="nil"/>
                    <w:right w:val="nil"/>
                    <w:insideH w:val="nil"/>
                    <w:insideV w:val="nil"/>
                  </w:tcBorders>
                  <w:tcMar>
                    <w:top w:w="90" w:type="dxa"/>
                    <w:bottom w:w="120" w:type="dxa"/>
                    <w:start w:w="120" w:type="dxa"/>
                    <w:end w:w="120" w:type="dxa"/>
                  </w:tcMar>
                </w:tcPr>
                <w:p>
                  <w:pPr>
                    <w:spacing w:after="0"/>
                  </w:pPr>
                  <w:r/>
                  <w:r>
                    <w:rPr>
                      <w:rFonts w:ascii="NanumSquareOTF" w:hAnsi="NanumSquareOTF" w:eastAsia="NanumSquareOTF"/>
                      <w:b w:val="0"/>
                      <w:i w:val="0"/>
                      <w:color w:val="1D1D1B"/>
                      <w:sz w:val="20"/>
                    </w:rPr>
                    <w:t>위험도는 높음 수준이다. 기업 고유 리스크: 삼성전자의 노조·운영 이슈 등 기업 고유 사건은 주가에 단기 충격을 줄 수 있다.</w:t>
                  </w:r>
                </w:p>
              </w:tc>
            </w:tr>
          </w:tbl>
          <w:p/>
        </w:tc>
      </w:tr>
    </w:tbl>
    <w:p>
      <w:r>
        <w:br w:type="page"/>
      </w:r>
    </w:p>
    <w:p>
      <w:r>
        <w:rPr>
          <w:rFonts w:ascii="NanumSquareOTF" w:hAnsi="NanumSquareOTF" w:eastAsia="NanumSquareOTF"/>
          <w:b/>
          <w:i w:val="0"/>
          <w:color w:val="255A1B"/>
          <w:sz w:val="36"/>
        </w:rPr>
        <w:t>삼성전자 (005930)</w:t>
      </w:r>
    </w:p>
    <w:p>
      <w:r>
        <w:rPr>
          <w:rFonts w:ascii="NanumSquareOTF" w:hAnsi="NanumSquareOTF" w:eastAsia="NanumSquareOTF"/>
          <w:b w:val="0"/>
          <w:i w:val="0"/>
          <w:color w:val="1D1D1B"/>
          <w:sz w:val="20"/>
        </w:rPr>
        <w:t>KOSPI | 의견 강력 매수 | 점수 13.00 | 신뢰도 0.95</w:t>
      </w:r>
    </w:p>
    <w:tbl>
      <w:tblPr>
        <w:tblW w:type="auto" w:w="0"/>
        <w:jc w:val="center"/>
        <w:tblLook w:firstColumn="1" w:firstRow="1" w:lastColumn="0" w:lastRow="0" w:noHBand="0" w:noVBand="1" w:val="04A0"/>
      </w:tblPr>
      <w:tblGrid>
        <w:gridCol w:w="10325"/>
      </w:tblGrid>
      <w:tr>
        <w:tc>
          <w:tcPr>
            <w:tcW w:type="dxa" w:w="10325"/>
            <w:tcBorders>
              <w:top w:val="nil"/>
              <w:left w:val="nil"/>
              <w:bottom w:val="single" w:sz="6" w:color="1E7032"/>
              <w:right w:val="nil"/>
              <w:insideH w:val="nil"/>
              <w:insideV w:val="nil"/>
            </w:tcBorders>
            <w:tcMar>
              <w:top w:w="60" w:type="dxa"/>
              <w:bottom w:w="80" w:type="dxa"/>
              <w:start w:w="0" w:type="dxa"/>
              <w:end w:w="0" w:type="dxa"/>
            </w:tcMar>
          </w:tcPr>
          <w:p>
            <w:r/>
            <w:r>
              <w:rPr>
                <w:rFonts w:ascii="NanumSquareOTF" w:hAnsi="NanumSquareOTF" w:eastAsia="NanumSquareOTF"/>
                <w:b/>
                <w:i w:val="0"/>
                <w:color w:val="255A1B"/>
                <w:sz w:val="26"/>
              </w:rPr>
              <w:t>삼성전자 Price Trend</w:t>
            </w:r>
          </w:p>
        </w:tc>
      </w:tr>
      <w:tr>
        <w:tc>
          <w:tcPr>
            <w:tcW w:type="dxa" w:w="10325"/>
            <w:tcBorders>
              <w:top w:val="nil"/>
              <w:left w:val="nil"/>
              <w:bottom w:val="nil"/>
              <w:right w:val="nil"/>
              <w:insideH w:val="nil"/>
              <w:insideV w:val="nil"/>
            </w:tcBorders>
            <w:tcMar>
              <w:top w:w="120" w:type="dxa"/>
              <w:bottom w:w="90" w:type="dxa"/>
              <w:start w:w="90" w:type="dxa"/>
              <w:end w:w="90" w:type="dxa"/>
            </w:tcMar>
          </w:tcPr>
          <w:p>
            <w:pPr>
              <w:jc w:val="center"/>
            </w:pPr>
            <w:r>
              <w:drawing>
                <wp:inline xmlns:a="http://schemas.openxmlformats.org/drawingml/2006/main" xmlns:pic="http://schemas.openxmlformats.org/drawingml/2006/picture">
                  <wp:extent cx="5806440" cy="2903220"/>
                  <wp:docPr id="1" name="Picture 1"/>
                  <wp:cNvGraphicFramePr>
                    <a:graphicFrameLocks noChangeAspect="1"/>
                  </wp:cNvGraphicFramePr>
                  <a:graphic>
                    <a:graphicData uri="http://schemas.openxmlformats.org/drawingml/2006/picture">
                      <pic:pic>
                        <pic:nvPicPr>
                          <pic:cNvPr id="0" name="005930_삼성전자_recent_close.png"/>
                          <pic:cNvPicPr/>
                        </pic:nvPicPr>
                        <pic:blipFill>
                          <a:blip r:embed="rId10"/>
                          <a:stretch>
                            <a:fillRect/>
                          </a:stretch>
                        </pic:blipFill>
                        <pic:spPr>
                          <a:xfrm>
                            <a:off x="0" y="0"/>
                            <a:ext cx="5806440" cy="2903220"/>
                          </a:xfrm>
                          <a:prstGeom prst="rect"/>
                        </pic:spPr>
                      </pic:pic>
                    </a:graphicData>
                  </a:graphic>
                </wp:inline>
              </w:drawing>
            </w:r>
          </w:p>
          <w:p>
            <w:pPr>
              <w:jc w:val="center"/>
            </w:pPr>
            <w:r>
              <w:rPr>
                <w:rFonts w:ascii="NanumSquareOTF" w:hAnsi="NanumSquareOTF" w:eastAsia="NanumSquareOTF"/>
                <w:b w:val="0"/>
                <w:i/>
                <w:color w:val="6E6E6E"/>
                <w:sz w:val="18"/>
              </w:rPr>
              <w:t>최근 종가 흐름 (2026-02-11 ~ 2026-05-13) | Latest close 284,000.00</w:t>
            </w:r>
          </w:p>
        </w:tc>
      </w:tr>
    </w:tbl>
    <w:tbl>
      <w:tblPr>
        <w:tblW w:type="auto" w:w="0"/>
        <w:jc w:val="center"/>
        <w:tblLayout w:type="fixed"/>
        <w:tblLook w:firstColumn="1" w:firstRow="1" w:lastColumn="0" w:lastRow="0" w:noHBand="0" w:noVBand="1" w:val="04A0"/>
      </w:tblPr>
      <w:tblGrid>
        <w:gridCol w:w="2581"/>
        <w:gridCol w:w="2581"/>
        <w:gridCol w:w="2581"/>
        <w:gridCol w:w="2581"/>
      </w:tblGrid>
      <w:tr>
        <w:tc>
          <w:tcPr>
            <w:tcW w:type="dxa" w:w="2581"/>
            <w:shd w:fill="1E7032"/>
            <w:tcMar>
              <w:top w:w="70" w:type="dxa"/>
              <w:bottom w:w="70" w:type="dxa"/>
              <w:start w:w="80" w:type="dxa"/>
              <w:end w:w="80" w:type="dxa"/>
            </w:tcMar>
          </w:tcPr>
          <w:p>
            <w:r/>
            <w:r>
              <w:rPr>
                <w:rFonts w:ascii="NanumSquareOTF" w:hAnsi="NanumSquareOTF" w:eastAsia="NanumSquareOTF"/>
                <w:b/>
                <w:i w:val="0"/>
                <w:color w:val="FFFFFF"/>
                <w:sz w:val="20"/>
              </w:rPr>
              <w:t>종가</w:t>
            </w:r>
          </w:p>
        </w:tc>
        <w:tc>
          <w:tcPr>
            <w:tcW w:type="dxa" w:w="2581"/>
            <w:shd w:fill="1E7032"/>
            <w:tcMar>
              <w:top w:w="70" w:type="dxa"/>
              <w:bottom w:w="70" w:type="dxa"/>
              <w:start w:w="80" w:type="dxa"/>
              <w:end w:w="80" w:type="dxa"/>
            </w:tcMar>
          </w:tcPr>
          <w:p>
            <w:r/>
            <w:r>
              <w:rPr>
                <w:rFonts w:ascii="NanumSquareOTF" w:hAnsi="NanumSquareOTF" w:eastAsia="NanumSquareOTF"/>
                <w:b/>
                <w:i w:val="0"/>
                <w:color w:val="FFFFFF"/>
                <w:sz w:val="20"/>
              </w:rPr>
              <w:t>PER</w:t>
            </w:r>
          </w:p>
        </w:tc>
        <w:tc>
          <w:tcPr>
            <w:tcW w:type="dxa" w:w="2581"/>
            <w:shd w:fill="1E7032"/>
            <w:tcMar>
              <w:top w:w="70" w:type="dxa"/>
              <w:bottom w:w="70" w:type="dxa"/>
              <w:start w:w="80" w:type="dxa"/>
              <w:end w:w="80" w:type="dxa"/>
            </w:tcMar>
          </w:tcPr>
          <w:p>
            <w:r/>
            <w:r>
              <w:rPr>
                <w:rFonts w:ascii="NanumSquareOTF" w:hAnsi="NanumSquareOTF" w:eastAsia="NanumSquareOTF"/>
                <w:b/>
                <w:i w:val="0"/>
                <w:color w:val="FFFFFF"/>
                <w:sz w:val="20"/>
              </w:rPr>
              <w:t>PBR</w:t>
            </w:r>
          </w:p>
        </w:tc>
        <w:tc>
          <w:tcPr>
            <w:tcW w:type="dxa" w:w="2581"/>
            <w:shd w:fill="1E7032"/>
            <w:tcMar>
              <w:top w:w="70" w:type="dxa"/>
              <w:bottom w:w="70" w:type="dxa"/>
              <w:start w:w="80" w:type="dxa"/>
              <w:end w:w="80" w:type="dxa"/>
            </w:tcMar>
          </w:tcPr>
          <w:p>
            <w:r/>
            <w:r>
              <w:rPr>
                <w:rFonts w:ascii="NanumSquareOTF" w:hAnsi="NanumSquareOTF" w:eastAsia="NanumSquareOTF"/>
                <w:b/>
                <w:i w:val="0"/>
                <w:color w:val="FFFFFF"/>
                <w:sz w:val="20"/>
              </w:rPr>
              <w:t>ROE</w:t>
            </w:r>
          </w:p>
        </w:tc>
      </w:tr>
      <w:tr>
        <w:tc>
          <w:tcPr>
            <w:tcW w:type="dxa" w:w="2581"/>
            <w:shd w:fill="EFF5EC"/>
            <w:tcMar>
              <w:top w:w="90" w:type="dxa"/>
              <w:bottom w:w="90" w:type="dxa"/>
              <w:start w:w="80" w:type="dxa"/>
              <w:end w:w="80" w:type="dxa"/>
            </w:tcMar>
          </w:tcPr>
          <w:p>
            <w:r/>
            <w:r>
              <w:rPr>
                <w:rFonts w:ascii="NanumSquareOTF" w:hAnsi="NanumSquareOTF" w:eastAsia="NanumSquareOTF"/>
                <w:b w:val="0"/>
                <w:i w:val="0"/>
                <w:color w:val="1D1D1B"/>
                <w:sz w:val="21"/>
              </w:rPr>
              <w:t>284,000.00</w:t>
            </w:r>
          </w:p>
        </w:tc>
        <w:tc>
          <w:tcPr>
            <w:tcW w:type="dxa" w:w="2581"/>
            <w:shd w:fill="EFF5EC"/>
            <w:tcMar>
              <w:top w:w="90" w:type="dxa"/>
              <w:bottom w:w="90" w:type="dxa"/>
              <w:start w:w="80" w:type="dxa"/>
              <w:end w:w="80" w:type="dxa"/>
            </w:tcMar>
          </w:tcPr>
          <w:p>
            <w:r/>
            <w:r>
              <w:rPr>
                <w:rFonts w:ascii="NanumSquareOTF" w:hAnsi="NanumSquareOTF" w:eastAsia="NanumSquareOTF"/>
                <w:b w:val="0"/>
                <w:i w:val="0"/>
                <w:color w:val="1D1D1B"/>
                <w:sz w:val="21"/>
              </w:rPr>
              <w:t>43.01</w:t>
            </w:r>
          </w:p>
        </w:tc>
        <w:tc>
          <w:tcPr>
            <w:tcW w:type="dxa" w:w="2581"/>
            <w:shd w:fill="EFF5EC"/>
            <w:tcMar>
              <w:top w:w="90" w:type="dxa"/>
              <w:bottom w:w="90" w:type="dxa"/>
              <w:start w:w="80" w:type="dxa"/>
              <w:end w:w="80" w:type="dxa"/>
            </w:tcMar>
          </w:tcPr>
          <w:p>
            <w:r/>
            <w:r>
              <w:rPr>
                <w:rFonts w:ascii="NanumSquareOTF" w:hAnsi="NanumSquareOTF" w:eastAsia="NanumSquareOTF"/>
                <w:b w:val="0"/>
                <w:i w:val="0"/>
                <w:color w:val="1D1D1B"/>
                <w:sz w:val="21"/>
              </w:rPr>
              <w:t>4.46</w:t>
            </w:r>
          </w:p>
        </w:tc>
        <w:tc>
          <w:tcPr>
            <w:tcW w:type="dxa" w:w="2581"/>
            <w:shd w:fill="EFF5EC"/>
            <w:tcMar>
              <w:top w:w="90" w:type="dxa"/>
              <w:bottom w:w="90" w:type="dxa"/>
              <w:start w:w="80" w:type="dxa"/>
              <w:end w:w="80" w:type="dxa"/>
            </w:tcMar>
          </w:tcPr>
          <w:p>
            <w:r/>
            <w:r>
              <w:rPr>
                <w:rFonts w:ascii="NanumSquareOTF" w:hAnsi="NanumSquareOTF" w:eastAsia="NanumSquareOTF"/>
                <w:b w:val="0"/>
                <w:i w:val="0"/>
                <w:color w:val="1D1D1B"/>
                <w:sz w:val="21"/>
              </w:rPr>
              <w:t>10.78%</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34"/>
              </w:rPr>
              <w:t>Financial Snapshot</w:t>
            </w:r>
          </w:p>
        </w:tc>
      </w:tr>
      <w:tr>
        <w:tc>
          <w:tcPr>
            <w:tcW w:type="dxa" w:w="10325"/>
            <w:shd w:fill="EFF5EC"/>
            <w:tcBorders>
              <w:top w:val="nil"/>
              <w:left w:val="nil"/>
              <w:bottom w:val="nil"/>
              <w:right w:val="nil"/>
              <w:insideH w:val="nil"/>
              <w:insideV w:val="nil"/>
            </w:tcBorders>
            <w:tcMar>
              <w:top w:w="120" w:type="dxa"/>
              <w:bottom w:w="120" w:type="dxa"/>
              <w:start w:w="120" w:type="dxa"/>
              <w:end w:w="120" w:type="dxa"/>
            </w:tcMar>
          </w:tcPr>
          <w:p>
            <w:pPr>
              <w:spacing w:after="0"/>
            </w:pPr>
            <w:r/>
            <w:r>
              <w:rPr>
                <w:rFonts w:ascii="NanumSquareOTF" w:hAnsi="NanumSquareOTF" w:eastAsia="NanumSquareOTF"/>
                <w:b w:val="0"/>
                <w:i w:val="0"/>
                <w:color w:val="1D1D1B"/>
                <w:sz w:val="22"/>
              </w:rPr>
              <w:t>재무 기준일은 2025-12-31이다. PER은 43.01, PBR은 4.46, ROE는 10.78% 수준이다. 시가총액은 1,944,378,709,677,419로 집계된다. 기술적 시장 국면은 추세장으로 분류된다.</w:t>
            </w:r>
          </w:p>
        </w:tc>
      </w:tr>
    </w:tbl>
    <w:p>
      <w:r>
        <w:br w:type="page"/>
      </w:r>
    </w:p>
    <w:tbl>
      <w:tblPr>
        <w:tblW w:type="auto" w:w="0"/>
        <w:jc w:val="center"/>
        <w:tblLayout w:type="fixed"/>
        <w:tblLook w:firstColumn="1" w:firstRow="1" w:lastColumn="0" w:lastRow="0" w:noHBand="0" w:noVBand="1" w:val="04A0"/>
      </w:tblPr>
      <w:tblGrid>
        <w:gridCol w:w="3312"/>
        <w:gridCol w:w="6912"/>
      </w:tblGrid>
      <w:tr>
        <w:tc>
          <w:tcPr>
            <w:tcW w:type="dxa" w:w="5162"/>
            <w:shd w:fill="1E7032"/>
            <w:tcBorders>
              <w:top w:val="nil"/>
              <w:left w:val="nil"/>
              <w:bottom w:val="nil"/>
              <w:right w:val="nil"/>
              <w:insideH w:val="nil"/>
              <w:insideV w:val="nil"/>
            </w:tcBorders>
            <w:tcMar>
              <w:top w:w="160" w:type="dxa"/>
              <w:bottom w:w="180" w:type="dxa"/>
              <w:start w:w="160" w:type="dxa"/>
              <w:end w:w="160" w:type="dxa"/>
            </w:tcMar>
            <w:vAlign w:val="top"/>
          </w:tcPr>
          <w:p>
            <w:r>
              <w:rPr>
                <w:rFonts w:ascii="NanumSquareOTF" w:hAnsi="NanumSquareOTF" w:eastAsia="NanumSquareOTF"/>
                <w:b/>
                <w:i w:val="0"/>
                <w:color w:val="FFFFFF"/>
                <w:sz w:val="36"/>
              </w:rPr>
              <w:t>SK하이닉스</w:t>
              <w:br/>
              <w:t>(000660)</w:t>
            </w:r>
          </w:p>
          <w:p>
            <w:r>
              <w:rPr>
                <w:rFonts w:ascii="NanumSquareOTF" w:hAnsi="NanumSquareOTF" w:eastAsia="NanumSquareOTF"/>
                <w:b w:val="0"/>
                <w:i w:val="0"/>
                <w:color w:val="FFFFFF"/>
                <w:sz w:val="19"/>
              </w:rPr>
              <w:t>KOSPI</w:t>
              <w:br/>
              <w:t>재무 기준일: 2025-12-31</w:t>
              <w:br/>
              <w:t>출처: OpenDART</w:t>
            </w:r>
          </w:p>
          <w:tbl>
            <w:tblPr>
              <w:tblW w:type="auto" w:w="0"/>
              <w:tblLook w:firstColumn="1" w:firstRow="1" w:lastColumn="0" w:lastRow="0" w:noHBand="0" w:noVBand="1" w:val="04A0"/>
            </w:tblPr>
            <w:tblGrid>
              <w:gridCol w:w="5162"/>
            </w:tblGrid>
            <w:tr>
              <w:tc>
                <w:tcPr>
                  <w:tcW w:type="dxa" w:w="5162"/>
                  <w:shd w:fill="FFFFFF"/>
                  <w:tcBorders>
                    <w:top w:val="nil"/>
                    <w:left w:val="nil"/>
                    <w:bottom w:val="nil"/>
                    <w:right w:val="nil"/>
                    <w:insideH w:val="nil"/>
                    <w:insideV w:val="nil"/>
                  </w:tcBorders>
                  <w:tcMar>
                    <w:top w:w="100" w:type="dxa"/>
                    <w:bottom w:w="100" w:type="dxa"/>
                    <w:start w:w="110" w:type="dxa"/>
                    <w:end w:w="110" w:type="dxa"/>
                  </w:tcMar>
                </w:tcPr>
                <w:p>
                  <w:r/>
                  <w:r>
                    <w:rPr>
                      <w:rFonts w:ascii="NanumSquareOTF" w:hAnsi="NanumSquareOTF" w:eastAsia="NanumSquareOTF"/>
                      <w:b w:val="0"/>
                      <w:i w:val="0"/>
                      <w:color w:val="1D1D1B"/>
                      <w:sz w:val="18"/>
                    </w:rPr>
                    <w:t>의견      강력 매수</w:t>
                    <w:br/>
                    <w:t>점수      13.00</w:t>
                    <w:br/>
                    <w:t>신뢰도    0.95</w:t>
                    <w:br/>
                    <w:t>종가      1,976,000.00</w:t>
                    <w:br/>
                    <w:t>PER       32.73</w:t>
                    <w:br/>
                    <w:t>PBR       11.65</w:t>
                    <w:br/>
                    <w:t>ROE       44.14%</w:t>
                  </w:r>
                </w:p>
              </w:tc>
            </w:tr>
          </w:tbl>
          <w:p/>
        </w:tc>
        <w:tc>
          <w:tcPr>
            <w:tcW w:type="dxa" w:w="5162"/>
            <w:tcBorders>
              <w:top w:val="nil"/>
              <w:left w:val="nil"/>
              <w:bottom w:val="nil"/>
              <w:right w:val="nil"/>
              <w:insideH w:val="nil"/>
              <w:insideV w:val="nil"/>
            </w:tcBorders>
            <w:tcMar>
              <w:top w:w="60" w:type="dxa"/>
              <w:bottom w:w="80" w:type="dxa"/>
              <w:start w:w="150" w:type="dxa"/>
              <w:end w:w="150" w:type="dxa"/>
            </w:tcMar>
            <w:vAlign w:val="top"/>
          </w:tcPr>
          <w:p/>
          <w:tbl>
            <w:tblPr>
              <w:tblW w:type="auto" w:w="0"/>
              <w:jc w:val="center"/>
              <w:tblLayout w:type="autofit"/>
              <w:tblLook w:firstColumn="1" w:firstRow="1" w:lastColumn="0" w:lastRow="0" w:noHBand="0" w:noVBand="1" w:val="04A0"/>
            </w:tblPr>
            <w:tblGrid>
              <w:gridCol w:w="5162"/>
            </w:tblGrid>
            <w:tr>
              <w:tc>
                <w:tcPr>
                  <w:tcW w:type="dxa" w:w="5162"/>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26"/>
                    </w:rPr>
                    <w:t>OPINION</w:t>
                  </w:r>
                </w:p>
              </w:tc>
            </w:tr>
            <w:tr>
              <w:tc>
                <w:tcPr>
                  <w:tcW w:type="dxa" w:w="5162"/>
                  <w:shd w:fill="FFFFFF"/>
                  <w:tcBorders>
                    <w:top w:val="nil"/>
                    <w:left w:val="nil"/>
                    <w:bottom w:val="nil"/>
                    <w:right w:val="nil"/>
                    <w:insideH w:val="nil"/>
                    <w:insideV w:val="nil"/>
                  </w:tcBorders>
                  <w:tcMar>
                    <w:top w:w="90" w:type="dxa"/>
                    <w:bottom w:w="120" w:type="dxa"/>
                    <w:start w:w="120" w:type="dxa"/>
                    <w:end w:w="120" w:type="dxa"/>
                  </w:tcMar>
                </w:tcPr>
                <w:p>
                  <w:pPr>
                    <w:spacing w:after="0"/>
                  </w:pPr>
                  <w:r/>
                  <w:r>
                    <w:rPr>
                      <w:rFonts w:ascii="NanumSquareOTF" w:hAnsi="NanumSquareOTF" w:eastAsia="NanumSquareOTF"/>
                      <w:b w:val="0"/>
                      <w:i w:val="0"/>
                      <w:color w:val="1D1D1B"/>
                      <w:sz w:val="20"/>
                    </w:rPr>
                    <w:t>SK하이닉스(000660)는 외국인 순매도 약 11.5조원이라는 직접적 영향을 받은 대표적 반도체주다. 따라서 SK하이닉스는 업황·수급 회복 시 높은 리턴을 기대할 수 있는 핵심 포지션으로 추천하되, 밸류에이션 리스크를 고려한 포지션 축소·분할매수 전략이 합리적이다.</w:t>
                  </w:r>
                </w:p>
              </w:tc>
            </w:tr>
          </w:tbl>
          <w:p/>
          <w:tbl>
            <w:tblPr>
              <w:tblW w:type="auto" w:w="0"/>
              <w:jc w:val="center"/>
              <w:tblLayout w:type="autofit"/>
              <w:tblLook w:firstColumn="1" w:firstRow="1" w:lastColumn="0" w:lastRow="0" w:noHBand="0" w:noVBand="1" w:val="04A0"/>
            </w:tblPr>
            <w:tblGrid>
              <w:gridCol w:w="5162"/>
            </w:tblGrid>
            <w:tr>
              <w:tc>
                <w:tcPr>
                  <w:tcW w:type="dxa" w:w="5162"/>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26"/>
                    </w:rPr>
                    <w:t>Technical / Momentum</w:t>
                  </w:r>
                </w:p>
              </w:tc>
            </w:tr>
            <w:tr>
              <w:tc>
                <w:tcPr>
                  <w:tcW w:type="dxa" w:w="5162"/>
                  <w:shd w:fill="FFFFFF"/>
                  <w:tcBorders>
                    <w:top w:val="nil"/>
                    <w:left w:val="nil"/>
                    <w:bottom w:val="nil"/>
                    <w:right w:val="nil"/>
                    <w:insideH w:val="nil"/>
                    <w:insideV w:val="nil"/>
                  </w:tcBorders>
                  <w:tcMar>
                    <w:top w:w="90" w:type="dxa"/>
                    <w:bottom w:w="120" w:type="dxa"/>
                    <w:start w:w="120" w:type="dxa"/>
                    <w:end w:w="120" w:type="dxa"/>
                  </w:tcMar>
                </w:tcPr>
                <w:p>
                  <w:pPr>
                    <w:spacing w:after="0"/>
                  </w:pPr>
                  <w:r/>
                  <w:r>
                    <w:rPr>
                      <w:rFonts w:ascii="NanumSquareOTF" w:hAnsi="NanumSquareOTF" w:eastAsia="NanumSquareOTF"/>
                      <w:b w:val="0"/>
                      <w:i w:val="0"/>
                      <w:color w:val="1D1D1B"/>
                      <w:sz w:val="20"/>
                    </w:rPr>
                    <w:t>현재 기술 국면은 추세장으로 분류되며, 종합 신호는 강력 매수(점수 13.00, 신뢰도 0.95)다. 최근 20일 평균가격과 50일 평균가격의 상대 위치로 중기 추세를 읽는 이동평균 지표에서, SMA20(1,391,600.00)이 SMA50(1,120,740.00) 위에 있어 중기 추세는 우상향으로 해석된다. 최근 가격 압력이 단기적으로 얼마나 강한지를 보여주는 EMA20 기준으로도 종가(1,976,000.00)가 EMA20(1,459,607.04) 위에 있어 단기 매수 압력이 우세하다. 단기·장기 이동평균의 간격 변화로 모멘텀 전환을 읽는 MACD 지표는 218481.58이며, 시그널선(156137.61) 위에 있어 상승 모멘텀이 우세하다고, 히스토그램도 양(+)의 구간(62343.97)에 있다. 추세의 세기 자체를 측정하는 ADX는 49.82 수준으로 강한 편이고, 방향성 지표에서는 +DI(46.12)가 -DI(5.74)보다 높아 상승 추세가 우세하다. 거래량이 가격 움직임을 얼마나 뒷받침하는지 보여주는 OBV 흐름도 단기 평균이 장기 평균 위에 있어 수급 측면의 뒷받침이 우호적이다. 가격의 상승·하락 압력이 얼마나 한쪽으로 쏠렸는지 보여주는 RSI 지표는 86.55로, 통상적 기준상 과매수(70 이상) 구간에 해당한다. 단기 변곡 가능성을 빠르게 포착하는 스토캐스틱은 %K 90.96, %D 92.88로 과매수권 둔화 신호에 가깝다. 변동성 범위 대비 현재 가격 위치를 보여주는 볼린저밴드 기준으로는 주가가 상단을 웃돌아 단기 과열 부담이 있다. 주요 근거로는 SMA20…</w:t>
                  </w:r>
                </w:p>
              </w:tc>
            </w:tr>
          </w:tbl>
          <w:p/>
          <w:tbl>
            <w:tblPr>
              <w:tblW w:type="auto" w:w="0"/>
              <w:jc w:val="center"/>
              <w:tblLayout w:type="autofit"/>
              <w:tblLook w:firstColumn="1" w:firstRow="1" w:lastColumn="0" w:lastRow="0" w:noHBand="0" w:noVBand="1" w:val="04A0"/>
            </w:tblPr>
            <w:tblGrid>
              <w:gridCol w:w="5162"/>
            </w:tblGrid>
            <w:tr>
              <w:tc>
                <w:tcPr>
                  <w:tcW w:type="dxa" w:w="5162"/>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26"/>
                    </w:rPr>
                    <w:t>RISK</w:t>
                  </w:r>
                </w:p>
              </w:tc>
            </w:tr>
            <w:tr>
              <w:tc>
                <w:tcPr>
                  <w:tcW w:type="dxa" w:w="5162"/>
                  <w:shd w:fill="FFFFFF"/>
                  <w:tcBorders>
                    <w:top w:val="nil"/>
                    <w:left w:val="nil"/>
                    <w:bottom w:val="nil"/>
                    <w:right w:val="nil"/>
                    <w:insideH w:val="nil"/>
                    <w:insideV w:val="nil"/>
                  </w:tcBorders>
                  <w:tcMar>
                    <w:top w:w="90" w:type="dxa"/>
                    <w:bottom w:w="120" w:type="dxa"/>
                    <w:start w:w="120" w:type="dxa"/>
                    <w:end w:w="120" w:type="dxa"/>
                  </w:tcMar>
                </w:tcPr>
                <w:p>
                  <w:pPr>
                    <w:spacing w:after="0"/>
                  </w:pPr>
                  <w:r/>
                  <w:r>
                    <w:rPr>
                      <w:rFonts w:ascii="NanumSquareOTF" w:hAnsi="NanumSquareOTF" w:eastAsia="NanumSquareOTF"/>
                      <w:b w:val="0"/>
                      <w:i w:val="0"/>
                      <w:color w:val="1D1D1B"/>
                      <w:sz w:val="20"/>
                    </w:rPr>
                    <w:t>위험도는 높음 수준이다.</w:t>
                  </w:r>
                </w:p>
              </w:tc>
            </w:tr>
          </w:tbl>
          <w:p/>
        </w:tc>
      </w:tr>
    </w:tbl>
    <w:p>
      <w:r>
        <w:br w:type="page"/>
      </w:r>
    </w:p>
    <w:p>
      <w:r>
        <w:rPr>
          <w:rFonts w:ascii="NanumSquareOTF" w:hAnsi="NanumSquareOTF" w:eastAsia="NanumSquareOTF"/>
          <w:b/>
          <w:i w:val="0"/>
          <w:color w:val="255A1B"/>
          <w:sz w:val="36"/>
        </w:rPr>
        <w:t>SK하이닉스 (000660)</w:t>
      </w:r>
    </w:p>
    <w:p>
      <w:r>
        <w:rPr>
          <w:rFonts w:ascii="NanumSquareOTF" w:hAnsi="NanumSquareOTF" w:eastAsia="NanumSquareOTF"/>
          <w:b w:val="0"/>
          <w:i w:val="0"/>
          <w:color w:val="1D1D1B"/>
          <w:sz w:val="20"/>
        </w:rPr>
        <w:t>KOSPI | 의견 강력 매수 | 점수 13.00 | 신뢰도 0.95</w:t>
      </w:r>
    </w:p>
    <w:tbl>
      <w:tblPr>
        <w:tblW w:type="auto" w:w="0"/>
        <w:jc w:val="center"/>
        <w:tblLook w:firstColumn="1" w:firstRow="1" w:lastColumn="0" w:lastRow="0" w:noHBand="0" w:noVBand="1" w:val="04A0"/>
      </w:tblPr>
      <w:tblGrid>
        <w:gridCol w:w="10325"/>
      </w:tblGrid>
      <w:tr>
        <w:tc>
          <w:tcPr>
            <w:tcW w:type="dxa" w:w="10325"/>
            <w:tcBorders>
              <w:top w:val="nil"/>
              <w:left w:val="nil"/>
              <w:bottom w:val="single" w:sz="6" w:color="1E7032"/>
              <w:right w:val="nil"/>
              <w:insideH w:val="nil"/>
              <w:insideV w:val="nil"/>
            </w:tcBorders>
            <w:tcMar>
              <w:top w:w="60" w:type="dxa"/>
              <w:bottom w:w="80" w:type="dxa"/>
              <w:start w:w="0" w:type="dxa"/>
              <w:end w:w="0" w:type="dxa"/>
            </w:tcMar>
          </w:tcPr>
          <w:p>
            <w:r/>
            <w:r>
              <w:rPr>
                <w:rFonts w:ascii="NanumSquareOTF" w:hAnsi="NanumSquareOTF" w:eastAsia="NanumSquareOTF"/>
                <w:b/>
                <w:i w:val="0"/>
                <w:color w:val="255A1B"/>
                <w:sz w:val="26"/>
              </w:rPr>
              <w:t>SK하이닉스 Price Trend</w:t>
            </w:r>
          </w:p>
        </w:tc>
      </w:tr>
      <w:tr>
        <w:tc>
          <w:tcPr>
            <w:tcW w:type="dxa" w:w="10325"/>
            <w:tcBorders>
              <w:top w:val="nil"/>
              <w:left w:val="nil"/>
              <w:bottom w:val="nil"/>
              <w:right w:val="nil"/>
              <w:insideH w:val="nil"/>
              <w:insideV w:val="nil"/>
            </w:tcBorders>
            <w:tcMar>
              <w:top w:w="120" w:type="dxa"/>
              <w:bottom w:w="90" w:type="dxa"/>
              <w:start w:w="90" w:type="dxa"/>
              <w:end w:w="90" w:type="dxa"/>
            </w:tcMar>
          </w:tcPr>
          <w:p>
            <w:pPr>
              <w:jc w:val="center"/>
            </w:pPr>
            <w:r>
              <w:drawing>
                <wp:inline xmlns:a="http://schemas.openxmlformats.org/drawingml/2006/main" xmlns:pic="http://schemas.openxmlformats.org/drawingml/2006/picture">
                  <wp:extent cx="5806440" cy="2903220"/>
                  <wp:docPr id="2" name="Picture 2"/>
                  <wp:cNvGraphicFramePr>
                    <a:graphicFrameLocks noChangeAspect="1"/>
                  </wp:cNvGraphicFramePr>
                  <a:graphic>
                    <a:graphicData uri="http://schemas.openxmlformats.org/drawingml/2006/picture">
                      <pic:pic>
                        <pic:nvPicPr>
                          <pic:cNvPr id="0" name="000660_SK하이닉스_recent_close.png"/>
                          <pic:cNvPicPr/>
                        </pic:nvPicPr>
                        <pic:blipFill>
                          <a:blip r:embed="rId11"/>
                          <a:stretch>
                            <a:fillRect/>
                          </a:stretch>
                        </pic:blipFill>
                        <pic:spPr>
                          <a:xfrm>
                            <a:off x="0" y="0"/>
                            <a:ext cx="5806440" cy="2903220"/>
                          </a:xfrm>
                          <a:prstGeom prst="rect"/>
                        </pic:spPr>
                      </pic:pic>
                    </a:graphicData>
                  </a:graphic>
                </wp:inline>
              </w:drawing>
            </w:r>
          </w:p>
          <w:p>
            <w:pPr>
              <w:jc w:val="center"/>
            </w:pPr>
            <w:r>
              <w:rPr>
                <w:rFonts w:ascii="NanumSquareOTF" w:hAnsi="NanumSquareOTF" w:eastAsia="NanumSquareOTF"/>
                <w:b w:val="0"/>
                <w:i/>
                <w:color w:val="6E6E6E"/>
                <w:sz w:val="18"/>
              </w:rPr>
              <w:t>최근 종가 흐름 (2026-02-11 ~ 2026-05-13) | Latest close 1,976,000.00</w:t>
            </w:r>
          </w:p>
        </w:tc>
      </w:tr>
    </w:tbl>
    <w:tbl>
      <w:tblPr>
        <w:tblW w:type="auto" w:w="0"/>
        <w:jc w:val="center"/>
        <w:tblLayout w:type="fixed"/>
        <w:tblLook w:firstColumn="1" w:firstRow="1" w:lastColumn="0" w:lastRow="0" w:noHBand="0" w:noVBand="1" w:val="04A0"/>
      </w:tblPr>
      <w:tblGrid>
        <w:gridCol w:w="2581"/>
        <w:gridCol w:w="2581"/>
        <w:gridCol w:w="2581"/>
        <w:gridCol w:w="2581"/>
      </w:tblGrid>
      <w:tr>
        <w:tc>
          <w:tcPr>
            <w:tcW w:type="dxa" w:w="2581"/>
            <w:shd w:fill="1E7032"/>
            <w:tcMar>
              <w:top w:w="70" w:type="dxa"/>
              <w:bottom w:w="70" w:type="dxa"/>
              <w:start w:w="80" w:type="dxa"/>
              <w:end w:w="80" w:type="dxa"/>
            </w:tcMar>
          </w:tcPr>
          <w:p>
            <w:r/>
            <w:r>
              <w:rPr>
                <w:rFonts w:ascii="NanumSquareOTF" w:hAnsi="NanumSquareOTF" w:eastAsia="NanumSquareOTF"/>
                <w:b/>
                <w:i w:val="0"/>
                <w:color w:val="FFFFFF"/>
                <w:sz w:val="20"/>
              </w:rPr>
              <w:t>종가</w:t>
            </w:r>
          </w:p>
        </w:tc>
        <w:tc>
          <w:tcPr>
            <w:tcW w:type="dxa" w:w="2581"/>
            <w:shd w:fill="1E7032"/>
            <w:tcMar>
              <w:top w:w="70" w:type="dxa"/>
              <w:bottom w:w="70" w:type="dxa"/>
              <w:start w:w="80" w:type="dxa"/>
              <w:end w:w="80" w:type="dxa"/>
            </w:tcMar>
          </w:tcPr>
          <w:p>
            <w:r/>
            <w:r>
              <w:rPr>
                <w:rFonts w:ascii="NanumSquareOTF" w:hAnsi="NanumSquareOTF" w:eastAsia="NanumSquareOTF"/>
                <w:b/>
                <w:i w:val="0"/>
                <w:color w:val="FFFFFF"/>
                <w:sz w:val="20"/>
              </w:rPr>
              <w:t>PER</w:t>
            </w:r>
          </w:p>
        </w:tc>
        <w:tc>
          <w:tcPr>
            <w:tcW w:type="dxa" w:w="2581"/>
            <w:shd w:fill="1E7032"/>
            <w:tcMar>
              <w:top w:w="70" w:type="dxa"/>
              <w:bottom w:w="70" w:type="dxa"/>
              <w:start w:w="80" w:type="dxa"/>
              <w:end w:w="80" w:type="dxa"/>
            </w:tcMar>
          </w:tcPr>
          <w:p>
            <w:r/>
            <w:r>
              <w:rPr>
                <w:rFonts w:ascii="NanumSquareOTF" w:hAnsi="NanumSquareOTF" w:eastAsia="NanumSquareOTF"/>
                <w:b/>
                <w:i w:val="0"/>
                <w:color w:val="FFFFFF"/>
                <w:sz w:val="20"/>
              </w:rPr>
              <w:t>PBR</w:t>
            </w:r>
          </w:p>
        </w:tc>
        <w:tc>
          <w:tcPr>
            <w:tcW w:type="dxa" w:w="2581"/>
            <w:shd w:fill="1E7032"/>
            <w:tcMar>
              <w:top w:w="70" w:type="dxa"/>
              <w:bottom w:w="70" w:type="dxa"/>
              <w:start w:w="80" w:type="dxa"/>
              <w:end w:w="80" w:type="dxa"/>
            </w:tcMar>
          </w:tcPr>
          <w:p>
            <w:r/>
            <w:r>
              <w:rPr>
                <w:rFonts w:ascii="NanumSquareOTF" w:hAnsi="NanumSquareOTF" w:eastAsia="NanumSquareOTF"/>
                <w:b/>
                <w:i w:val="0"/>
                <w:color w:val="FFFFFF"/>
                <w:sz w:val="20"/>
              </w:rPr>
              <w:t>ROE</w:t>
            </w:r>
          </w:p>
        </w:tc>
      </w:tr>
      <w:tr>
        <w:tc>
          <w:tcPr>
            <w:tcW w:type="dxa" w:w="2581"/>
            <w:shd w:fill="EFF5EC"/>
            <w:tcMar>
              <w:top w:w="90" w:type="dxa"/>
              <w:bottom w:w="90" w:type="dxa"/>
              <w:start w:w="80" w:type="dxa"/>
              <w:end w:w="80" w:type="dxa"/>
            </w:tcMar>
          </w:tcPr>
          <w:p>
            <w:r/>
            <w:r>
              <w:rPr>
                <w:rFonts w:ascii="NanumSquareOTF" w:hAnsi="NanumSquareOTF" w:eastAsia="NanumSquareOTF"/>
                <w:b w:val="0"/>
                <w:i w:val="0"/>
                <w:color w:val="1D1D1B"/>
                <w:sz w:val="21"/>
              </w:rPr>
              <w:t>1,976,000.00</w:t>
            </w:r>
          </w:p>
        </w:tc>
        <w:tc>
          <w:tcPr>
            <w:tcW w:type="dxa" w:w="2581"/>
            <w:shd w:fill="EFF5EC"/>
            <w:tcMar>
              <w:top w:w="90" w:type="dxa"/>
              <w:bottom w:w="90" w:type="dxa"/>
              <w:start w:w="80" w:type="dxa"/>
              <w:end w:w="80" w:type="dxa"/>
            </w:tcMar>
          </w:tcPr>
          <w:p>
            <w:r/>
            <w:r>
              <w:rPr>
                <w:rFonts w:ascii="NanumSquareOTF" w:hAnsi="NanumSquareOTF" w:eastAsia="NanumSquareOTF"/>
                <w:b w:val="0"/>
                <w:i w:val="0"/>
                <w:color w:val="1D1D1B"/>
                <w:sz w:val="21"/>
              </w:rPr>
              <w:t>32.73</w:t>
            </w:r>
          </w:p>
        </w:tc>
        <w:tc>
          <w:tcPr>
            <w:tcW w:type="dxa" w:w="2581"/>
            <w:shd w:fill="EFF5EC"/>
            <w:tcMar>
              <w:top w:w="90" w:type="dxa"/>
              <w:bottom w:w="90" w:type="dxa"/>
              <w:start w:w="80" w:type="dxa"/>
              <w:end w:w="80" w:type="dxa"/>
            </w:tcMar>
          </w:tcPr>
          <w:p>
            <w:r/>
            <w:r>
              <w:rPr>
                <w:rFonts w:ascii="NanumSquareOTF" w:hAnsi="NanumSquareOTF" w:eastAsia="NanumSquareOTF"/>
                <w:b w:val="0"/>
                <w:i w:val="0"/>
                <w:color w:val="1D1D1B"/>
                <w:sz w:val="21"/>
              </w:rPr>
              <w:t>11.65</w:t>
            </w:r>
          </w:p>
        </w:tc>
        <w:tc>
          <w:tcPr>
            <w:tcW w:type="dxa" w:w="2581"/>
            <w:shd w:fill="EFF5EC"/>
            <w:tcMar>
              <w:top w:w="90" w:type="dxa"/>
              <w:bottom w:w="90" w:type="dxa"/>
              <w:start w:w="80" w:type="dxa"/>
              <w:end w:w="80" w:type="dxa"/>
            </w:tcMar>
          </w:tcPr>
          <w:p>
            <w:r/>
            <w:r>
              <w:rPr>
                <w:rFonts w:ascii="NanumSquareOTF" w:hAnsi="NanumSquareOTF" w:eastAsia="NanumSquareOTF"/>
                <w:b w:val="0"/>
                <w:i w:val="0"/>
                <w:color w:val="1D1D1B"/>
                <w:sz w:val="21"/>
              </w:rPr>
              <w:t>44.14%</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34"/>
              </w:rPr>
              <w:t>Financial Snapshot</w:t>
            </w:r>
          </w:p>
        </w:tc>
      </w:tr>
      <w:tr>
        <w:tc>
          <w:tcPr>
            <w:tcW w:type="dxa" w:w="10325"/>
            <w:shd w:fill="EFF5EC"/>
            <w:tcBorders>
              <w:top w:val="nil"/>
              <w:left w:val="nil"/>
              <w:bottom w:val="nil"/>
              <w:right w:val="nil"/>
              <w:insideH w:val="nil"/>
              <w:insideV w:val="nil"/>
            </w:tcBorders>
            <w:tcMar>
              <w:top w:w="120" w:type="dxa"/>
              <w:bottom w:w="120" w:type="dxa"/>
              <w:start w:w="120" w:type="dxa"/>
              <w:end w:w="120" w:type="dxa"/>
            </w:tcMar>
          </w:tcPr>
          <w:p>
            <w:pPr>
              <w:spacing w:after="0"/>
            </w:pPr>
            <w:r/>
            <w:r>
              <w:rPr>
                <w:rFonts w:ascii="NanumSquareOTF" w:hAnsi="NanumSquareOTF" w:eastAsia="NanumSquareOTF"/>
                <w:b w:val="0"/>
                <w:i w:val="0"/>
                <w:color w:val="1D1D1B"/>
                <w:sz w:val="22"/>
              </w:rPr>
              <w:t>재무 기준일은 2025-12-31이다. PER은 32.73, PBR은 11.65, ROE는 44.14% 수준이다. 시가총액은 1,405,562,528,603,134로 집계된다. 기술적 시장 국면은 추세장으로 분류된다.</w:t>
            </w:r>
          </w:p>
        </w:tc>
      </w:tr>
    </w:tbl>
    <w:p>
      <w:r>
        <w:br w:type="page"/>
      </w:r>
    </w:p>
    <w:tbl>
      <w:tblPr>
        <w:tblW w:type="auto" w:w="0"/>
        <w:jc w:val="center"/>
        <w:tblLayout w:type="fixed"/>
        <w:tblLook w:firstColumn="1" w:firstRow="1" w:lastColumn="0" w:lastRow="0" w:noHBand="0" w:noVBand="1" w:val="04A0"/>
      </w:tblPr>
      <w:tblGrid>
        <w:gridCol w:w="3312"/>
        <w:gridCol w:w="6912"/>
      </w:tblGrid>
      <w:tr>
        <w:tc>
          <w:tcPr>
            <w:tcW w:type="dxa" w:w="5162"/>
            <w:shd w:fill="1E7032"/>
            <w:tcBorders>
              <w:top w:val="nil"/>
              <w:left w:val="nil"/>
              <w:bottom w:val="nil"/>
              <w:right w:val="nil"/>
              <w:insideH w:val="nil"/>
              <w:insideV w:val="nil"/>
            </w:tcBorders>
            <w:tcMar>
              <w:top w:w="160" w:type="dxa"/>
              <w:bottom w:w="180" w:type="dxa"/>
              <w:start w:w="160" w:type="dxa"/>
              <w:end w:w="160" w:type="dxa"/>
            </w:tcMar>
            <w:vAlign w:val="top"/>
          </w:tcPr>
          <w:p>
            <w:r>
              <w:rPr>
                <w:rFonts w:ascii="NanumSquareOTF" w:hAnsi="NanumSquareOTF" w:eastAsia="NanumSquareOTF"/>
                <w:b/>
                <w:i w:val="0"/>
                <w:color w:val="FFFFFF"/>
                <w:sz w:val="36"/>
              </w:rPr>
              <w:t>삼성증권</w:t>
              <w:br/>
              <w:t>(016360)</w:t>
            </w:r>
          </w:p>
          <w:p>
            <w:r>
              <w:rPr>
                <w:rFonts w:ascii="NanumSquareOTF" w:hAnsi="NanumSquareOTF" w:eastAsia="NanumSquareOTF"/>
                <w:b w:val="0"/>
                <w:i w:val="0"/>
                <w:color w:val="FFFFFF"/>
                <w:sz w:val="19"/>
              </w:rPr>
              <w:t>KOSPI</w:t>
              <w:br/>
              <w:t>재무 기준일: 2025-12-31</w:t>
              <w:br/>
              <w:t>출처: OpenDART</w:t>
            </w:r>
          </w:p>
          <w:tbl>
            <w:tblPr>
              <w:tblW w:type="auto" w:w="0"/>
              <w:tblLook w:firstColumn="1" w:firstRow="1" w:lastColumn="0" w:lastRow="0" w:noHBand="0" w:noVBand="1" w:val="04A0"/>
            </w:tblPr>
            <w:tblGrid>
              <w:gridCol w:w="5162"/>
            </w:tblGrid>
            <w:tr>
              <w:tc>
                <w:tcPr>
                  <w:tcW w:type="dxa" w:w="5162"/>
                  <w:shd w:fill="FFFFFF"/>
                  <w:tcBorders>
                    <w:top w:val="nil"/>
                    <w:left w:val="nil"/>
                    <w:bottom w:val="nil"/>
                    <w:right w:val="nil"/>
                    <w:insideH w:val="nil"/>
                    <w:insideV w:val="nil"/>
                  </w:tcBorders>
                  <w:tcMar>
                    <w:top w:w="100" w:type="dxa"/>
                    <w:bottom w:w="100" w:type="dxa"/>
                    <w:start w:w="110" w:type="dxa"/>
                    <w:end w:w="110" w:type="dxa"/>
                  </w:tcMar>
                </w:tcPr>
                <w:p>
                  <w:r/>
                  <w:r>
                    <w:rPr>
                      <w:rFonts w:ascii="NanumSquareOTF" w:hAnsi="NanumSquareOTF" w:eastAsia="NanumSquareOTF"/>
                      <w:b w:val="0"/>
                      <w:i w:val="0"/>
                      <w:color w:val="1D1D1B"/>
                      <w:sz w:val="18"/>
                    </w:rPr>
                    <w:t>의견      강력 매수</w:t>
                    <w:br/>
                    <w:t>점수      10.00</w:t>
                    <w:br/>
                    <w:t>신뢰도    0.95</w:t>
                    <w:br/>
                    <w:t>종가      127,900.00</w:t>
                    <w:br/>
                    <w:t>PER       11.34</w:t>
                    <w:br/>
                    <w:t>PBR       1.42</w:t>
                    <w:br/>
                    <w:t>ROE       13.09%</w:t>
                  </w:r>
                </w:p>
              </w:tc>
            </w:tr>
          </w:tbl>
          <w:p/>
        </w:tc>
        <w:tc>
          <w:tcPr>
            <w:tcW w:type="dxa" w:w="5162"/>
            <w:tcBorders>
              <w:top w:val="nil"/>
              <w:left w:val="nil"/>
              <w:bottom w:val="nil"/>
              <w:right w:val="nil"/>
              <w:insideH w:val="nil"/>
              <w:insideV w:val="nil"/>
            </w:tcBorders>
            <w:tcMar>
              <w:top w:w="60" w:type="dxa"/>
              <w:bottom w:w="80" w:type="dxa"/>
              <w:start w:w="150" w:type="dxa"/>
              <w:end w:w="150" w:type="dxa"/>
            </w:tcMar>
            <w:vAlign w:val="top"/>
          </w:tcPr>
          <w:p/>
          <w:tbl>
            <w:tblPr>
              <w:tblW w:type="auto" w:w="0"/>
              <w:jc w:val="center"/>
              <w:tblLayout w:type="autofit"/>
              <w:tblLook w:firstColumn="1" w:firstRow="1" w:lastColumn="0" w:lastRow="0" w:noHBand="0" w:noVBand="1" w:val="04A0"/>
            </w:tblPr>
            <w:tblGrid>
              <w:gridCol w:w="5162"/>
            </w:tblGrid>
            <w:tr>
              <w:tc>
                <w:tcPr>
                  <w:tcW w:type="dxa" w:w="5162"/>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26"/>
                    </w:rPr>
                    <w:t>OPINION</w:t>
                  </w:r>
                </w:p>
              </w:tc>
            </w:tr>
            <w:tr>
              <w:tc>
                <w:tcPr>
                  <w:tcW w:type="dxa" w:w="5162"/>
                  <w:shd w:fill="FFFFFF"/>
                  <w:tcBorders>
                    <w:top w:val="nil"/>
                    <w:left w:val="nil"/>
                    <w:bottom w:val="nil"/>
                    <w:right w:val="nil"/>
                    <w:insideH w:val="nil"/>
                    <w:insideV w:val="nil"/>
                  </w:tcBorders>
                  <w:tcMar>
                    <w:top w:w="90" w:type="dxa"/>
                    <w:bottom w:w="120" w:type="dxa"/>
                    <w:start w:w="120" w:type="dxa"/>
                    <w:end w:w="120" w:type="dxa"/>
                  </w:tcMar>
                </w:tcPr>
                <w:p>
                  <w:pPr>
                    <w:spacing w:after="0"/>
                  </w:pPr>
                  <w:r/>
                  <w:r>
                    <w:rPr>
                      <w:rFonts w:ascii="NanumSquareOTF" w:hAnsi="NanumSquareOTF" w:eastAsia="NanumSquareOTF"/>
                      <w:b w:val="0"/>
                      <w:i w:val="0"/>
                      <w:color w:val="1D1D1B"/>
                      <w:sz w:val="20"/>
                    </w:rPr>
                    <w:t>삼성증권(016360)은 Omnibus 계좌 도입이라는 제도적 이벤트의 직접적 수혜주다.</w:t>
                  </w:r>
                </w:p>
              </w:tc>
            </w:tr>
          </w:tbl>
          <w:p/>
          <w:tbl>
            <w:tblPr>
              <w:tblW w:type="auto" w:w="0"/>
              <w:jc w:val="center"/>
              <w:tblLayout w:type="autofit"/>
              <w:tblLook w:firstColumn="1" w:firstRow="1" w:lastColumn="0" w:lastRow="0" w:noHBand="0" w:noVBand="1" w:val="04A0"/>
            </w:tblPr>
            <w:tblGrid>
              <w:gridCol w:w="5162"/>
            </w:tblGrid>
            <w:tr>
              <w:tc>
                <w:tcPr>
                  <w:tcW w:type="dxa" w:w="5162"/>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26"/>
                    </w:rPr>
                    <w:t>Technical / Momentum</w:t>
                  </w:r>
                </w:p>
              </w:tc>
            </w:tr>
            <w:tr>
              <w:tc>
                <w:tcPr>
                  <w:tcW w:type="dxa" w:w="5162"/>
                  <w:shd w:fill="FFFFFF"/>
                  <w:tcBorders>
                    <w:top w:val="nil"/>
                    <w:left w:val="nil"/>
                    <w:bottom w:val="nil"/>
                    <w:right w:val="nil"/>
                    <w:insideH w:val="nil"/>
                    <w:insideV w:val="nil"/>
                  </w:tcBorders>
                  <w:tcMar>
                    <w:top w:w="90" w:type="dxa"/>
                    <w:bottom w:w="120" w:type="dxa"/>
                    <w:start w:w="120" w:type="dxa"/>
                    <w:end w:w="120" w:type="dxa"/>
                  </w:tcMar>
                </w:tcPr>
                <w:p>
                  <w:pPr>
                    <w:spacing w:after="0"/>
                  </w:pPr>
                  <w:r/>
                  <w:r>
                    <w:rPr>
                      <w:rFonts w:ascii="NanumSquareOTF" w:hAnsi="NanumSquareOTF" w:eastAsia="NanumSquareOTF"/>
                      <w:b w:val="0"/>
                      <w:i w:val="0"/>
                      <w:color w:val="1D1D1B"/>
                      <w:sz w:val="20"/>
                    </w:rPr>
                    <w:t>현재 기술 국면은 추세장으로 분류되며, 종합 신호는 강력 매수(점수 10.00, 신뢰도 0.95)다. 최근 20일 평균가격과 50일 평균가격의 상대 위치로 중기 추세를 읽는 이동평균 지표에서, SMA20(119,825.00)이 SMA50(106,162.00) 위에 있어 중기 추세는 우상향으로 해석된다. 최근 가격 압력이 단기적으로 얼마나 강한지를 보여주는 EMA20 기준으로도 종가(127,900.00)가 EMA20(121,728.73) 위에 있어 단기 매수 압력이 우세하다. 단기·장기 이동평균의 간격 변화로 모멘텀 전환을 읽는 MACD 지표는 8491.96이며, 시그널선(7615.68) 위에 있어 상승 모멘텀이 우세하다고, 히스토그램도 양(+)의 구간(876.29)에 있다. 추세의 세기 자체를 측정하는 ADX는 35.09 수준으로 강한 편이고, 방향성 지표에서는 +DI(37.31)가 -DI(19.25)보다 높아 상승 추세가 우세하다. 거래량이 가격 움직임을 얼마나 뒷받침하는지 보여주는 OBV 흐름도 단기 평균이 장기 평균 위에 있어 수급 측면의 뒷받침이 우호적이다. 가격의 상승·하락 압력이 어느 한쪽으로 과도하게 쏠리지 않았는지 보는 RSI 지표는 58.32로 중립권에 가깝다. 주요 근거로는 SMA20이 SMA50 위에 있어 중기 상승 추세가 확인됩니다, MACD가 시그널선 위에 있어 상승 모멘텀이 나타납니다, 추세장에서 +DI가 -DI보다 높아 상승 추세가 우세합니다 등을 들 수 있다.</w:t>
                  </w:r>
                </w:p>
              </w:tc>
            </w:tr>
          </w:tbl>
          <w:p/>
          <w:tbl>
            <w:tblPr>
              <w:tblW w:type="auto" w:w="0"/>
              <w:jc w:val="center"/>
              <w:tblLayout w:type="autofit"/>
              <w:tblLook w:firstColumn="1" w:firstRow="1" w:lastColumn="0" w:lastRow="0" w:noHBand="0" w:noVBand="1" w:val="04A0"/>
            </w:tblPr>
            <w:tblGrid>
              <w:gridCol w:w="5162"/>
            </w:tblGrid>
            <w:tr>
              <w:tc>
                <w:tcPr>
                  <w:tcW w:type="dxa" w:w="5162"/>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26"/>
                    </w:rPr>
                    <w:t>RISK</w:t>
                  </w:r>
                </w:p>
              </w:tc>
            </w:tr>
            <w:tr>
              <w:tc>
                <w:tcPr>
                  <w:tcW w:type="dxa" w:w="5162"/>
                  <w:shd w:fill="FFFFFF"/>
                  <w:tcBorders>
                    <w:top w:val="nil"/>
                    <w:left w:val="nil"/>
                    <w:bottom w:val="nil"/>
                    <w:right w:val="nil"/>
                    <w:insideH w:val="nil"/>
                    <w:insideV w:val="nil"/>
                  </w:tcBorders>
                  <w:tcMar>
                    <w:top w:w="90" w:type="dxa"/>
                    <w:bottom w:w="120" w:type="dxa"/>
                    <w:start w:w="120" w:type="dxa"/>
                    <w:end w:w="120" w:type="dxa"/>
                  </w:tcMar>
                </w:tcPr>
                <w:p>
                  <w:pPr>
                    <w:spacing w:after="0"/>
                  </w:pPr>
                  <w:r/>
                  <w:r>
                    <w:rPr>
                      <w:rFonts w:ascii="NanumSquareOTF" w:hAnsi="NanumSquareOTF" w:eastAsia="NanumSquareOTF"/>
                      <w:b w:val="0"/>
                      <w:i w:val="0"/>
                      <w:color w:val="1D1D1B"/>
                      <w:sz w:val="20"/>
                    </w:rPr>
                    <w:t>위험도는 높음 수준이다. 제도·실행 리스크: Omnibus 계좌의 도입 확장 및 운영상 문제 지연 시 삼성증권의 기대 이익이 실현되지 않을 수 있다. 마지막으로, 제공된 재무지표의 한계(예: 삼성증권의 높은 부채비율 수치 등)는 추가적 정밀 분석 없이는 해석에 제약을 준다.</w:t>
                  </w:r>
                </w:p>
              </w:tc>
            </w:tr>
          </w:tbl>
          <w:p/>
        </w:tc>
      </w:tr>
    </w:tbl>
    <w:p>
      <w:r>
        <w:br w:type="page"/>
      </w:r>
    </w:p>
    <w:p>
      <w:r>
        <w:rPr>
          <w:rFonts w:ascii="NanumSquareOTF" w:hAnsi="NanumSquareOTF" w:eastAsia="NanumSquareOTF"/>
          <w:b/>
          <w:i w:val="0"/>
          <w:color w:val="255A1B"/>
          <w:sz w:val="36"/>
        </w:rPr>
        <w:t>삼성증권 (016360)</w:t>
      </w:r>
    </w:p>
    <w:p>
      <w:r>
        <w:rPr>
          <w:rFonts w:ascii="NanumSquareOTF" w:hAnsi="NanumSquareOTF" w:eastAsia="NanumSquareOTF"/>
          <w:b w:val="0"/>
          <w:i w:val="0"/>
          <w:color w:val="1D1D1B"/>
          <w:sz w:val="20"/>
        </w:rPr>
        <w:t>KOSPI | 의견 강력 매수 | 점수 10.00 | 신뢰도 0.95</w:t>
      </w:r>
    </w:p>
    <w:tbl>
      <w:tblPr>
        <w:tblW w:type="auto" w:w="0"/>
        <w:jc w:val="center"/>
        <w:tblLook w:firstColumn="1" w:firstRow="1" w:lastColumn="0" w:lastRow="0" w:noHBand="0" w:noVBand="1" w:val="04A0"/>
      </w:tblPr>
      <w:tblGrid>
        <w:gridCol w:w="10325"/>
      </w:tblGrid>
      <w:tr>
        <w:tc>
          <w:tcPr>
            <w:tcW w:type="dxa" w:w="10325"/>
            <w:tcBorders>
              <w:top w:val="nil"/>
              <w:left w:val="nil"/>
              <w:bottom w:val="single" w:sz="6" w:color="1E7032"/>
              <w:right w:val="nil"/>
              <w:insideH w:val="nil"/>
              <w:insideV w:val="nil"/>
            </w:tcBorders>
            <w:tcMar>
              <w:top w:w="60" w:type="dxa"/>
              <w:bottom w:w="80" w:type="dxa"/>
              <w:start w:w="0" w:type="dxa"/>
              <w:end w:w="0" w:type="dxa"/>
            </w:tcMar>
          </w:tcPr>
          <w:p>
            <w:r/>
            <w:r>
              <w:rPr>
                <w:rFonts w:ascii="NanumSquareOTF" w:hAnsi="NanumSquareOTF" w:eastAsia="NanumSquareOTF"/>
                <w:b/>
                <w:i w:val="0"/>
                <w:color w:val="255A1B"/>
                <w:sz w:val="26"/>
              </w:rPr>
              <w:t>삼성증권 Price Trend</w:t>
            </w:r>
          </w:p>
        </w:tc>
      </w:tr>
      <w:tr>
        <w:tc>
          <w:tcPr>
            <w:tcW w:type="dxa" w:w="10325"/>
            <w:tcBorders>
              <w:top w:val="nil"/>
              <w:left w:val="nil"/>
              <w:bottom w:val="nil"/>
              <w:right w:val="nil"/>
              <w:insideH w:val="nil"/>
              <w:insideV w:val="nil"/>
            </w:tcBorders>
            <w:tcMar>
              <w:top w:w="120" w:type="dxa"/>
              <w:bottom w:w="90" w:type="dxa"/>
              <w:start w:w="90" w:type="dxa"/>
              <w:end w:w="90" w:type="dxa"/>
            </w:tcMar>
          </w:tcPr>
          <w:p>
            <w:pPr>
              <w:jc w:val="center"/>
            </w:pPr>
            <w:r>
              <w:drawing>
                <wp:inline xmlns:a="http://schemas.openxmlformats.org/drawingml/2006/main" xmlns:pic="http://schemas.openxmlformats.org/drawingml/2006/picture">
                  <wp:extent cx="5806440" cy="2903220"/>
                  <wp:docPr id="3" name="Picture 3"/>
                  <wp:cNvGraphicFramePr>
                    <a:graphicFrameLocks noChangeAspect="1"/>
                  </wp:cNvGraphicFramePr>
                  <a:graphic>
                    <a:graphicData uri="http://schemas.openxmlformats.org/drawingml/2006/picture">
                      <pic:pic>
                        <pic:nvPicPr>
                          <pic:cNvPr id="0" name="016360_삼성증권_recent_close.png"/>
                          <pic:cNvPicPr/>
                        </pic:nvPicPr>
                        <pic:blipFill>
                          <a:blip r:embed="rId12"/>
                          <a:stretch>
                            <a:fillRect/>
                          </a:stretch>
                        </pic:blipFill>
                        <pic:spPr>
                          <a:xfrm>
                            <a:off x="0" y="0"/>
                            <a:ext cx="5806440" cy="2903220"/>
                          </a:xfrm>
                          <a:prstGeom prst="rect"/>
                        </pic:spPr>
                      </pic:pic>
                    </a:graphicData>
                  </a:graphic>
                </wp:inline>
              </w:drawing>
            </w:r>
          </w:p>
          <w:p>
            <w:pPr>
              <w:jc w:val="center"/>
            </w:pPr>
            <w:r>
              <w:rPr>
                <w:rFonts w:ascii="NanumSquareOTF" w:hAnsi="NanumSquareOTF" w:eastAsia="NanumSquareOTF"/>
                <w:b w:val="0"/>
                <w:i/>
                <w:color w:val="6E6E6E"/>
                <w:sz w:val="18"/>
              </w:rPr>
              <w:t>최근 종가 흐름 (2026-02-11 ~ 2026-05-13) | Latest close 127,900.00</w:t>
            </w:r>
          </w:p>
        </w:tc>
      </w:tr>
    </w:tbl>
    <w:tbl>
      <w:tblPr>
        <w:tblW w:type="auto" w:w="0"/>
        <w:jc w:val="center"/>
        <w:tblLayout w:type="fixed"/>
        <w:tblLook w:firstColumn="1" w:firstRow="1" w:lastColumn="0" w:lastRow="0" w:noHBand="0" w:noVBand="1" w:val="04A0"/>
      </w:tblPr>
      <w:tblGrid>
        <w:gridCol w:w="2581"/>
        <w:gridCol w:w="2581"/>
        <w:gridCol w:w="2581"/>
        <w:gridCol w:w="2581"/>
      </w:tblGrid>
      <w:tr>
        <w:tc>
          <w:tcPr>
            <w:tcW w:type="dxa" w:w="2581"/>
            <w:shd w:fill="1E7032"/>
            <w:tcMar>
              <w:top w:w="70" w:type="dxa"/>
              <w:bottom w:w="70" w:type="dxa"/>
              <w:start w:w="80" w:type="dxa"/>
              <w:end w:w="80" w:type="dxa"/>
            </w:tcMar>
          </w:tcPr>
          <w:p>
            <w:r/>
            <w:r>
              <w:rPr>
                <w:rFonts w:ascii="NanumSquareOTF" w:hAnsi="NanumSquareOTF" w:eastAsia="NanumSquareOTF"/>
                <w:b/>
                <w:i w:val="0"/>
                <w:color w:val="FFFFFF"/>
                <w:sz w:val="20"/>
              </w:rPr>
              <w:t>종가</w:t>
            </w:r>
          </w:p>
        </w:tc>
        <w:tc>
          <w:tcPr>
            <w:tcW w:type="dxa" w:w="2581"/>
            <w:shd w:fill="1E7032"/>
            <w:tcMar>
              <w:top w:w="70" w:type="dxa"/>
              <w:bottom w:w="70" w:type="dxa"/>
              <w:start w:w="80" w:type="dxa"/>
              <w:end w:w="80" w:type="dxa"/>
            </w:tcMar>
          </w:tcPr>
          <w:p>
            <w:r/>
            <w:r>
              <w:rPr>
                <w:rFonts w:ascii="NanumSquareOTF" w:hAnsi="NanumSquareOTF" w:eastAsia="NanumSquareOTF"/>
                <w:b/>
                <w:i w:val="0"/>
                <w:color w:val="FFFFFF"/>
                <w:sz w:val="20"/>
              </w:rPr>
              <w:t>PER</w:t>
            </w:r>
          </w:p>
        </w:tc>
        <w:tc>
          <w:tcPr>
            <w:tcW w:type="dxa" w:w="2581"/>
            <w:shd w:fill="1E7032"/>
            <w:tcMar>
              <w:top w:w="70" w:type="dxa"/>
              <w:bottom w:w="70" w:type="dxa"/>
              <w:start w:w="80" w:type="dxa"/>
              <w:end w:w="80" w:type="dxa"/>
            </w:tcMar>
          </w:tcPr>
          <w:p>
            <w:r/>
            <w:r>
              <w:rPr>
                <w:rFonts w:ascii="NanumSquareOTF" w:hAnsi="NanumSquareOTF" w:eastAsia="NanumSquareOTF"/>
                <w:b/>
                <w:i w:val="0"/>
                <w:color w:val="FFFFFF"/>
                <w:sz w:val="20"/>
              </w:rPr>
              <w:t>PBR</w:t>
            </w:r>
          </w:p>
        </w:tc>
        <w:tc>
          <w:tcPr>
            <w:tcW w:type="dxa" w:w="2581"/>
            <w:shd w:fill="1E7032"/>
            <w:tcMar>
              <w:top w:w="70" w:type="dxa"/>
              <w:bottom w:w="70" w:type="dxa"/>
              <w:start w:w="80" w:type="dxa"/>
              <w:end w:w="80" w:type="dxa"/>
            </w:tcMar>
          </w:tcPr>
          <w:p>
            <w:r/>
            <w:r>
              <w:rPr>
                <w:rFonts w:ascii="NanumSquareOTF" w:hAnsi="NanumSquareOTF" w:eastAsia="NanumSquareOTF"/>
                <w:b/>
                <w:i w:val="0"/>
                <w:color w:val="FFFFFF"/>
                <w:sz w:val="20"/>
              </w:rPr>
              <w:t>ROE</w:t>
            </w:r>
          </w:p>
        </w:tc>
      </w:tr>
      <w:tr>
        <w:tc>
          <w:tcPr>
            <w:tcW w:type="dxa" w:w="2581"/>
            <w:shd w:fill="EFF5EC"/>
            <w:tcMar>
              <w:top w:w="90" w:type="dxa"/>
              <w:bottom w:w="90" w:type="dxa"/>
              <w:start w:w="80" w:type="dxa"/>
              <w:end w:w="80" w:type="dxa"/>
            </w:tcMar>
          </w:tcPr>
          <w:p>
            <w:r/>
            <w:r>
              <w:rPr>
                <w:rFonts w:ascii="NanumSquareOTF" w:hAnsi="NanumSquareOTF" w:eastAsia="NanumSquareOTF"/>
                <w:b w:val="0"/>
                <w:i w:val="0"/>
                <w:color w:val="1D1D1B"/>
                <w:sz w:val="21"/>
              </w:rPr>
              <w:t>127,900.00</w:t>
            </w:r>
          </w:p>
        </w:tc>
        <w:tc>
          <w:tcPr>
            <w:tcW w:type="dxa" w:w="2581"/>
            <w:shd w:fill="EFF5EC"/>
            <w:tcMar>
              <w:top w:w="90" w:type="dxa"/>
              <w:bottom w:w="90" w:type="dxa"/>
              <w:start w:w="80" w:type="dxa"/>
              <w:end w:w="80" w:type="dxa"/>
            </w:tcMar>
          </w:tcPr>
          <w:p>
            <w:r/>
            <w:r>
              <w:rPr>
                <w:rFonts w:ascii="NanumSquareOTF" w:hAnsi="NanumSquareOTF" w:eastAsia="NanumSquareOTF"/>
                <w:b w:val="0"/>
                <w:i w:val="0"/>
                <w:color w:val="1D1D1B"/>
                <w:sz w:val="21"/>
              </w:rPr>
              <w:t>11.34</w:t>
            </w:r>
          </w:p>
        </w:tc>
        <w:tc>
          <w:tcPr>
            <w:tcW w:type="dxa" w:w="2581"/>
            <w:shd w:fill="EFF5EC"/>
            <w:tcMar>
              <w:top w:w="90" w:type="dxa"/>
              <w:bottom w:w="90" w:type="dxa"/>
              <w:start w:w="80" w:type="dxa"/>
              <w:end w:w="80" w:type="dxa"/>
            </w:tcMar>
          </w:tcPr>
          <w:p>
            <w:r/>
            <w:r>
              <w:rPr>
                <w:rFonts w:ascii="NanumSquareOTF" w:hAnsi="NanumSquareOTF" w:eastAsia="NanumSquareOTF"/>
                <w:b w:val="0"/>
                <w:i w:val="0"/>
                <w:color w:val="1D1D1B"/>
                <w:sz w:val="21"/>
              </w:rPr>
              <w:t>1.42</w:t>
            </w:r>
          </w:p>
        </w:tc>
        <w:tc>
          <w:tcPr>
            <w:tcW w:type="dxa" w:w="2581"/>
            <w:shd w:fill="EFF5EC"/>
            <w:tcMar>
              <w:top w:w="90" w:type="dxa"/>
              <w:bottom w:w="90" w:type="dxa"/>
              <w:start w:w="80" w:type="dxa"/>
              <w:end w:w="80" w:type="dxa"/>
            </w:tcMar>
          </w:tcPr>
          <w:p>
            <w:r/>
            <w:r>
              <w:rPr>
                <w:rFonts w:ascii="NanumSquareOTF" w:hAnsi="NanumSquareOTF" w:eastAsia="NanumSquareOTF"/>
                <w:b w:val="0"/>
                <w:i w:val="0"/>
                <w:color w:val="1D1D1B"/>
                <w:sz w:val="21"/>
              </w:rPr>
              <w:t>13.09%</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34"/>
              </w:rPr>
              <w:t>Financial Snapshot</w:t>
            </w:r>
          </w:p>
        </w:tc>
      </w:tr>
      <w:tr>
        <w:tc>
          <w:tcPr>
            <w:tcW w:type="dxa" w:w="10325"/>
            <w:shd w:fill="EFF5EC"/>
            <w:tcBorders>
              <w:top w:val="nil"/>
              <w:left w:val="nil"/>
              <w:bottom w:val="nil"/>
              <w:right w:val="nil"/>
              <w:insideH w:val="nil"/>
              <w:insideV w:val="nil"/>
            </w:tcBorders>
            <w:tcMar>
              <w:top w:w="120" w:type="dxa"/>
              <w:bottom w:w="120" w:type="dxa"/>
              <w:start w:w="120" w:type="dxa"/>
              <w:end w:w="120" w:type="dxa"/>
            </w:tcMar>
          </w:tcPr>
          <w:p>
            <w:pPr>
              <w:spacing w:after="0"/>
            </w:pPr>
            <w:r/>
            <w:r>
              <w:rPr>
                <w:rFonts w:ascii="NanumSquareOTF" w:hAnsi="NanumSquareOTF" w:eastAsia="NanumSquareOTF"/>
                <w:b w:val="0"/>
                <w:i w:val="0"/>
                <w:color w:val="1D1D1B"/>
                <w:sz w:val="22"/>
              </w:rPr>
              <w:t>재무 기준일은 2025-12-31이다. PER은 11.34, PBR은 1.42, ROE는 13.09% 수준이다. 시가총액은 11,421,606,463,097로 집계된다. 기술적 시장 국면은 추세장으로 분류된다.</w:t>
            </w:r>
          </w:p>
        </w:tc>
      </w:tr>
    </w:tbl>
    <w:sectPr w:rsidR="00FC693F" w:rsidRPr="0006063C" w:rsidSect="00034616">
      <w:headerReference w:type="default" r:id="rId9"/>
      <w:pgSz w:w="11909" w:h="16834"/>
      <w:pgMar w:top="648" w:right="792" w:bottom="720" w:left="792" w:header="317"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ayout w:type="fixed"/>
      <w:tblLook w:firstColumn="1" w:firstRow="1" w:lastColumn="0" w:lastRow="0" w:noHBand="0" w:noVBand="1" w:val="04A0"/>
    </w:tblPr>
    <w:tblGrid>
      <w:gridCol w:w="7776"/>
      <w:gridCol w:w="2592"/>
    </w:tblGrid>
    <w:tr>
      <w:tc>
        <w:tcPr>
          <w:tcW w:type="dxa" w:w="5162"/>
          <w:tcBorders>
            <w:top w:val="nil"/>
            <w:left w:val="nil"/>
            <w:bottom w:val="single" w:sz="12" w:color="1E7032"/>
            <w:right w:val="nil"/>
            <w:insideH w:val="nil"/>
            <w:insideV w:val="nil"/>
          </w:tcBorders>
          <w:tcMar>
            <w:top w:w="0" w:type="dxa"/>
            <w:bottom w:w="40" w:type="dxa"/>
            <w:start w:w="0" w:type="dxa"/>
            <w:end w:w="0" w:type="dxa"/>
          </w:tcMar>
        </w:tcPr>
        <w:p>
          <w:r/>
          <w:r>
            <w:rPr>
              <w:rFonts w:ascii="NanumSquareOTF" w:hAnsi="NanumSquareOTF" w:eastAsia="NanumSquareOTF"/>
              <w:b w:val="0"/>
              <w:i w:val="0"/>
              <w:color w:val="1D1D1B"/>
              <w:sz w:val="22"/>
            </w:rPr>
            <w:t>Research | 2026.05.13</w:t>
          </w:r>
        </w:p>
      </w:tc>
      <w:tc>
        <w:tcPr>
          <w:tcW w:type="dxa" w:w="5162"/>
          <w:tcBorders>
            <w:top w:val="nil"/>
            <w:left w:val="nil"/>
            <w:bottom w:val="single" w:sz="12" w:color="1E7032"/>
            <w:right w:val="nil"/>
            <w:insideH w:val="nil"/>
            <w:insideV w:val="nil"/>
          </w:tcBorders>
          <w:tcMar>
            <w:top w:w="0" w:type="dxa"/>
            <w:bottom w:w="40" w:type="dxa"/>
            <w:start w:w="0" w:type="dxa"/>
            <w:end w:w="0" w:type="dxa"/>
          </w:tcMar>
        </w:tcPr>
        <w:p>
          <w:pPr>
            <w:jc w:val="right"/>
          </w:pPr>
          <w:r/>
          <w:r>
            <w:rPr>
              <w:rFonts w:ascii="NanumSquareOTF" w:hAnsi="NanumSquareOTF" w:eastAsia="NanumSquareOTF"/>
              <w:b/>
              <w:i w:val="0"/>
              <w:color w:val="1E7032"/>
              <w:sz w:val="34"/>
            </w:rPr>
            <w:t>HAF</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SquareOTF" w:hAnsi="NanumSquareOTF" w:eastAsia="NanumSquareOT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