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10325"/>
      </w:tblGrid>
      <w:tr>
        <w:tc>
          <w:tcPr>
            <w:tcW w:type="dxa" w:w="10325"/>
            <w:tcBorders>
              <w:top w:val="nil"/>
              <w:left w:val="nil"/>
              <w:bottom w:sz="12" w:color="1E7032" w:val="single"/>
              <w:right w:val="nil"/>
              <w:insideH w:val="nil"/>
              <w:insideV w:val="nil"/>
            </w:tcBorders>
            <w:tcMar>
              <w:top w:w="0" w:type="dxa"/>
              <w:bottom w:w="0" w:type="dxa"/>
              <w:start w:w="0" w:type="dxa"/>
              <w:end w:w="0" w:type="dxa"/>
            </w:tcMar>
          </w:tcPr>
          <w:p>
            <w:r/>
            <w:r>
              <w:rPr>
                <w:b w:val="0"/>
                <w:i w:val="0"/>
                <w:sz w:val="2"/>
              </w:rPr>
            </w:r>
          </w:p>
        </w:tc>
      </w:tr>
    </w:tbl>
    <w:p>
      <w:pPr>
        <w:spacing w:after="120"/>
      </w:pPr>
      <w:r>
        <w:rPr>
          <w:rFonts w:ascii="NanumSquareOTF" w:hAnsi="NanumSquareOTF" w:eastAsia="NanumSquareOTF"/>
          <w:b/>
          <w:i w:val="0"/>
          <w:color w:val="1D1D1B"/>
          <w:sz w:val="44"/>
        </w:rPr>
        <w:t>'반도체 투톱' 삼전·SK하이닉스 나란히 신고가 — 주가 거품인가, 여전히 저평가인가</w:t>
      </w:r>
    </w:p>
    <w:tbl>
      <w:tblPr>
        <w:tblW w:type="auto" w:w="0"/>
        <w:jc w:val="center"/>
        <w:tblLayout w:type="fixed"/>
        <w:tblLook w:firstColumn="1" w:firstRow="1" w:lastColumn="0" w:lastRow="0" w:noHBand="0" w:noVBand="1" w:val="04A0"/>
      </w:tblPr>
      <w:tblGrid>
        <w:gridCol w:w="8352"/>
        <w:gridCol w:w="2880"/>
      </w:tblGrid>
      <w:tr>
        <w:tc>
          <w:tcPr>
            <w:tcW w:type="dxa" w:w="5162"/>
            <w:shd w:fill="1E7032"/>
            <w:tcBorders>
              <w:top w:val="nil"/>
              <w:left w:val="nil"/>
              <w:bottom w:val="nil"/>
              <w:right w:val="nil"/>
              <w:insideH w:val="nil"/>
              <w:insideV w:val="nil"/>
            </w:tcBorders>
            <w:tcMar>
              <w:top w:w="0" w:type="dxa"/>
              <w:bottom w:w="0" w:type="dxa"/>
              <w:start w:w="0" w:type="dxa"/>
              <w:end w:w="0" w:type="dxa"/>
            </w:tcMar>
          </w:tcPr>
          <w:p>
            <w:r/>
            <w:r>
              <w:rPr>
                <w:b w:val="0"/>
                <w:i w:val="0"/>
                <w:sz w:val="2"/>
              </w:rPr>
            </w:r>
          </w:p>
        </w:tc>
        <w:tc>
          <w:tcPr>
            <w:tcW w:type="dxa" w:w="5162"/>
            <w:shd w:fill="E1D601"/>
            <w:tcBorders>
              <w:top w:val="nil"/>
              <w:left w:val="nil"/>
              <w:bottom w:val="nil"/>
              <w:right w:val="nil"/>
              <w:insideH w:val="nil"/>
              <w:insideV w:val="nil"/>
            </w:tcBorders>
            <w:tcMar>
              <w:top w:w="0" w:type="dxa"/>
              <w:bottom w:w="0" w:type="dxa"/>
              <w:start w:w="0" w:type="dxa"/>
              <w:end w:w="0" w:type="dxa"/>
            </w:tcMar>
          </w:tcPr>
          <w:p>
            <w:r/>
            <w:r>
              <w:rPr>
                <w:b w:val="0"/>
                <w:i w:val="0"/>
                <w:sz w:val="2"/>
              </w:rPr>
            </w:r>
          </w:p>
        </w:tc>
      </w:tr>
    </w:tbl>
    <w:tbl>
      <w:tblPr>
        <w:tblW w:type="auto" w:w="0"/>
        <w:jc w:val="center"/>
        <w:tblLook w:firstColumn="1" w:firstRow="1" w:lastColumn="0" w:lastRow="0" w:noHBand="0" w:noVBand="1" w:val="04A0"/>
      </w:tblPr>
      <w:tblGrid>
        <w:gridCol w:w="10325"/>
      </w:tblGrid>
      <w:tr>
        <w:tc>
          <w:tcPr>
            <w:tcW w:type="dxa" w:w="10325"/>
            <w:shd w:fill="EFF5EC"/>
            <w:tcBorders>
              <w:top w:val="nil"/>
              <w:left w:val="nil"/>
              <w:bottom w:val="nil"/>
              <w:right w:val="nil"/>
              <w:insideH w:val="nil"/>
              <w:insideV w:val="nil"/>
            </w:tcBorders>
            <w:tcMar>
              <w:top w:w="180" w:type="dxa"/>
              <w:bottom w:w="180" w:type="dxa"/>
              <w:start w:w="220" w:type="dxa"/>
              <w:end w:w="220" w:type="dxa"/>
            </w:tcMar>
          </w:tcPr>
          <w:p>
            <w:r/>
            <w:r>
              <w:rPr>
                <w:rFonts w:ascii="NanumSquareOTF" w:hAnsi="NanumSquareOTF" w:eastAsia="NanumSquareOTF"/>
                <w:b/>
                <w:i w:val="0"/>
                <w:color w:val="255A1B"/>
                <w:sz w:val="36"/>
              </w:rPr>
              <w:t>신고가를 연이어 경신한 반도체 투톱: 모멘텀은 강하지만 가치평가는 엇갈린 신호</w:t>
            </w:r>
          </w:p>
        </w:tc>
      </w:tr>
    </w:tbl>
    <w:tbl>
      <w:tblPr>
        <w:tblW w:type="auto" w:w="0"/>
        <w:jc w:val="center"/>
        <w:tblLayout w:type="fixed"/>
        <w:tblLook w:firstColumn="1" w:firstRow="1" w:lastColumn="0" w:lastRow="0" w:noHBand="0" w:noVBand="1" w:val="04A0"/>
      </w:tblPr>
      <w:tblGrid>
        <w:gridCol w:w="1475"/>
        <w:gridCol w:w="1475"/>
        <w:gridCol w:w="1475"/>
        <w:gridCol w:w="1475"/>
        <w:gridCol w:w="1475"/>
        <w:gridCol w:w="1475"/>
        <w:gridCol w:w="1475"/>
      </w:tblGrid>
      <w:tr>
        <w:tc>
          <w:tcPr>
            <w:tcW w:type="dxa" w:w="1475"/>
            <w:shd w:fill="1E7032"/>
            <w:tcMar>
              <w:top w:w="70" w:type="dxa"/>
              <w:bottom w:w="70" w:type="dxa"/>
              <w:start w:w="80" w:type="dxa"/>
              <w:end w:w="80" w:type="dxa"/>
            </w:tcMar>
          </w:tcPr>
          <w:p>
            <w:r/>
            <w:r>
              <w:rPr>
                <w:rFonts w:ascii="NanumSquareOTF" w:hAnsi="NanumSquareOTF" w:eastAsia="NanumSquareOTF"/>
                <w:b/>
                <w:i w:val="0"/>
                <w:color w:val="FFFFFF"/>
                <w:sz w:val="20"/>
              </w:rPr>
              <w:t>종목명</w:t>
            </w:r>
          </w:p>
        </w:tc>
        <w:tc>
          <w:tcPr>
            <w:tcW w:type="dxa" w:w="1475"/>
            <w:shd w:fill="1E7032"/>
            <w:tcMar>
              <w:top w:w="70" w:type="dxa"/>
              <w:bottom w:w="70" w:type="dxa"/>
              <w:start w:w="80" w:type="dxa"/>
              <w:end w:w="80" w:type="dxa"/>
            </w:tcMar>
          </w:tcPr>
          <w:p>
            <w:r/>
            <w:r>
              <w:rPr>
                <w:rFonts w:ascii="NanumSquareOTF" w:hAnsi="NanumSquareOTF" w:eastAsia="NanumSquareOTF"/>
                <w:b/>
                <w:i w:val="0"/>
                <w:color w:val="FFFFFF"/>
                <w:sz w:val="20"/>
              </w:rPr>
              <w:t>티커</w:t>
            </w:r>
          </w:p>
        </w:tc>
        <w:tc>
          <w:tcPr>
            <w:tcW w:type="dxa" w:w="1475"/>
            <w:shd w:fill="1E7032"/>
            <w:tcMar>
              <w:top w:w="70" w:type="dxa"/>
              <w:bottom w:w="70" w:type="dxa"/>
              <w:start w:w="80" w:type="dxa"/>
              <w:end w:w="80" w:type="dxa"/>
            </w:tcMar>
          </w:tcPr>
          <w:p>
            <w:r/>
            <w:r>
              <w:rPr>
                <w:rFonts w:ascii="NanumSquareOTF" w:hAnsi="NanumSquareOTF" w:eastAsia="NanumSquareOTF"/>
                <w:b/>
                <w:i w:val="0"/>
                <w:color w:val="FFFFFF"/>
                <w:sz w:val="20"/>
              </w:rPr>
              <w:t>시장</w:t>
            </w:r>
          </w:p>
        </w:tc>
        <w:tc>
          <w:tcPr>
            <w:tcW w:type="dxa" w:w="1475"/>
            <w:shd w:fill="1E7032"/>
            <w:tcMar>
              <w:top w:w="70" w:type="dxa"/>
              <w:bottom w:w="70" w:type="dxa"/>
              <w:start w:w="80" w:type="dxa"/>
              <w:end w:w="80" w:type="dxa"/>
            </w:tcMar>
          </w:tcPr>
          <w:p>
            <w:r/>
            <w:r>
              <w:rPr>
                <w:rFonts w:ascii="NanumSquareOTF" w:hAnsi="NanumSquareOTF" w:eastAsia="NanumSquareOTF"/>
                <w:b/>
                <w:i w:val="0"/>
                <w:color w:val="FFFFFF"/>
                <w:sz w:val="20"/>
              </w:rPr>
              <w:t>의견</w:t>
            </w:r>
          </w:p>
        </w:tc>
        <w:tc>
          <w:tcPr>
            <w:tcW w:type="dxa" w:w="1475"/>
            <w:shd w:fill="1E7032"/>
            <w:tcMar>
              <w:top w:w="70" w:type="dxa"/>
              <w:bottom w:w="70" w:type="dxa"/>
              <w:start w:w="80" w:type="dxa"/>
              <w:end w:w="80" w:type="dxa"/>
            </w:tcMar>
          </w:tcPr>
          <w:p>
            <w:r/>
            <w:r>
              <w:rPr>
                <w:rFonts w:ascii="NanumSquareOTF" w:hAnsi="NanumSquareOTF" w:eastAsia="NanumSquareOTF"/>
                <w:b/>
                <w:i w:val="0"/>
                <w:color w:val="FFFFFF"/>
                <w:sz w:val="20"/>
              </w:rPr>
              <w:t>점수</w:t>
            </w:r>
          </w:p>
        </w:tc>
        <w:tc>
          <w:tcPr>
            <w:tcW w:type="dxa" w:w="1475"/>
            <w:shd w:fill="1E7032"/>
            <w:tcMar>
              <w:top w:w="70" w:type="dxa"/>
              <w:bottom w:w="70" w:type="dxa"/>
              <w:start w:w="80" w:type="dxa"/>
              <w:end w:w="80" w:type="dxa"/>
            </w:tcMar>
          </w:tcPr>
          <w:p>
            <w:r/>
            <w:r>
              <w:rPr>
                <w:rFonts w:ascii="NanumSquareOTF" w:hAnsi="NanumSquareOTF" w:eastAsia="NanumSquareOTF"/>
                <w:b/>
                <w:i w:val="0"/>
                <w:color w:val="FFFFFF"/>
                <w:sz w:val="20"/>
              </w:rPr>
              <w:t>신뢰도</w:t>
            </w:r>
          </w:p>
        </w:tc>
        <w:tc>
          <w:tcPr>
            <w:tcW w:type="dxa" w:w="1475"/>
            <w:shd w:fill="1E7032"/>
            <w:tcMar>
              <w:top w:w="70" w:type="dxa"/>
              <w:bottom w:w="70" w:type="dxa"/>
              <w:start w:w="80" w:type="dxa"/>
              <w:end w:w="80" w:type="dxa"/>
            </w:tcMar>
          </w:tcPr>
          <w:p>
            <w:r/>
            <w:r>
              <w:rPr>
                <w:rFonts w:ascii="NanumSquareOTF" w:hAnsi="NanumSquareOTF" w:eastAsia="NanumSquareOTF"/>
                <w:b/>
                <w:i w:val="0"/>
                <w:color w:val="FFFFFF"/>
                <w:sz w:val="20"/>
              </w:rPr>
              <w:t>위험도</w:t>
            </w:r>
          </w:p>
        </w:tc>
      </w:tr>
      <w:tr>
        <w:tc>
          <w:tcPr>
            <w:tcW w:type="dxa" w:w="1475"/>
            <w:shd w:fill="C9D1C8"/>
            <w:tcMar>
              <w:top w:w="70" w:type="dxa"/>
              <w:bottom w:w="70" w:type="dxa"/>
              <w:start w:w="80" w:type="dxa"/>
              <w:end w:w="80" w:type="dxa"/>
            </w:tcMar>
          </w:tcPr>
          <w:p>
            <w:r/>
            <w:r>
              <w:rPr>
                <w:rFonts w:ascii="NanumSquareOTF" w:hAnsi="NanumSquareOTF" w:eastAsia="NanumSquareOTF"/>
                <w:b w:val="0"/>
                <w:i w:val="0"/>
                <w:color w:val="1D1D1B"/>
                <w:sz w:val="19"/>
              </w:rPr>
              <w:t>삼성전자</w:t>
            </w:r>
          </w:p>
        </w:tc>
        <w:tc>
          <w:tcPr>
            <w:tcW w:type="dxa" w:w="1475"/>
            <w:shd w:fill="C9D1C8"/>
            <w:tcMar>
              <w:top w:w="70" w:type="dxa"/>
              <w:bottom w:w="70" w:type="dxa"/>
              <w:start w:w="80" w:type="dxa"/>
              <w:end w:w="80" w:type="dxa"/>
            </w:tcMar>
          </w:tcPr>
          <w:p>
            <w:r/>
            <w:r>
              <w:rPr>
                <w:rFonts w:ascii="NanumSquareOTF" w:hAnsi="NanumSquareOTF" w:eastAsia="NanumSquareOTF"/>
                <w:b w:val="0"/>
                <w:i w:val="0"/>
                <w:color w:val="1D1D1B"/>
                <w:sz w:val="19"/>
              </w:rPr>
              <w:t>005930</w:t>
            </w:r>
          </w:p>
        </w:tc>
        <w:tc>
          <w:tcPr>
            <w:tcW w:type="dxa" w:w="1475"/>
            <w:shd w:fill="C9D1C8"/>
            <w:tcMar>
              <w:top w:w="70" w:type="dxa"/>
              <w:bottom w:w="70" w:type="dxa"/>
              <w:start w:w="80" w:type="dxa"/>
              <w:end w:w="80" w:type="dxa"/>
            </w:tcMar>
          </w:tcPr>
          <w:p>
            <w:r/>
            <w:r>
              <w:rPr>
                <w:rFonts w:ascii="NanumSquareOTF" w:hAnsi="NanumSquareOTF" w:eastAsia="NanumSquareOTF"/>
                <w:b w:val="0"/>
                <w:i w:val="0"/>
                <w:color w:val="1D1D1B"/>
                <w:sz w:val="19"/>
              </w:rPr>
              <w:t>KOSPI</w:t>
            </w:r>
          </w:p>
        </w:tc>
        <w:tc>
          <w:tcPr>
            <w:tcW w:type="dxa" w:w="1475"/>
            <w:shd w:fill="C9D1C8"/>
            <w:tcMar>
              <w:top w:w="70" w:type="dxa"/>
              <w:bottom w:w="70" w:type="dxa"/>
              <w:start w:w="80" w:type="dxa"/>
              <w:end w:w="80" w:type="dxa"/>
            </w:tcMar>
          </w:tcPr>
          <w:p>
            <w:r/>
            <w:r>
              <w:rPr>
                <w:rFonts w:ascii="NanumSquareOTF" w:hAnsi="NanumSquareOTF" w:eastAsia="NanumSquareOTF"/>
                <w:b w:val="0"/>
                <w:i w:val="0"/>
                <w:color w:val="1D1D1B"/>
                <w:sz w:val="19"/>
              </w:rPr>
              <w:t>강력 매수</w:t>
            </w:r>
          </w:p>
        </w:tc>
        <w:tc>
          <w:tcPr>
            <w:tcW w:type="dxa" w:w="1475"/>
            <w:shd w:fill="C9D1C8"/>
            <w:tcMar>
              <w:top w:w="70" w:type="dxa"/>
              <w:bottom w:w="70" w:type="dxa"/>
              <w:start w:w="80" w:type="dxa"/>
              <w:end w:w="80" w:type="dxa"/>
            </w:tcMar>
          </w:tcPr>
          <w:p>
            <w:r/>
            <w:r>
              <w:rPr>
                <w:rFonts w:ascii="NanumSquareOTF" w:hAnsi="NanumSquareOTF" w:eastAsia="NanumSquareOTF"/>
                <w:b w:val="0"/>
                <w:i w:val="0"/>
                <w:color w:val="1D1D1B"/>
                <w:sz w:val="19"/>
              </w:rPr>
              <w:t>11.00</w:t>
            </w:r>
          </w:p>
        </w:tc>
        <w:tc>
          <w:tcPr>
            <w:tcW w:type="dxa" w:w="1475"/>
            <w:shd w:fill="C9D1C8"/>
            <w:tcMar>
              <w:top w:w="70" w:type="dxa"/>
              <w:bottom w:w="70" w:type="dxa"/>
              <w:start w:w="80" w:type="dxa"/>
              <w:end w:w="80" w:type="dxa"/>
            </w:tcMar>
          </w:tcPr>
          <w:p>
            <w:r/>
            <w:r>
              <w:rPr>
                <w:rFonts w:ascii="NanumSquareOTF" w:hAnsi="NanumSquareOTF" w:eastAsia="NanumSquareOTF"/>
                <w:b w:val="0"/>
                <w:i w:val="0"/>
                <w:color w:val="1D1D1B"/>
                <w:sz w:val="19"/>
              </w:rPr>
              <w:t>0.95</w:t>
            </w:r>
          </w:p>
        </w:tc>
        <w:tc>
          <w:tcPr>
            <w:tcW w:type="dxa" w:w="1475"/>
            <w:shd w:fill="C9D1C8"/>
            <w:tcMar>
              <w:top w:w="70" w:type="dxa"/>
              <w:bottom w:w="70" w:type="dxa"/>
              <w:start w:w="80" w:type="dxa"/>
              <w:end w:w="80" w:type="dxa"/>
            </w:tcMar>
          </w:tcPr>
          <w:p>
            <w:r/>
            <w:r>
              <w:rPr>
                <w:rFonts w:ascii="NanumSquareOTF" w:hAnsi="NanumSquareOTF" w:eastAsia="NanumSquareOTF"/>
                <w:b w:val="0"/>
                <w:i w:val="0"/>
                <w:color w:val="1D1D1B"/>
                <w:sz w:val="19"/>
              </w:rPr>
              <w:t>보통</w:t>
            </w:r>
          </w:p>
        </w:tc>
      </w:tr>
      <w:tr>
        <w:tc>
          <w:tcPr>
            <w:tcW w:type="dxa" w:w="1475"/>
            <w:shd w:fill="DCE3DA"/>
            <w:tcMar>
              <w:top w:w="70" w:type="dxa"/>
              <w:bottom w:w="70" w:type="dxa"/>
              <w:start w:w="80" w:type="dxa"/>
              <w:end w:w="80" w:type="dxa"/>
            </w:tcMar>
          </w:tcPr>
          <w:p>
            <w:r/>
            <w:r>
              <w:rPr>
                <w:rFonts w:ascii="NanumSquareOTF" w:hAnsi="NanumSquareOTF" w:eastAsia="NanumSquareOTF"/>
                <w:b w:val="0"/>
                <w:i w:val="0"/>
                <w:color w:val="1D1D1B"/>
                <w:sz w:val="19"/>
              </w:rPr>
              <w:t>SK하이닉스</w:t>
            </w:r>
          </w:p>
        </w:tc>
        <w:tc>
          <w:tcPr>
            <w:tcW w:type="dxa" w:w="1475"/>
            <w:shd w:fill="DCE3DA"/>
            <w:tcMar>
              <w:top w:w="70" w:type="dxa"/>
              <w:bottom w:w="70" w:type="dxa"/>
              <w:start w:w="80" w:type="dxa"/>
              <w:end w:w="80" w:type="dxa"/>
            </w:tcMar>
          </w:tcPr>
          <w:p>
            <w:r/>
            <w:r>
              <w:rPr>
                <w:rFonts w:ascii="NanumSquareOTF" w:hAnsi="NanumSquareOTF" w:eastAsia="NanumSquareOTF"/>
                <w:b w:val="0"/>
                <w:i w:val="0"/>
                <w:color w:val="1D1D1B"/>
                <w:sz w:val="19"/>
              </w:rPr>
              <w:t>000660</w:t>
            </w:r>
          </w:p>
        </w:tc>
        <w:tc>
          <w:tcPr>
            <w:tcW w:type="dxa" w:w="1475"/>
            <w:shd w:fill="DCE3DA"/>
            <w:tcMar>
              <w:top w:w="70" w:type="dxa"/>
              <w:bottom w:w="70" w:type="dxa"/>
              <w:start w:w="80" w:type="dxa"/>
              <w:end w:w="80" w:type="dxa"/>
            </w:tcMar>
          </w:tcPr>
          <w:p>
            <w:r/>
            <w:r>
              <w:rPr>
                <w:rFonts w:ascii="NanumSquareOTF" w:hAnsi="NanumSquareOTF" w:eastAsia="NanumSquareOTF"/>
                <w:b w:val="0"/>
                <w:i w:val="0"/>
                <w:color w:val="1D1D1B"/>
                <w:sz w:val="19"/>
              </w:rPr>
              <w:t>KOSPI</w:t>
            </w:r>
          </w:p>
        </w:tc>
        <w:tc>
          <w:tcPr>
            <w:tcW w:type="dxa" w:w="1475"/>
            <w:shd w:fill="DCE3DA"/>
            <w:tcMar>
              <w:top w:w="70" w:type="dxa"/>
              <w:bottom w:w="70" w:type="dxa"/>
              <w:start w:w="80" w:type="dxa"/>
              <w:end w:w="80" w:type="dxa"/>
            </w:tcMar>
          </w:tcPr>
          <w:p>
            <w:r/>
            <w:r>
              <w:rPr>
                <w:rFonts w:ascii="NanumSquareOTF" w:hAnsi="NanumSquareOTF" w:eastAsia="NanumSquareOTF"/>
                <w:b w:val="0"/>
                <w:i w:val="0"/>
                <w:color w:val="1D1D1B"/>
                <w:sz w:val="19"/>
              </w:rPr>
              <w:t>강력 매수</w:t>
            </w:r>
          </w:p>
        </w:tc>
        <w:tc>
          <w:tcPr>
            <w:tcW w:type="dxa" w:w="1475"/>
            <w:shd w:fill="DCE3DA"/>
            <w:tcMar>
              <w:top w:w="70" w:type="dxa"/>
              <w:bottom w:w="70" w:type="dxa"/>
              <w:start w:w="80" w:type="dxa"/>
              <w:end w:w="80" w:type="dxa"/>
            </w:tcMar>
          </w:tcPr>
          <w:p>
            <w:r/>
            <w:r>
              <w:rPr>
                <w:rFonts w:ascii="NanumSquareOTF" w:hAnsi="NanumSquareOTF" w:eastAsia="NanumSquareOTF"/>
                <w:b w:val="0"/>
                <w:i w:val="0"/>
                <w:color w:val="1D1D1B"/>
                <w:sz w:val="19"/>
              </w:rPr>
              <w:t>12.00</w:t>
            </w:r>
          </w:p>
        </w:tc>
        <w:tc>
          <w:tcPr>
            <w:tcW w:type="dxa" w:w="1475"/>
            <w:shd w:fill="DCE3DA"/>
            <w:tcMar>
              <w:top w:w="70" w:type="dxa"/>
              <w:bottom w:w="70" w:type="dxa"/>
              <w:start w:w="80" w:type="dxa"/>
              <w:end w:w="80" w:type="dxa"/>
            </w:tcMar>
          </w:tcPr>
          <w:p>
            <w:r/>
            <w:r>
              <w:rPr>
                <w:rFonts w:ascii="NanumSquareOTF" w:hAnsi="NanumSquareOTF" w:eastAsia="NanumSquareOTF"/>
                <w:b w:val="0"/>
                <w:i w:val="0"/>
                <w:color w:val="1D1D1B"/>
                <w:sz w:val="19"/>
              </w:rPr>
              <w:t>0.95</w:t>
            </w:r>
          </w:p>
        </w:tc>
        <w:tc>
          <w:tcPr>
            <w:tcW w:type="dxa" w:w="1475"/>
            <w:shd w:fill="DCE3DA"/>
            <w:tcMar>
              <w:top w:w="70" w:type="dxa"/>
              <w:bottom w:w="70" w:type="dxa"/>
              <w:start w:w="80" w:type="dxa"/>
              <w:end w:w="80" w:type="dxa"/>
            </w:tcMar>
          </w:tcPr>
          <w:p>
            <w:r/>
            <w:r>
              <w:rPr>
                <w:rFonts w:ascii="NanumSquareOTF" w:hAnsi="NanumSquareOTF" w:eastAsia="NanumSquareOTF"/>
                <w:b w:val="0"/>
                <w:i w:val="0"/>
                <w:color w:val="1D1D1B"/>
                <w:sz w:val="19"/>
              </w:rPr>
              <w:t>높음</w:t>
            </w:r>
          </w:p>
        </w:tc>
      </w:tr>
    </w:tbl>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34"/>
              </w:rPr>
              <w:t>Summary</w:t>
            </w:r>
          </w:p>
        </w:tc>
      </w:tr>
      <w:tr>
        <w:tc>
          <w:tcPr>
            <w:tcW w:type="dxa" w:w="10325"/>
            <w:shd w:fill="EFF5EC"/>
            <w:tcBorders>
              <w:top w:val="nil"/>
              <w:left w:val="nil"/>
              <w:bottom w:val="nil"/>
              <w:right w:val="nil"/>
              <w:insideH w:val="nil"/>
              <w:insideV w:val="nil"/>
            </w:tcBorders>
            <w:tcMar>
              <w:top w:w="120" w:type="dxa"/>
              <w:bottom w:w="120" w:type="dxa"/>
              <w:start w:w="120" w:type="dxa"/>
              <w:end w:w="120" w:type="dxa"/>
            </w:tcMar>
          </w:tcPr>
          <w:p>
            <w:pPr>
              <w:spacing w:after="0"/>
            </w:pPr>
            <w:r/>
            <w:r>
              <w:rPr>
                <w:rFonts w:ascii="NanumSquareOTF" w:hAnsi="NanumSquareOTF" w:eastAsia="NanumSquareOTF"/>
                <w:b w:val="0"/>
                <w:i w:val="0"/>
                <w:color w:val="1D1D1B"/>
                <w:sz w:val="22"/>
              </w:rPr>
              <w:t>5월 27일 삼성전자(005930)와 SK하이닉스(000660)가 각각 장중 신고가를 경신하면서 코스피 사상 최고치 경신을 이끌었다. 시장의 단기적 동력은 메모리 수요 회복에 따른 실적 기대, 수출 호조, 기관 매수 및 단일종목 레버리지 ETF 유입으로 요약된다. 삼성전자는 임단협 타결로 노사 리스크가 해소되며 추가 상승 기대를 얻었고, SK하이닉스는 다년 장기 계약 전환 가능성 등 구조적 수익성 개선 기대가 부각됐다. 기술적 지표는 양사 모두 강한 상승 추세를 확인시키지만, 공시 기반 재무지표(사업보고서 2025)상으로는 이미 높은 밸류에이션(PER, PBR 등)이 관찰된다. 따라서 현재의 주가 상승은 펀더멘털 개선 기대치가 많이 반영된 측면이 크며, 포지셔닝은 모멘텀을 존중하되 밸류에이션 리스크를 관리하는 방향이 합리적이다. 종합 의견(…</w:t>
            </w:r>
          </w:p>
        </w:tc>
      </w:tr>
    </w:tbl>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34"/>
              </w:rPr>
              <w:t>INDUSTRY</w:t>
            </w:r>
          </w:p>
        </w:tc>
      </w:tr>
      <w:tr>
        <w:tc>
          <w:tcPr>
            <w:tcW w:type="dxa" w:w="10325"/>
            <w:shd w:fill="EFF5EC"/>
            <w:tcBorders>
              <w:top w:val="nil"/>
              <w:left w:val="nil"/>
              <w:bottom w:val="nil"/>
              <w:right w:val="nil"/>
              <w:insideH w:val="nil"/>
              <w:insideV w:val="nil"/>
            </w:tcBorders>
            <w:tcMar>
              <w:top w:w="120" w:type="dxa"/>
              <w:bottom w:w="120" w:type="dxa"/>
              <w:start w:w="120" w:type="dxa"/>
              <w:end w:w="120" w:type="dxa"/>
            </w:tcMar>
          </w:tcPr>
          <w:p>
            <w:pPr>
              <w:spacing w:after="0"/>
            </w:pPr>
            <w:r/>
            <w:r>
              <w:rPr>
                <w:rFonts w:ascii="NanumSquareOTF" w:hAnsi="NanumSquareOTF" w:eastAsia="NanumSquareOTF"/>
                <w:b w:val="0"/>
                <w:i w:val="0"/>
                <w:color w:val="1D1D1B"/>
                <w:sz w:val="22"/>
              </w:rPr>
              <w:t>현 시점 투자 논리는 단순하다. 수요 회복과 수출 호조, 기관·ETF의 집중 매수라는 수급적 촉매가 존재하고 기술적 모멘텀도 강하다. 이 조합은 단기적 추가 상승 여력을 뒷받침한다. 다만 사업보고서(2025) 기준 재무지표는 이미 높은 기대가 주가에 상당 부분 반영된 상태를 시사한다. 삼성전자는 임단협 타결로 구조적 불확실성 일부가 제거돼 안정성 프리미엄을 유지할 여지가 크고, SK하이닉스는 높은 수익성(영업·순이익률, ROE)과 다년 계약 전환 기대가 상대적 프리미엄을 정당화할 수 있다. 결론적으로 모멘텀을 이용한 단기 트레이드에는 유리하지만, 중장기 익스포저는 밸류에이션 수준과 메모리 업황의 사이클성에 따라 엄격한 리스크 관리가 필요하다. 반도체 업황 리바운드가 이번 랠리의 근간이다. 기사와 시장 흐름은 메모리 수요 급증, 수출 호조, 기관 및 레버리지 ETF 수급을 공통된 배경으로 제시한다. 메모리 섹터는 사이클성이 본질이므로 수요 회복이 실적 개선으로 이어지는 과정에서 주가가 과도하게 선행하는 경향이 있다. 특히 단일종목 레버리지 ETF와 기관의 집중 매수는 단기적 수급 왜곡을 초래해 가격 상승을 가속화하지만, 반대로 조정 시 빠른 가격 조정으로 이어질 수 있다. 산업적 의미는 명확하다: 수요 회복과 장기 계약으로의 전환 여부가 실적의 지속성을 결정하고, 그 결과가 현재의 고평가를 정당화할지 여부를 판가름할 핵심 변수다.</w:t>
            </w:r>
          </w:p>
        </w:tc>
      </w:tr>
    </w:tbl>
    <w:p>
      <w:pPr>
        <w:pageBreakBefore/>
        <w:spacing w:before="0" w:after="0"/>
      </w:pPr>
    </w:p>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34"/>
              </w:rPr>
              <w:t>Conclusion</w:t>
            </w:r>
          </w:p>
        </w:tc>
      </w:tr>
      <w:tr>
        <w:tc>
          <w:tcPr>
            <w:tcW w:type="dxa" w:w="10325"/>
            <w:shd w:fill="EFF5EC"/>
            <w:tcBorders>
              <w:top w:val="nil"/>
              <w:left w:val="nil"/>
              <w:bottom w:val="nil"/>
              <w:right w:val="nil"/>
              <w:insideH w:val="nil"/>
              <w:insideV w:val="nil"/>
            </w:tcBorders>
            <w:tcMar>
              <w:top w:w="120" w:type="dxa"/>
              <w:bottom w:w="120" w:type="dxa"/>
              <w:start w:w="120" w:type="dxa"/>
              <w:end w:w="120" w:type="dxa"/>
            </w:tcMar>
          </w:tcPr>
          <w:p>
            <w:pPr>
              <w:spacing w:after="0"/>
            </w:pPr>
            <w:r/>
            <w:r>
              <w:rPr>
                <w:rFonts w:ascii="NanumSquareOTF" w:hAnsi="NanumSquareOTF" w:eastAsia="NanumSquareOTF"/>
                <w:b w:val="0"/>
                <w:i w:val="0"/>
                <w:color w:val="1D1D1B"/>
                <w:sz w:val="22"/>
              </w:rPr>
              <w:t>종합적으로, 삼성전자와 SK하이닉스의 최근 신고가 경신은 메모리 수요 회복, 수출 개선, 기관·ETF 수급이라는 실체적 촉매와 강한 기술적 모멘텀이 결합된 결과다. 기술적·수급적 환경은 단기적으로 추가 상승을 지지하지만, 사업보고서(2025) 기준 재무지표는 이미 상당한 성장·수익성 기대가 주가에 반영되어 있음을 시사한다. 따라서 행간의 투자 판단은 다음과 같다. 단기 트레이드 관점에서는 모멘텀을 활용한 매수 전략이 합리적이며, 입력 근거(기술적 신호 및 기사 정보)상 양사 모두 '강력 매수' 의견이 타당하다. 중장기 관점에서는 SK하이닉스의 높은 수익성이 더 높은 성장 보상과 함께 변동성이 큰 리스크를 수반하는 반면, 삼성전자는 노사 리스크 완화와 규모의 이점으로 방어적 포지션을 제공한다. 최종적으로 투자자는 밸류에이션(특히 사업보고서 기준 PER·PBR)과 메모리 업황 실체의 지속성 여부를 우선 점검한 뒤 포지션을 조정할 것을 권고한다.</w:t>
            </w:r>
          </w:p>
        </w:tc>
      </w:tr>
    </w:tbl>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34"/>
              </w:rPr>
              <w:t>Key Factors</w:t>
            </w:r>
          </w:p>
        </w:tc>
      </w:tr>
      <w:tr>
        <w:tc>
          <w:tcPr>
            <w:tcW w:type="dxa" w:w="10325"/>
            <w:shd w:fill="EFF5EC"/>
            <w:tcBorders>
              <w:top w:val="nil"/>
              <w:left w:val="nil"/>
              <w:bottom w:val="nil"/>
              <w:right w:val="nil"/>
              <w:insideH w:val="nil"/>
              <w:insideV w:val="nil"/>
            </w:tcBorders>
            <w:tcMar>
              <w:top w:w="120" w:type="dxa"/>
              <w:bottom w:w="120" w:type="dxa"/>
              <w:start w:w="120" w:type="dxa"/>
              <w:end w:w="120" w:type="dxa"/>
            </w:tcMar>
          </w:tcPr>
          <w:p>
            <w:pPr>
              <w:spacing w:after="0"/>
            </w:pPr>
            <w:r/>
            <w:r>
              <w:rPr>
                <w:rFonts w:ascii="NanumSquareOTF" w:hAnsi="NanumSquareOTF" w:eastAsia="NanumSquareOTF"/>
                <w:b w:val="0"/>
                <w:i w:val="0"/>
                <w:color w:val="1D1D1B"/>
                <w:sz w:val="22"/>
              </w:rPr>
              <w:t>삼성전자: 강력 매수 / score 11.00 / confidence 0.95</w:t>
              <w:br/>
              <w:t>SK하이닉스: 강력 매수 / score 12.00 / confidence 0.95</w:t>
              <w:br/>
              <w:t>공통 리스크: 핵심 리스크는 메모리 사이클의 전형적 하방 리스크다. 수요 둔화나 공급 과잉은 가격과 마진을 빠르게 잠식할 수 있다. 글로벌 거시 리스크(미·중 수요 변화, 금리·환율 변동)와 기술적·경쟁적 리스크(신공정 실패, 경쟁사 가격 공세)도 실적 변동성을 키운다. 삼성전자의 경우 노사 리스크는 임단협 타결로 완화됐지만, 환율·공급망·정책 변수는 여전하다. SK하이닉스는 다년 계약 전환 기대가 큰 호재이나, 계약 전환의 실행과정에서 미반영 리스크가 존재한다. 또 하나의 투자위험은 수급 측면에서 레버리지 ETF나 기관의 집중 매수에 따른 유동성 왜곡이다. 이러한 수급은 상승을 가속화하지만 반대로 자금 이탈 시 급락을 야기할 수 있다. 마지막으로, 제공된 밸류에이션 수치들 간 불일치(기사 기반 PER vs. 공시 기반 PER)는 투자 판단의 불확실성을 키우며, 추가적인 데이터 확인 없이 확정적 결론을 내리는 것은 위험하다.</w:t>
            </w:r>
          </w:p>
        </w:tc>
      </w:tr>
    </w:tbl>
    <w:p>
      <w:pPr>
        <w:pageBreakBefore/>
        <w:spacing w:before="0" w:after="0"/>
      </w:pPr>
    </w:p>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34"/>
              </w:rPr>
              <w:t>Financial / Valuation</w:t>
            </w:r>
          </w:p>
        </w:tc>
      </w:tr>
      <w:tr>
        <w:tc>
          <w:tcPr>
            <w:tcW w:type="dxa" w:w="10325"/>
            <w:shd w:fill="EFF5EC"/>
            <w:tcBorders>
              <w:top w:val="nil"/>
              <w:left w:val="nil"/>
              <w:bottom w:val="nil"/>
              <w:right w:val="nil"/>
              <w:insideH w:val="nil"/>
              <w:insideV w:val="nil"/>
            </w:tcBorders>
            <w:tcMar>
              <w:top w:w="120" w:type="dxa"/>
              <w:bottom w:w="120" w:type="dxa"/>
              <w:start w:w="120" w:type="dxa"/>
              <w:end w:w="120" w:type="dxa"/>
            </w:tcMar>
          </w:tcPr>
          <w:p>
            <w:pPr>
              <w:spacing w:after="0"/>
            </w:pPr>
            <w:r/>
            <w:r>
              <w:rPr>
                <w:rFonts w:ascii="NanumSquareOTF" w:hAnsi="NanumSquareOTF" w:eastAsia="NanumSquareOTF"/>
                <w:b w:val="0"/>
                <w:i w:val="0"/>
                <w:color w:val="1D1D1B"/>
                <w:sz w:val="22"/>
              </w:rPr>
              <w:t>공시된 2025년 연결 재무지표는 현재 주가 수준의 해석에 핵심적이다. 삼성전자는 EPS 6,603원, BPS 63,729.86원, PER 46.49, PBR 4.82, 현금배당수익률 0.47%로 보고되어 있다. SK하이닉스는 EPS 60,378원, BPS 169,638.49원, PER 37.40, PBR 13.31, 현금배당수익률 0.10%를 기록했다. SK하이닉스의 영업·순이익률과 ROE(44.14%)는 매우 우수해 높은 PBR을 일부 정당화하지만, 절대 수준의 PBR 13은 투자자 기대가 상당 부분 선반영되어 있음을 시사한다. 삼성전자는 ROE 10.78%, 영업이익률 13.07%로 SK 대비 수익성은 낮으나 거대 자산 기반과 안정성, 상대적 유동성 등의 프리미엄을 확보하고 있다. 밸류에이션 해석에서 한 가지 중요한 제약은 기사에서 언급된 PER(삼성 24.17, SK 19.82)과 사업보고서상 PER(각각 46.49, 37.40)이 상이하다는 점이다. 이 차이는 계산 시점, 이익 기준(예: 컨센서스 vs. 회계상 EPS), 혹은 산식 차이에서 기인할 가능성이 있으나 제공된 데이터만으로는 원인을 규명할 수 없다. 따라서 기사 기반의 '아직 저평가' 주장과 공시 기반의 '상대적 고평가' 신호가 공존하는 상황이다. 투자자는 이들 수치의 출처와 계산 기준을 확인한 뒤 밸류에이션 판단을 내릴 필요가 있다. 현 시점에서의 합리적 결론은: 재무상으로 이미 높은 기대가 반영돼 있어 추가 상승은 펀더멘털 개선의 실체화(매출·마진의 지속적 확장, 장기 계약 체결 등)에 의존한다는 점이다.</w:t>
            </w:r>
          </w:p>
        </w:tc>
      </w:tr>
    </w:tbl>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34"/>
              </w:rPr>
              <w:t>Technical / Momentum</w:t>
            </w:r>
          </w:p>
        </w:tc>
      </w:tr>
      <w:tr>
        <w:tc>
          <w:tcPr>
            <w:tcW w:type="dxa" w:w="10325"/>
            <w:shd w:fill="EFF5EC"/>
            <w:tcBorders>
              <w:top w:val="nil"/>
              <w:left w:val="nil"/>
              <w:bottom w:val="nil"/>
              <w:right w:val="nil"/>
              <w:insideH w:val="nil"/>
              <w:insideV w:val="nil"/>
            </w:tcBorders>
            <w:tcMar>
              <w:top w:w="120" w:type="dxa"/>
              <w:bottom w:w="120" w:type="dxa"/>
              <w:start w:w="120" w:type="dxa"/>
              <w:end w:w="120" w:type="dxa"/>
            </w:tcMar>
          </w:tcPr>
          <w:p>
            <w:pPr>
              <w:spacing w:after="0"/>
            </w:pPr>
            <w:r/>
            <w:r>
              <w:rPr>
                <w:rFonts w:ascii="NanumSquareOTF" w:hAnsi="NanumSquareOTF" w:eastAsia="NanumSquareOTF"/>
                <w:b w:val="0"/>
                <w:i w:val="0"/>
                <w:color w:val="1D1D1B"/>
                <w:sz w:val="22"/>
              </w:rPr>
              <w:t>기술적 지표는 단기·중기 모두에서 강한 상승을 지지하고 있다. 삼성전자의 경우 SMA20(268,850)과 SMA50(226,961)의 정배열, EMA20 위의 종가, ADX 35.6, RSI 69.4, MACD 히스토그램 양수 등은 추세의 강도를 확인해 준다. 다만 거래량 측면에서 '추세를 확실히 확인할 만큼 크지는 않다'는 관찰이 기술적 리스크로 존재한다. SK하이닉스는 더 강한 모멘텀(ADX 47.7, RSI 79.9, MACD 히스토그램 큰 폭 양수)을 보이며 최근 3일·5일 수익률(각각 16.39%, 29.4%)도 이를 뒷받침한다. 그러나 RSI가 70 이상으로 과열 신호를 보이고 ATR과 OBV 상승 폭이 큰 만큼, 단기 과매수 구간에서의 가격 변동성 리스크가 더 크다. 종합하면 기술적 신호는 '강매수'를 지시하지만, 모멘텀이 펀더멘털에 비해 빠르게 선행한 느낌이 강해 조정 시 손실 폭이 확대될 가능성을 염두에 둬야 한다.</w:t>
            </w:r>
          </w:p>
        </w:tc>
      </w:tr>
    </w:tbl>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34"/>
              </w:rPr>
              <w:t>Risk Factors</w:t>
            </w:r>
          </w:p>
        </w:tc>
      </w:tr>
      <w:tr>
        <w:tc>
          <w:tcPr>
            <w:tcW w:type="dxa" w:w="10325"/>
            <w:shd w:fill="EFF5EC"/>
            <w:tcBorders>
              <w:top w:val="nil"/>
              <w:left w:val="nil"/>
              <w:bottom w:val="nil"/>
              <w:right w:val="nil"/>
              <w:insideH w:val="nil"/>
              <w:insideV w:val="nil"/>
            </w:tcBorders>
            <w:tcMar>
              <w:top w:w="120" w:type="dxa"/>
              <w:bottom w:w="120" w:type="dxa"/>
              <w:start w:w="120" w:type="dxa"/>
              <w:end w:w="120" w:type="dxa"/>
            </w:tcMar>
          </w:tcPr>
          <w:p>
            <w:pPr>
              <w:spacing w:after="0"/>
            </w:pPr>
            <w:r/>
            <w:r>
              <w:rPr>
                <w:rFonts w:ascii="NanumSquareOTF" w:hAnsi="NanumSquareOTF" w:eastAsia="NanumSquareOTF"/>
                <w:b w:val="0"/>
                <w:i w:val="0"/>
                <w:color w:val="1D1D1B"/>
                <w:sz w:val="22"/>
              </w:rPr>
              <w:t>핵심 리스크는 메모리 사이클의 전형적 하방 리스크다. 수요 둔화나 공급 과잉은 가격과 마진을 빠르게 잠식할 수 있다. 글로벌 거시 리스크(미·중 수요 변화, 금리·환율 변동)와 기술적·경쟁적 리스크(신공정 실패, 경쟁사 가격 공세)도 실적 변동성을 키운다. 삼성전자의 경우 노사 리스크는 임단협 타결로 완화됐지만, 환율·공급망·정책 변수는 여전하다. SK하이닉스는 다년 계약 전환 기대가 큰 호재이나, 계약 전환의 실행과정에서 미반영 리스크가 존재한다. 또 하나의 투자위험은 수급 측면에서 레버리지 ETF나 기관의 집중 매수에 따른 유동성 왜곡이다. 이러한 수급은 상승을 가속화하지만 반대로 자금 이탈 시 급락을 야기할 수 있다. 마지막으로, 제공된 밸류에이션 수치들 간 불일치(기사 기반 PER vs. 공시 기반 PER)는 투자 판단의 불확실성을 키우며, 추가적인 데이터 확인 없이 확정적 결론을 내리는 것은 위험하다.</w:t>
            </w:r>
          </w:p>
        </w:tc>
      </w:tr>
    </w:tbl>
    <w:p>
      <w:pPr>
        <w:pageBreakBefore/>
        <w:spacing w:before="0" w:after="0"/>
      </w:pPr>
    </w:p>
    <w:tbl>
      <w:tblPr>
        <w:tblW w:type="auto" w:w="0"/>
        <w:jc w:val="center"/>
        <w:tblLayout w:type="fixed"/>
        <w:tblLook w:firstColumn="1" w:firstRow="1" w:lastColumn="0" w:lastRow="0" w:noHBand="0" w:noVBand="1" w:val="04A0"/>
      </w:tblPr>
      <w:tblGrid>
        <w:gridCol w:w="3312"/>
        <w:gridCol w:w="6912"/>
      </w:tblGrid>
      <w:tr>
        <w:tc>
          <w:tcPr>
            <w:tcW w:type="dxa" w:w="5162"/>
            <w:shd w:fill="1E7032"/>
            <w:tcBorders>
              <w:top w:val="nil"/>
              <w:left w:val="nil"/>
              <w:bottom w:val="nil"/>
              <w:right w:val="nil"/>
              <w:insideH w:val="nil"/>
              <w:insideV w:val="nil"/>
            </w:tcBorders>
            <w:tcMar>
              <w:top w:w="160" w:type="dxa"/>
              <w:bottom w:w="180" w:type="dxa"/>
              <w:start w:w="160" w:type="dxa"/>
              <w:end w:w="160" w:type="dxa"/>
            </w:tcMar>
            <w:vAlign w:val="top"/>
          </w:tcPr>
          <w:p>
            <w:r>
              <w:rPr>
                <w:rFonts w:ascii="NanumSquareOTF" w:hAnsi="NanumSquareOTF" w:eastAsia="NanumSquareOTF"/>
                <w:b/>
                <w:i w:val="0"/>
                <w:color w:val="FFFFFF"/>
                <w:sz w:val="36"/>
              </w:rPr>
              <w:t>삼성전자</w:t>
              <w:br/>
              <w:t>(005930)</w:t>
            </w:r>
          </w:p>
          <w:p>
            <w:r>
              <w:rPr>
                <w:rFonts w:ascii="NanumSquareOTF" w:hAnsi="NanumSquareOTF" w:eastAsia="NanumSquareOTF"/>
                <w:b w:val="0"/>
                <w:i w:val="0"/>
                <w:color w:val="FFFFFF"/>
                <w:sz w:val="19"/>
              </w:rPr>
              <w:t>KOSPI</w:t>
              <w:br/>
              <w:t>재무 기준일: 2025-12-31</w:t>
              <w:br/>
              <w:t>출처: OpenDART</w:t>
            </w:r>
          </w:p>
          <w:tbl>
            <w:tblPr>
              <w:tblW w:type="auto" w:w="0"/>
              <w:tblLook w:firstColumn="1" w:firstRow="1" w:lastColumn="0" w:lastRow="0" w:noHBand="0" w:noVBand="1" w:val="04A0"/>
            </w:tblPr>
            <w:tblGrid>
              <w:gridCol w:w="5162"/>
            </w:tblGrid>
            <w:tr>
              <w:tc>
                <w:tcPr>
                  <w:tcW w:type="dxa" w:w="5162"/>
                  <w:shd w:fill="FFFFFF"/>
                  <w:tcBorders>
                    <w:top w:val="nil"/>
                    <w:left w:val="nil"/>
                    <w:bottom w:val="nil"/>
                    <w:right w:val="nil"/>
                    <w:insideH w:val="nil"/>
                    <w:insideV w:val="nil"/>
                  </w:tcBorders>
                  <w:tcMar>
                    <w:top w:w="100" w:type="dxa"/>
                    <w:bottom w:w="100" w:type="dxa"/>
                    <w:start w:w="110" w:type="dxa"/>
                    <w:end w:w="110" w:type="dxa"/>
                  </w:tcMar>
                </w:tcPr>
                <w:p>
                  <w:r/>
                  <w:r>
                    <w:rPr>
                      <w:rFonts w:ascii="NanumSquareOTF" w:hAnsi="NanumSquareOTF" w:eastAsia="NanumSquareOTF"/>
                      <w:b w:val="0"/>
                      <w:i w:val="0"/>
                      <w:color w:val="1D1D1B"/>
                      <w:sz w:val="18"/>
                    </w:rPr>
                    <w:t>의견      강력 매수</w:t>
                    <w:br/>
                    <w:t>점수      11.00</w:t>
                    <w:br/>
                    <w:t>신뢰도    0.95</w:t>
                    <w:br/>
                    <w:t>종가      307,000.00</w:t>
                    <w:br/>
                    <w:t>PER       46.49</w:t>
                    <w:br/>
                    <w:t>PBR       4.82</w:t>
                    <w:br/>
                    <w:t>ROE       10.78%</w:t>
                  </w:r>
                </w:p>
              </w:tc>
            </w:tr>
          </w:tbl>
          <w:p/>
        </w:tc>
        <w:tc>
          <w:tcPr>
            <w:tcW w:type="dxa" w:w="5162"/>
            <w:tcBorders>
              <w:top w:val="nil"/>
              <w:left w:val="nil"/>
              <w:bottom w:val="nil"/>
              <w:right w:val="nil"/>
              <w:insideH w:val="nil"/>
              <w:insideV w:val="nil"/>
            </w:tcBorders>
            <w:tcMar>
              <w:top w:w="60" w:type="dxa"/>
              <w:bottom w:w="80" w:type="dxa"/>
              <w:start w:w="150" w:type="dxa"/>
              <w:end w:w="150" w:type="dxa"/>
            </w:tcMar>
            <w:vAlign w:val="top"/>
          </w:tcPr>
          <w:p/>
          <w:tbl>
            <w:tblPr>
              <w:tblW w:type="auto" w:w="0"/>
              <w:jc w:val="center"/>
              <w:tblLayout w:type="autofit"/>
              <w:tblLook w:firstColumn="1" w:firstRow="1" w:lastColumn="0" w:lastRow="0" w:noHBand="0" w:noVBand="1" w:val="04A0"/>
            </w:tblPr>
            <w:tblGrid>
              <w:gridCol w:w="5162"/>
            </w:tblGrid>
            <w:tr>
              <w:tc>
                <w:tcPr>
                  <w:tcW w:type="dxa" w:w="5162"/>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26"/>
                    </w:rPr>
                    <w:t>OPINION</w:t>
                  </w:r>
                </w:p>
              </w:tc>
            </w:tr>
            <w:tr>
              <w:tc>
                <w:tcPr>
                  <w:tcW w:type="dxa" w:w="5162"/>
                  <w:shd w:fill="FFFFFF"/>
                  <w:tcBorders>
                    <w:top w:val="nil"/>
                    <w:left w:val="nil"/>
                    <w:bottom w:val="nil"/>
                    <w:right w:val="nil"/>
                    <w:insideH w:val="nil"/>
                    <w:insideV w:val="nil"/>
                  </w:tcBorders>
                  <w:tcMar>
                    <w:top w:w="90" w:type="dxa"/>
                    <w:bottom w:w="120" w:type="dxa"/>
                    <w:start w:w="120" w:type="dxa"/>
                    <w:end w:w="120" w:type="dxa"/>
                  </w:tcMar>
                </w:tcPr>
                <w:p>
                  <w:pPr>
                    <w:spacing w:after="0"/>
                  </w:pPr>
                  <w:r/>
                  <w:r>
                    <w:rPr>
                      <w:rFonts w:ascii="NanumSquareOTF" w:hAnsi="NanumSquareOTF" w:eastAsia="NanumSquareOTF"/>
                      <w:b w:val="0"/>
                      <w:i w:val="0"/>
                      <w:color w:val="1D1D1B"/>
                      <w:sz w:val="20"/>
                    </w:rPr>
                    <w:t>삼성전자와 SK하이닉스는 같은 업(業)에 속하면서도 투자 포인트와 리스크 프로필이 다르다. 삼성전자는 글로벌 대형주로서 시가총액과 사업 포트폴리오 측면에서 상대적 안정성을 제공한다. 삼성전자는 상대적으로 안정적 포지셔닝과 노동 리스크 해소라는 이점을 지니나, 사업보고서 기준 밸류에이션은 역시 낮지 않아 방어적 접근이 필요하다. 포트폴리오 관점에서는 수익성·성장성 추구자는 SK에, 안정성과 상대적 배당·규모를 중시하는 투자자는 삼성전자에 무게를 둔다.</w:t>
                  </w:r>
                </w:p>
              </w:tc>
            </w:tr>
          </w:tbl>
          <w:p/>
          <w:tbl>
            <w:tblPr>
              <w:tblW w:type="auto" w:w="0"/>
              <w:jc w:val="center"/>
              <w:tblLayout w:type="autofit"/>
              <w:tblLook w:firstColumn="1" w:firstRow="1" w:lastColumn="0" w:lastRow="0" w:noHBand="0" w:noVBand="1" w:val="04A0"/>
            </w:tblPr>
            <w:tblGrid>
              <w:gridCol w:w="5162"/>
            </w:tblGrid>
            <w:tr>
              <w:tc>
                <w:tcPr>
                  <w:tcW w:type="dxa" w:w="5162"/>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26"/>
                    </w:rPr>
                    <w:t>Technical / Momentum</w:t>
                  </w:r>
                </w:p>
              </w:tc>
            </w:tr>
            <w:tr>
              <w:tc>
                <w:tcPr>
                  <w:tcW w:type="dxa" w:w="5162"/>
                  <w:shd w:fill="FFFFFF"/>
                  <w:tcBorders>
                    <w:top w:val="nil"/>
                    <w:left w:val="nil"/>
                    <w:bottom w:val="nil"/>
                    <w:right w:val="nil"/>
                    <w:insideH w:val="nil"/>
                    <w:insideV w:val="nil"/>
                  </w:tcBorders>
                  <w:tcMar>
                    <w:top w:w="90" w:type="dxa"/>
                    <w:bottom w:w="120" w:type="dxa"/>
                    <w:start w:w="120" w:type="dxa"/>
                    <w:end w:w="120" w:type="dxa"/>
                  </w:tcMar>
                </w:tcPr>
                <w:p>
                  <w:pPr>
                    <w:spacing w:after="0"/>
                  </w:pPr>
                  <w:r/>
                  <w:r>
                    <w:rPr>
                      <w:rFonts w:ascii="NanumSquareOTF" w:hAnsi="NanumSquareOTF" w:eastAsia="NanumSquareOTF"/>
                      <w:b w:val="0"/>
                      <w:i w:val="0"/>
                      <w:color w:val="1D1D1B"/>
                      <w:sz w:val="20"/>
                    </w:rPr>
                    <w:t>현재 기술 국면은 추세장으로 분류되며, 종합 신호는 강력 매수(점수 11.00, 신뢰도 0.95)다. 최근 20일 평균가격과 50일 평균가격의 상대 위치로 중기 추세를 읽는 이동평균 지표에서, SMA20(268,850.00)이 SMA50(226,961.00) 위에 있어 중기 추세는 우상향으로 해석된다. 최근 가격 압력이 단기적으로 얼마나 강한지를 보여주는 EMA20 기준으로도 종가(307,000.00)가 EMA20(271,130.20) 위에 있어 단기 매수 압력이 우세하다. 단기·장기 이동평균의 간격 변화로 모멘텀 전환을 읽는 MACD 지표는 21617.70이며, 시그널선(20437.51) 위에 있어 상승 모멘텀이 우세하다고, 히스토그램도 양(+)의 구간(1180.19)에 있다. 추세의 세기 자체를 측정하는 ADX는 35.63 수준으로 강한 편이고, 방향성 지표에서는 +DI(35.20)가 -DI(12.41)보다 높아 상승 추세가 우세하다. 거래량이 가격 움직임을 얼마나 뒷받침하는지 보여주는 OBV 흐름도 단기 평균이 장기 평균 위에 있어 수급 측면의 뒷받침이 우호적이다. 가격의 상승·하락 압력이 강세 쪽으로 기울었는지 보는 RSI 지표는 69.38로, 과열은 아니지만 강세권에 위치한다. 단기 변곡 가능성을 빠르게 포착하는 스토캐스틱은 %K 86.09, %D 89.16로 과매수권 둔화 신호에 가깝다. 주요 근거로는 SMA20이 SMA50 위에 있어 중기 상승 추세가 확인됩니다, MACD가 시그널선 위에 있어 상승 모멘텀이 나타납니다, 추세장에서 +DI가 -DI보다 높아 상승…</w:t>
                  </w:r>
                </w:p>
              </w:tc>
            </w:tr>
          </w:tbl>
          <w:p/>
          <w:tbl>
            <w:tblPr>
              <w:tblW w:type="auto" w:w="0"/>
              <w:jc w:val="center"/>
              <w:tblLayout w:type="autofit"/>
              <w:tblLook w:firstColumn="1" w:firstRow="1" w:lastColumn="0" w:lastRow="0" w:noHBand="0" w:noVBand="1" w:val="04A0"/>
            </w:tblPr>
            <w:tblGrid>
              <w:gridCol w:w="5162"/>
            </w:tblGrid>
            <w:tr>
              <w:tc>
                <w:tcPr>
                  <w:tcW w:type="dxa" w:w="5162"/>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26"/>
                    </w:rPr>
                    <w:t>RISK</w:t>
                  </w:r>
                </w:p>
              </w:tc>
            </w:tr>
            <w:tr>
              <w:tc>
                <w:tcPr>
                  <w:tcW w:type="dxa" w:w="5162"/>
                  <w:shd w:fill="FFFFFF"/>
                  <w:tcBorders>
                    <w:top w:val="nil"/>
                    <w:left w:val="nil"/>
                    <w:bottom w:val="nil"/>
                    <w:right w:val="nil"/>
                    <w:insideH w:val="nil"/>
                    <w:insideV w:val="nil"/>
                  </w:tcBorders>
                  <w:tcMar>
                    <w:top w:w="90" w:type="dxa"/>
                    <w:bottom w:w="120" w:type="dxa"/>
                    <w:start w:w="120" w:type="dxa"/>
                    <w:end w:w="120" w:type="dxa"/>
                  </w:tcMar>
                </w:tcPr>
                <w:p>
                  <w:pPr>
                    <w:spacing w:after="0"/>
                  </w:pPr>
                  <w:r/>
                  <w:r>
                    <w:rPr>
                      <w:rFonts w:ascii="NanumSquareOTF" w:hAnsi="NanumSquareOTF" w:eastAsia="NanumSquareOTF"/>
                      <w:b w:val="0"/>
                      <w:i w:val="0"/>
                      <w:color w:val="1D1D1B"/>
                      <w:sz w:val="20"/>
                    </w:rPr>
                    <w:t>위험도는 보통 수준으로 판단된다. 첫째, 삼성전자의 경우 노사 리스크는 임단협 타결로 완화됐지만, 환율·공급망·정책 변수는 여전하다. 둘째, PER이 46.49 수준으로 높아 기대가 이미 가격에 반영됐을 가능성이 있어 밸류에이션 조정 부담이 있다. 셋째, PBR이 4.82 수준으로 높아 실적 둔화 시 멀티플 축소 압력이 커질 수 있다.</w:t>
                  </w:r>
                </w:p>
              </w:tc>
            </w:tr>
          </w:tbl>
          <w:p/>
        </w:tc>
      </w:tr>
    </w:tbl>
    <w:p>
      <w:pPr>
        <w:pageBreakBefore/>
        <w:spacing w:before="0" w:after="0"/>
      </w:pPr>
    </w:p>
    <w:p>
      <w:r>
        <w:rPr>
          <w:rFonts w:ascii="NanumSquareOTF" w:hAnsi="NanumSquareOTF" w:eastAsia="NanumSquareOTF"/>
          <w:b/>
          <w:i w:val="0"/>
          <w:color w:val="255A1B"/>
          <w:sz w:val="36"/>
        </w:rPr>
        <w:t>삼성전자 (005930)</w:t>
      </w:r>
    </w:p>
    <w:p>
      <w:r>
        <w:rPr>
          <w:rFonts w:ascii="NanumSquareOTF" w:hAnsi="NanumSquareOTF" w:eastAsia="NanumSquareOTF"/>
          <w:b w:val="0"/>
          <w:i w:val="0"/>
          <w:color w:val="1D1D1B"/>
          <w:sz w:val="20"/>
        </w:rPr>
        <w:t>KOSPI | 의견 강력 매수 | 점수 11.00 | 신뢰도 0.95</w:t>
      </w:r>
    </w:p>
    <w:tbl>
      <w:tblPr>
        <w:tblW w:type="auto" w:w="0"/>
        <w:jc w:val="center"/>
        <w:tblLook w:firstColumn="1" w:firstRow="1" w:lastColumn="0" w:lastRow="0" w:noHBand="0" w:noVBand="1" w:val="04A0"/>
      </w:tblPr>
      <w:tblGrid>
        <w:gridCol w:w="10325"/>
      </w:tblGrid>
      <w:tr>
        <w:tc>
          <w:tcPr>
            <w:tcW w:type="dxa" w:w="10325"/>
            <w:tcBorders>
              <w:top w:val="nil"/>
              <w:left w:val="nil"/>
              <w:bottom w:val="single" w:sz="6" w:color="1E7032"/>
              <w:right w:val="nil"/>
              <w:insideH w:val="nil"/>
              <w:insideV w:val="nil"/>
            </w:tcBorders>
            <w:tcMar>
              <w:top w:w="60" w:type="dxa"/>
              <w:bottom w:w="80" w:type="dxa"/>
              <w:start w:w="0" w:type="dxa"/>
              <w:end w:w="0" w:type="dxa"/>
            </w:tcMar>
          </w:tcPr>
          <w:p>
            <w:r/>
            <w:r>
              <w:rPr>
                <w:rFonts w:ascii="NanumSquareOTF" w:hAnsi="NanumSquareOTF" w:eastAsia="NanumSquareOTF"/>
                <w:b/>
                <w:i w:val="0"/>
                <w:color w:val="255A1B"/>
                <w:sz w:val="26"/>
              </w:rPr>
              <w:t>삼성전자 3M Daily Price Trend</w:t>
            </w:r>
          </w:p>
        </w:tc>
      </w:tr>
      <w:tr>
        <w:tc>
          <w:tcPr>
            <w:tcW w:type="dxa" w:w="10325"/>
            <w:tcBorders>
              <w:top w:val="nil"/>
              <w:left w:val="nil"/>
              <w:bottom w:val="nil"/>
              <w:right w:val="nil"/>
              <w:insideH w:val="nil"/>
              <w:insideV w:val="nil"/>
            </w:tcBorders>
            <w:tcMar>
              <w:top w:w="120" w:type="dxa"/>
              <w:bottom w:w="90" w:type="dxa"/>
              <w:start w:w="90" w:type="dxa"/>
              <w:end w:w="90" w:type="dxa"/>
            </w:tcMar>
          </w:tcPr>
          <w:p>
            <w:pPr>
              <w:jc w:val="center"/>
            </w:pPr>
            <w:r>
              <w:drawing>
                <wp:inline xmlns:a="http://schemas.openxmlformats.org/drawingml/2006/main" xmlns:pic="http://schemas.openxmlformats.org/drawingml/2006/picture">
                  <wp:extent cx="5806440" cy="2631043"/>
                  <wp:docPr id="1" name="Picture 1"/>
                  <wp:cNvGraphicFramePr>
                    <a:graphicFrameLocks noChangeAspect="1"/>
                  </wp:cNvGraphicFramePr>
                  <a:graphic>
                    <a:graphicData uri="http://schemas.openxmlformats.org/drawingml/2006/picture">
                      <pic:pic>
                        <pic:nvPicPr>
                          <pic:cNvPr id="0" name="005930_삼성전자_daily_3mo.png"/>
                          <pic:cNvPicPr/>
                        </pic:nvPicPr>
                        <pic:blipFill>
                          <a:blip r:embed="rId10"/>
                          <a:stretch>
                            <a:fillRect/>
                          </a:stretch>
                        </pic:blipFill>
                        <pic:spPr>
                          <a:xfrm>
                            <a:off x="0" y="0"/>
                            <a:ext cx="5806440" cy="2631043"/>
                          </a:xfrm>
                          <a:prstGeom prst="rect"/>
                        </pic:spPr>
                      </pic:pic>
                    </a:graphicData>
                  </a:graphic>
                </wp:inline>
              </w:drawing>
            </w:r>
          </w:p>
          <w:p>
            <w:pPr>
              <w:jc w:val="center"/>
            </w:pPr>
            <w:r>
              <w:rPr>
                <w:rFonts w:ascii="NanumSquareOTF" w:hAnsi="NanumSquareOTF" w:eastAsia="NanumSquareOTF"/>
                <w:b w:val="0"/>
                <w:i/>
                <w:color w:val="6E6E6E"/>
                <w:sz w:val="18"/>
              </w:rPr>
              <w:t>3개월 일봉 종가 흐름 (2026-02-27 ~ 2026-05-27) | Latest close 307,500.00</w:t>
            </w:r>
          </w:p>
        </w:tc>
      </w:tr>
    </w:tbl>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26"/>
              </w:rPr>
              <w:t>LLM Technical Comment - 3M Daily</w:t>
            </w:r>
          </w:p>
        </w:tc>
      </w:tr>
      <w:tr>
        <w:tc>
          <w:tcPr>
            <w:tcW w:type="dxa" w:w="10325"/>
            <w:shd w:fill="FFFFFF"/>
            <w:tcBorders>
              <w:top w:val="nil"/>
              <w:left w:val="nil"/>
              <w:bottom w:val="nil"/>
              <w:right w:val="nil"/>
              <w:insideH w:val="nil"/>
              <w:insideV w:val="nil"/>
            </w:tcBorders>
            <w:tcMar>
              <w:top w:w="90" w:type="dxa"/>
              <w:bottom w:w="120" w:type="dxa"/>
              <w:start w:w="120" w:type="dxa"/>
              <w:end w:w="120" w:type="dxa"/>
            </w:tcMar>
          </w:tcPr>
          <w:p>
            <w:pPr>
              <w:spacing w:after="0"/>
            </w:pPr>
            <w:r/>
            <w:r>
              <w:rPr>
                <w:rFonts w:ascii="NanumSquareOTF" w:hAnsi="NanumSquareOTF" w:eastAsia="NanumSquareOTF"/>
                <w:b w:val="0"/>
                <w:i w:val="0"/>
                <w:color w:val="1D1D1B"/>
                <w:sz w:val="20"/>
              </w:rPr>
              <w:t xml:space="preserve">1. 추세 평가다  </w:t>
              <w:br/>
              <w:t xml:space="preserve">차트 전 구간에서 3월 말 저점 이후 상승 전환이 이루어져 4월 중순 이후에는 고점과 저점이 상승하는 추세 구조가 확인된다다.  </w:t>
              <w:br/>
              <w:t xml:space="preserve">5월 초 급격한 상승으로 상승 모멘텀이 가속화된 상태이며 최근에는 가격이 가파르게 우상향하는 단기 강세가 유지된다고 판단된다다.  </w:t>
              <w:br/>
              <w:t>다만 급등 구간에서 조정 없이 상승폭이 확대된 점은 단기 과열에 따른 반전 리스크를 내재한다고 판단된다다.</w:t>
              <w:br/>
              <w:br/>
              <w:t xml:space="preserve">2. 주요 지지·저항 수준이다  </w:t>
              <w:br/>
              <w:t xml:space="preserve">즉각적인 저항은 차트상의 최종 고가인 307,500원 수준이라고 판단된다다.  </w:t>
              <w:br/>
              <w:t xml:space="preserve">심리적·기술적 저항은 300,000원 대에서 형성된 이전 단기 고가 영역이라고 판단된다다.  </w:t>
              <w:br/>
              <w:t xml:space="preserve">일차 지지 수준은 270,000원대의 갭 상승 이후 가격이 머문 구간이고 중간 지지로는 280,000원대 초반의 최근 풀백 저점이 확인된다다.  </w:t>
              <w:br/>
              <w:t>더 하방으로는 240,000원대 전후의 4월 전반부 박스권 상단이 실질적 지지 역할을 할 수 있다고 판단된다다.</w:t>
              <w:br/>
              <w:br/>
              <w:t xml:space="preserve">3. 강세 시나리오다  </w:t>
              <w:br/>
              <w:t xml:space="preserve">가격이 300,000~307,500원 구간 위에서 안정적으로 횡보하거나 추가 상승으로 구간을 재돌파하면 추세 지속과 신규 고가 경신으로 이어질 가능성이 있다다.  </w:t>
              <w:br/>
              <w:t xml:space="preserve">추세선(4월 저점들을 연결한 상승 추세선)이 유지되면서 단기 조정이 낮은 거래일 범위에서 제한될 경우 추가 상승 탄력이 이어질 것으로 판단된다다.  </w:t>
              <w:br/>
              <w:t>강세 시나리오의 신뢰도를 높이려면 돌파 구간에서 거래량 확인이 동반되어야 한다는 점이 중요하다고 판단된다다.</w:t>
              <w:br/>
              <w:br/>
              <w:t xml:space="preserve">4. 약세 시나리오다  </w:t>
              <w:br/>
              <w:t xml:space="preserve">현재 상승세가 일시적 과매수로 이어지면서 280,000원대나 270,000원대 지지선이 이탈되면 단기 추세 전환으로 이어질 위험이 높다고 판단된다다.  </w:t>
              <w:br/>
              <w:t xml:space="preserve">특히 270,000원대가 붕괴되면 240,000원대 이전 박스권으로의 되돌림(갭 메우기) 가능성이 커진다고 판단된다다.  </w:t>
              <w:br/>
              <w:t>급격한 하락 시에는 이전 저점인 220,000원대 부근까지의 테스트가 발생할 수 있다고 판단된다다.</w:t>
              <w:br/>
              <w:br/>
              <w:t xml:space="preserve">5. 권고 편향(트레이딩 바이어스)다  </w:t>
              <w:br/>
              <w:t xml:space="preserve">단기적으로는 롱 편향을 취하되 리스크 관리와 분할 진입을 권한다다.  </w:t>
              <w:br/>
              <w:t>중장기 관점에서는 상승 추세의 지속을 전제로 한 선택적 매수 전략을 권하되 지지 이탈 시 손절 규칙을 엄격히 적용할 것을 권한다다.</w:t>
              <w:br/>
              <w:br/>
              <w:t xml:space="preserve">6. 리스크 요인이다  </w:t>
              <w:br/>
              <w:t xml:space="preserve">차트에 거래량 데이터가 표시되지 않아 돌파의 확실성을 거래량 측면에서 확인할 수 없다는 점은 중요한 리스크 요인이다다.  </w:t>
              <w:br/>
              <w:t xml:space="preserve">급등 직후의 가파른 상승은 단기 과매수와 변동성 확대를 초래할 수 있어 되돌림 위험을 높인다고 판단된다다.  </w:t>
              <w:br/>
              <w:t>외부 뉴스·공시·시장 변동성 등 비차트적 충격에 따른 급변 동작이 발생할 경우 현재 추세가 빠르게 반전될 수 있다는 점이 리스크로 작용한다고 판단된다다.</w:t>
            </w:r>
          </w:p>
        </w:tc>
      </w:tr>
    </w:tbl>
    <w:tbl>
      <w:tblPr>
        <w:tblW w:type="auto" w:w="0"/>
        <w:jc w:val="center"/>
        <w:tblLook w:firstColumn="1" w:firstRow="1" w:lastColumn="0" w:lastRow="0" w:noHBand="0" w:noVBand="1" w:val="04A0"/>
      </w:tblPr>
      <w:tblGrid>
        <w:gridCol w:w="10325"/>
      </w:tblGrid>
      <w:tr>
        <w:tc>
          <w:tcPr>
            <w:tcW w:type="dxa" w:w="10325"/>
            <w:tcBorders>
              <w:top w:val="nil"/>
              <w:left w:val="nil"/>
              <w:bottom w:val="single" w:sz="6" w:color="1E7032"/>
              <w:right w:val="nil"/>
              <w:insideH w:val="nil"/>
              <w:insideV w:val="nil"/>
            </w:tcBorders>
            <w:tcMar>
              <w:top w:w="60" w:type="dxa"/>
              <w:bottom w:w="80" w:type="dxa"/>
              <w:start w:w="0" w:type="dxa"/>
              <w:end w:w="0" w:type="dxa"/>
            </w:tcMar>
          </w:tcPr>
          <w:p>
            <w:r/>
            <w:r>
              <w:rPr>
                <w:rFonts w:ascii="NanumSquareOTF" w:hAnsi="NanumSquareOTF" w:eastAsia="NanumSquareOTF"/>
                <w:b/>
                <w:i w:val="0"/>
                <w:color w:val="255A1B"/>
                <w:sz w:val="26"/>
              </w:rPr>
              <w:t>삼성전자 1M Intraday Price / Volume</w:t>
            </w:r>
          </w:p>
        </w:tc>
      </w:tr>
      <w:tr>
        <w:tc>
          <w:tcPr>
            <w:tcW w:type="dxa" w:w="10325"/>
            <w:tcBorders>
              <w:top w:val="nil"/>
              <w:left w:val="nil"/>
              <w:bottom w:val="nil"/>
              <w:right w:val="nil"/>
              <w:insideH w:val="nil"/>
              <w:insideV w:val="nil"/>
            </w:tcBorders>
            <w:tcMar>
              <w:top w:w="120" w:type="dxa"/>
              <w:bottom w:w="90" w:type="dxa"/>
              <w:start w:w="90" w:type="dxa"/>
              <w:end w:w="90" w:type="dxa"/>
            </w:tcMar>
          </w:tcPr>
          <w:p>
            <w:pPr>
              <w:jc w:val="center"/>
            </w:pPr>
            <w:r>
              <w:drawing>
                <wp:inline xmlns:a="http://schemas.openxmlformats.org/drawingml/2006/main" xmlns:pic="http://schemas.openxmlformats.org/drawingml/2006/picture">
                  <wp:extent cx="5806440" cy="3266122"/>
                  <wp:docPr id="2" name="Picture 2"/>
                  <wp:cNvGraphicFramePr>
                    <a:graphicFrameLocks noChangeAspect="1"/>
                  </wp:cNvGraphicFramePr>
                  <a:graphic>
                    <a:graphicData uri="http://schemas.openxmlformats.org/drawingml/2006/picture">
                      <pic:pic>
                        <pic:nvPicPr>
                          <pic:cNvPr id="0" name="005930_삼성전자_intraday_1m.png"/>
                          <pic:cNvPicPr/>
                        </pic:nvPicPr>
                        <pic:blipFill>
                          <a:blip r:embed="rId11"/>
                          <a:stretch>
                            <a:fillRect/>
                          </a:stretch>
                        </pic:blipFill>
                        <pic:spPr>
                          <a:xfrm>
                            <a:off x="0" y="0"/>
                            <a:ext cx="5806440" cy="3266122"/>
                          </a:xfrm>
                          <a:prstGeom prst="rect"/>
                        </pic:spPr>
                      </pic:pic>
                    </a:graphicData>
                  </a:graphic>
                </wp:inline>
              </w:drawing>
            </w:r>
          </w:p>
          <w:p>
            <w:pPr>
              <w:jc w:val="center"/>
            </w:pPr>
            <w:r>
              <w:rPr>
                <w:rFonts w:ascii="NanumSquareOTF" w:hAnsi="NanumSquareOTF" w:eastAsia="NanumSquareOTF"/>
                <w:b w:val="0"/>
                <w:i/>
                <w:color w:val="6E6E6E"/>
                <w:sz w:val="18"/>
              </w:rPr>
              <w:t>1분봉 주가/거래량 (2026-05-27 13:40 ~ 2026-05-27 14:59) | Latest close 309,250.00</w:t>
            </w:r>
          </w:p>
        </w:tc>
      </w:tr>
    </w:tbl>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26"/>
              </w:rPr>
              <w:t>LLM Technical Comment - 1M Intraday</w:t>
            </w:r>
          </w:p>
        </w:tc>
      </w:tr>
      <w:tr>
        <w:tc>
          <w:tcPr>
            <w:tcW w:type="dxa" w:w="10325"/>
            <w:shd w:fill="FFFFFF"/>
            <w:tcBorders>
              <w:top w:val="nil"/>
              <w:left w:val="nil"/>
              <w:bottom w:val="nil"/>
              <w:right w:val="nil"/>
              <w:insideH w:val="nil"/>
              <w:insideV w:val="nil"/>
            </w:tcBorders>
            <w:tcMar>
              <w:top w:w="90" w:type="dxa"/>
              <w:bottom w:w="120" w:type="dxa"/>
              <w:start w:w="120" w:type="dxa"/>
              <w:end w:w="120" w:type="dxa"/>
            </w:tcMar>
          </w:tcPr>
          <w:p>
            <w:pPr>
              <w:spacing w:after="0"/>
            </w:pPr>
            <w:r/>
            <w:r>
              <w:rPr>
                <w:rFonts w:ascii="NanumSquareOTF" w:hAnsi="NanumSquareOTF" w:eastAsia="NanumSquareOTF"/>
                <w:b w:val="0"/>
                <w:i w:val="0"/>
                <w:color w:val="1D1D1B"/>
                <w:sz w:val="20"/>
              </w:rPr>
              <w:t xml:space="preserve">1. 추세 평가  </w:t>
              <w:br/>
              <w:t xml:space="preserve">단기(1분) 차트에서 고점과 저점이 연속적으로 하향하는 구조로 전반적인 하방 추세가 지속되는 것으로 판단된다.  </w:t>
              <w:br/>
              <w:t xml:space="preserve">중반부(약 14:30) 일시적 반등이 발생했으나 상단 315,000원대에서 저항에 부딪혀 다시 하락 전환된 것으로 확인된다.  </w:t>
              <w:br/>
              <w:br/>
              <w:t xml:space="preserve">2. 주요 지지/저항  </w:t>
              <w:br/>
              <w:t xml:space="preserve">당일 고점 부근 317,000원과 315,000원대가 즉각적인 매도 저항으로 확인된다.  </w:t>
              <w:br/>
              <w:t xml:space="preserve">종가 근처인 309,000원대와 당일 최저 308,500원 부근이 단기 지지 구간으로 판단된다.  </w:t>
              <w:br/>
              <w:br/>
              <w:t xml:space="preserve">3. 강세 시나리오  </w:t>
              <w:br/>
              <w:t xml:space="preserve">가격이 315,000원 위로 안정적으로 돌파하고 거래량이 동반 확대될 경우 단기 하방 구조가 무너지고 추세 전환 신호로 해석될 수 있는 것으로 판단된다.  </w:t>
              <w:br/>
              <w:t xml:space="preserve">이후 317,000원 재돌파와 함께 연속적인 고점 경신이 확인되면 추가 상승 모멘텀이 확보되는 것으로 판단된다.  </w:t>
              <w:br/>
              <w:br/>
              <w:t xml:space="preserve">4. 약세 시나리오  </w:t>
              <w:br/>
              <w:t xml:space="preserve">거래 종료 직전 309,000원대 지지 붕괴와 동반된 거래량 확대는 하방 가속화를 시사하며 추가 하락 압력으로 이어질 것으로 판단된다.  </w:t>
              <w:br/>
              <w:t xml:space="preserve">308,500원 이탈 시에는 당일 저점 기반의 약한 지지마저 소실되어 하락 추세가 연장되는 것으로 확인된다.  </w:t>
              <w:br/>
              <w:br/>
              <w:t xml:space="preserve">5. 권장 트레이딩 성향  </w:t>
              <w:br/>
              <w:t xml:space="preserve">단기적으로 시장은 매도(숏) 편향으로 판단된다.  </w:t>
              <w:br/>
              <w:t xml:space="preserve">보수적 관점에서는 현재 하방 압력이 우세하므로 반등을 확인한 후 재진입을 검토하는 접근이 합리적이라고 판단된다.  </w:t>
              <w:br/>
              <w:br/>
              <w:t xml:space="preserve">6. 리스크 요인  </w:t>
              <w:br/>
              <w:t xml:space="preserve">분석은 1분 차트에 국한된 단기간 데이터 기반 판단으로 시간 프레임 확대 시 추세 해석이 달라질 수 있는 위험이 존재한다.  </w:t>
              <w:br/>
              <w:t xml:space="preserve">종가 전후의 거래량 급증은 클로징 거래·호가 왜곡에 의해 과대해석될 위험이 있는 것으로 확인된다.  </w:t>
              <w:br/>
              <w:t>외부 뉴스·시장 전체 흐름이나 대량 체결 등 보이지 않는 변수가 단기 흐름을 급변시킬 수 있는 위험이 존재한다.</w:t>
            </w:r>
          </w:p>
        </w:tc>
      </w:tr>
    </w:tbl>
    <w:tbl>
      <w:tblPr>
        <w:tblW w:type="auto" w:w="0"/>
        <w:jc w:val="center"/>
        <w:tblLayout w:type="fixed"/>
        <w:tblLook w:firstColumn="1" w:firstRow="1" w:lastColumn="0" w:lastRow="0" w:noHBand="0" w:noVBand="1" w:val="04A0"/>
      </w:tblPr>
      <w:tblGrid>
        <w:gridCol w:w="2581"/>
        <w:gridCol w:w="2581"/>
        <w:gridCol w:w="2581"/>
        <w:gridCol w:w="2581"/>
      </w:tblGrid>
      <w:tr>
        <w:tc>
          <w:tcPr>
            <w:tcW w:type="dxa" w:w="2581"/>
            <w:shd w:fill="1E7032"/>
            <w:tcMar>
              <w:top w:w="70" w:type="dxa"/>
              <w:bottom w:w="70" w:type="dxa"/>
              <w:start w:w="80" w:type="dxa"/>
              <w:end w:w="80" w:type="dxa"/>
            </w:tcMar>
          </w:tcPr>
          <w:p>
            <w:r/>
            <w:r>
              <w:rPr>
                <w:rFonts w:ascii="NanumSquareOTF" w:hAnsi="NanumSquareOTF" w:eastAsia="NanumSquareOTF"/>
                <w:b/>
                <w:i w:val="0"/>
                <w:color w:val="FFFFFF"/>
                <w:sz w:val="20"/>
              </w:rPr>
              <w:t>종가</w:t>
            </w:r>
          </w:p>
        </w:tc>
        <w:tc>
          <w:tcPr>
            <w:tcW w:type="dxa" w:w="2581"/>
            <w:shd w:fill="1E7032"/>
            <w:tcMar>
              <w:top w:w="70" w:type="dxa"/>
              <w:bottom w:w="70" w:type="dxa"/>
              <w:start w:w="80" w:type="dxa"/>
              <w:end w:w="80" w:type="dxa"/>
            </w:tcMar>
          </w:tcPr>
          <w:p>
            <w:r/>
            <w:r>
              <w:rPr>
                <w:rFonts w:ascii="NanumSquareOTF" w:hAnsi="NanumSquareOTF" w:eastAsia="NanumSquareOTF"/>
                <w:b/>
                <w:i w:val="0"/>
                <w:color w:val="FFFFFF"/>
                <w:sz w:val="20"/>
              </w:rPr>
              <w:t>PER</w:t>
            </w:r>
          </w:p>
        </w:tc>
        <w:tc>
          <w:tcPr>
            <w:tcW w:type="dxa" w:w="2581"/>
            <w:shd w:fill="1E7032"/>
            <w:tcMar>
              <w:top w:w="70" w:type="dxa"/>
              <w:bottom w:w="70" w:type="dxa"/>
              <w:start w:w="80" w:type="dxa"/>
              <w:end w:w="80" w:type="dxa"/>
            </w:tcMar>
          </w:tcPr>
          <w:p>
            <w:r/>
            <w:r>
              <w:rPr>
                <w:rFonts w:ascii="NanumSquareOTF" w:hAnsi="NanumSquareOTF" w:eastAsia="NanumSquareOTF"/>
                <w:b/>
                <w:i w:val="0"/>
                <w:color w:val="FFFFFF"/>
                <w:sz w:val="20"/>
              </w:rPr>
              <w:t>PBR</w:t>
            </w:r>
          </w:p>
        </w:tc>
        <w:tc>
          <w:tcPr>
            <w:tcW w:type="dxa" w:w="2581"/>
            <w:shd w:fill="1E7032"/>
            <w:tcMar>
              <w:top w:w="70" w:type="dxa"/>
              <w:bottom w:w="70" w:type="dxa"/>
              <w:start w:w="80" w:type="dxa"/>
              <w:end w:w="80" w:type="dxa"/>
            </w:tcMar>
          </w:tcPr>
          <w:p>
            <w:r/>
            <w:r>
              <w:rPr>
                <w:rFonts w:ascii="NanumSquareOTF" w:hAnsi="NanumSquareOTF" w:eastAsia="NanumSquareOTF"/>
                <w:b/>
                <w:i w:val="0"/>
                <w:color w:val="FFFFFF"/>
                <w:sz w:val="20"/>
              </w:rPr>
              <w:t>ROE</w:t>
            </w:r>
          </w:p>
        </w:tc>
      </w:tr>
      <w:tr>
        <w:tc>
          <w:tcPr>
            <w:tcW w:type="dxa" w:w="2581"/>
            <w:shd w:fill="EFF5EC"/>
            <w:tcMar>
              <w:top w:w="90" w:type="dxa"/>
              <w:bottom w:w="90" w:type="dxa"/>
              <w:start w:w="80" w:type="dxa"/>
              <w:end w:w="80" w:type="dxa"/>
            </w:tcMar>
          </w:tcPr>
          <w:p>
            <w:r/>
            <w:r>
              <w:rPr>
                <w:rFonts w:ascii="NanumSquareOTF" w:hAnsi="NanumSquareOTF" w:eastAsia="NanumSquareOTF"/>
                <w:b w:val="0"/>
                <w:i w:val="0"/>
                <w:color w:val="1D1D1B"/>
                <w:sz w:val="21"/>
              </w:rPr>
              <w:t>307,000.00</w:t>
            </w:r>
          </w:p>
        </w:tc>
        <w:tc>
          <w:tcPr>
            <w:tcW w:type="dxa" w:w="2581"/>
            <w:shd w:fill="EFF5EC"/>
            <w:tcMar>
              <w:top w:w="90" w:type="dxa"/>
              <w:bottom w:w="90" w:type="dxa"/>
              <w:start w:w="80" w:type="dxa"/>
              <w:end w:w="80" w:type="dxa"/>
            </w:tcMar>
          </w:tcPr>
          <w:p>
            <w:r/>
            <w:r>
              <w:rPr>
                <w:rFonts w:ascii="NanumSquareOTF" w:hAnsi="NanumSquareOTF" w:eastAsia="NanumSquareOTF"/>
                <w:b w:val="0"/>
                <w:i w:val="0"/>
                <w:color w:val="1D1D1B"/>
                <w:sz w:val="21"/>
              </w:rPr>
              <w:t>46.49</w:t>
            </w:r>
          </w:p>
        </w:tc>
        <w:tc>
          <w:tcPr>
            <w:tcW w:type="dxa" w:w="2581"/>
            <w:shd w:fill="EFF5EC"/>
            <w:tcMar>
              <w:top w:w="90" w:type="dxa"/>
              <w:bottom w:w="90" w:type="dxa"/>
              <w:start w:w="80" w:type="dxa"/>
              <w:end w:w="80" w:type="dxa"/>
            </w:tcMar>
          </w:tcPr>
          <w:p>
            <w:r/>
            <w:r>
              <w:rPr>
                <w:rFonts w:ascii="NanumSquareOTF" w:hAnsi="NanumSquareOTF" w:eastAsia="NanumSquareOTF"/>
                <w:b w:val="0"/>
                <w:i w:val="0"/>
                <w:color w:val="1D1D1B"/>
                <w:sz w:val="21"/>
              </w:rPr>
              <w:t>4.82</w:t>
            </w:r>
          </w:p>
        </w:tc>
        <w:tc>
          <w:tcPr>
            <w:tcW w:type="dxa" w:w="2581"/>
            <w:shd w:fill="EFF5EC"/>
            <w:tcMar>
              <w:top w:w="90" w:type="dxa"/>
              <w:bottom w:w="90" w:type="dxa"/>
              <w:start w:w="80" w:type="dxa"/>
              <w:end w:w="80" w:type="dxa"/>
            </w:tcMar>
          </w:tcPr>
          <w:p>
            <w:r/>
            <w:r>
              <w:rPr>
                <w:rFonts w:ascii="NanumSquareOTF" w:hAnsi="NanumSquareOTF" w:eastAsia="NanumSquareOTF"/>
                <w:b w:val="0"/>
                <w:i w:val="0"/>
                <w:color w:val="1D1D1B"/>
                <w:sz w:val="21"/>
              </w:rPr>
              <w:t>10.78%</w:t>
            </w:r>
          </w:p>
        </w:tc>
      </w:tr>
    </w:tbl>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34"/>
              </w:rPr>
              <w:t>Financial Snapshot</w:t>
            </w:r>
          </w:p>
        </w:tc>
      </w:tr>
      <w:tr>
        <w:tc>
          <w:tcPr>
            <w:tcW w:type="dxa" w:w="10325"/>
            <w:shd w:fill="EFF5EC"/>
            <w:tcBorders>
              <w:top w:val="nil"/>
              <w:left w:val="nil"/>
              <w:bottom w:val="nil"/>
              <w:right w:val="nil"/>
              <w:insideH w:val="nil"/>
              <w:insideV w:val="nil"/>
            </w:tcBorders>
            <w:tcMar>
              <w:top w:w="120" w:type="dxa"/>
              <w:bottom w:w="120" w:type="dxa"/>
              <w:start w:w="120" w:type="dxa"/>
              <w:end w:w="120" w:type="dxa"/>
            </w:tcMar>
          </w:tcPr>
          <w:p>
            <w:pPr>
              <w:spacing w:after="0"/>
            </w:pPr>
            <w:r/>
            <w:r>
              <w:rPr>
                <w:rFonts w:ascii="NanumSquareOTF" w:hAnsi="NanumSquareOTF" w:eastAsia="NanumSquareOTF"/>
                <w:b w:val="0"/>
                <w:i w:val="0"/>
                <w:color w:val="1D1D1B"/>
                <w:sz w:val="22"/>
              </w:rPr>
              <w:t>재무 기준일은 2025-12-31이다. PER은 46.49, PBR은 4.82, ROE는 10.78% 수준이다. 시가총액은 2,101,845,999,545,661로 집계된다. 기술적 시장 국면은 추세장으로 분류된다.</w:t>
            </w:r>
          </w:p>
        </w:tc>
      </w:tr>
    </w:tbl>
    <w:p>
      <w:pPr>
        <w:spacing w:before="80"/>
      </w:pPr>
      <w:r>
        <w:rPr>
          <w:rFonts w:ascii="NanumSquareOTF" w:hAnsi="NanumSquareOTF" w:eastAsia="NanumSquareOTF"/>
          <w:b/>
          <w:i w:val="0"/>
          <w:color w:val="255A1B"/>
          <w:sz w:val="26"/>
        </w:rPr>
        <w:t>Financial Indicators</w:t>
      </w:r>
    </w:p>
    <w:tbl>
      <w:tblPr>
        <w:tblStyle w:val="TableGrid"/>
        <w:tblW w:type="auto" w:w="0"/>
        <w:jc w:val="center"/>
        <w:tblLook w:firstColumn="1" w:firstRow="1" w:lastColumn="0" w:lastRow="0" w:noHBand="0" w:noVBand="1" w:val="04A0"/>
      </w:tblPr>
      <w:tblGrid>
        <w:gridCol w:w="2581"/>
        <w:gridCol w:w="2581"/>
        <w:gridCol w:w="2581"/>
        <w:gridCol w:w="2581"/>
      </w:tblGrid>
      <w:tr>
        <w:tc>
          <w:tcPr>
            <w:tcW w:type="dxa" w:w="2581"/>
            <w:shd w:fill="111111"/>
          </w:tcPr>
          <w:p>
            <w:r/>
            <w:r>
              <w:rPr>
                <w:rFonts w:ascii="NanumSquareOTF" w:hAnsi="NanumSquareOTF" w:eastAsia="NanumSquareOTF"/>
                <w:b/>
                <w:i w:val="0"/>
                <w:color w:val="FFFFFF"/>
                <w:sz w:val="20"/>
              </w:rPr>
              <w:t>지표</w:t>
            </w:r>
          </w:p>
        </w:tc>
        <w:tc>
          <w:tcPr>
            <w:tcW w:type="dxa" w:w="2581"/>
            <w:shd w:fill="111111"/>
          </w:tcPr>
          <w:p>
            <w:r/>
            <w:r>
              <w:rPr>
                <w:rFonts w:ascii="NanumSquareOTF" w:hAnsi="NanumSquareOTF" w:eastAsia="NanumSquareOTF"/>
                <w:b/>
                <w:i w:val="0"/>
                <w:color w:val="FFFFFF"/>
                <w:sz w:val="20"/>
              </w:rPr>
              <w:t>값</w:t>
            </w:r>
          </w:p>
        </w:tc>
        <w:tc>
          <w:tcPr>
            <w:tcW w:type="dxa" w:w="2581"/>
            <w:shd w:fill="111111"/>
          </w:tcPr>
          <w:p>
            <w:r/>
            <w:r>
              <w:rPr>
                <w:rFonts w:ascii="NanumSquareOTF" w:hAnsi="NanumSquareOTF" w:eastAsia="NanumSquareOTF"/>
                <w:b/>
                <w:i w:val="0"/>
                <w:color w:val="FFFFFF"/>
                <w:sz w:val="20"/>
              </w:rPr>
              <w:t>지표</w:t>
            </w:r>
          </w:p>
        </w:tc>
        <w:tc>
          <w:tcPr>
            <w:tcW w:type="dxa" w:w="2581"/>
            <w:shd w:fill="111111"/>
          </w:tcPr>
          <w:p>
            <w:r/>
            <w:r>
              <w:rPr>
                <w:rFonts w:ascii="NanumSquareOTF" w:hAnsi="NanumSquareOTF" w:eastAsia="NanumSquareOTF"/>
                <w:b/>
                <w:i w:val="0"/>
                <w:color w:val="FFFFFF"/>
                <w:sz w:val="20"/>
              </w:rPr>
              <w:t>값</w:t>
            </w:r>
          </w:p>
        </w:tc>
      </w:tr>
      <w:tr>
        <w:tc>
          <w:tcPr>
            <w:tcW w:type="dxa" w:w="2581"/>
            <w:shd w:fill="F6F2EC"/>
          </w:tcPr>
          <w:p>
            <w:r/>
            <w:r>
              <w:rPr>
                <w:rFonts w:ascii="NanumSquareOTF" w:hAnsi="NanumSquareOTF" w:eastAsia="NanumSquareOTF"/>
                <w:b w:val="0"/>
                <w:i w:val="0"/>
                <w:sz w:val="20"/>
              </w:rPr>
              <w:t>PER</w:t>
            </w:r>
          </w:p>
        </w:tc>
        <w:tc>
          <w:tcPr>
            <w:tcW w:type="dxa" w:w="2581"/>
            <w:shd w:fill="F6F2EC"/>
          </w:tcPr>
          <w:p>
            <w:r/>
            <w:r>
              <w:rPr>
                <w:rFonts w:ascii="NanumSquareOTF" w:hAnsi="NanumSquareOTF" w:eastAsia="NanumSquareOTF"/>
                <w:b w:val="0"/>
                <w:i w:val="0"/>
                <w:sz w:val="20"/>
              </w:rPr>
              <w:t>46.49</w:t>
            </w:r>
          </w:p>
        </w:tc>
        <w:tc>
          <w:tcPr>
            <w:tcW w:type="dxa" w:w="2581"/>
            <w:shd w:fill="F6F2EC"/>
          </w:tcPr>
          <w:p>
            <w:r/>
            <w:r>
              <w:rPr>
                <w:rFonts w:ascii="NanumSquareOTF" w:hAnsi="NanumSquareOTF" w:eastAsia="NanumSquareOTF"/>
                <w:b w:val="0"/>
                <w:i w:val="0"/>
                <w:sz w:val="20"/>
              </w:rPr>
              <w:t>PBR</w:t>
            </w:r>
          </w:p>
        </w:tc>
        <w:tc>
          <w:tcPr>
            <w:tcW w:type="dxa" w:w="2581"/>
            <w:shd w:fill="F6F2EC"/>
          </w:tcPr>
          <w:p>
            <w:r/>
            <w:r>
              <w:rPr>
                <w:rFonts w:ascii="NanumSquareOTF" w:hAnsi="NanumSquareOTF" w:eastAsia="NanumSquareOTF"/>
                <w:b w:val="0"/>
                <w:i w:val="0"/>
                <w:sz w:val="20"/>
              </w:rPr>
              <w:t>4.82</w:t>
            </w:r>
          </w:p>
        </w:tc>
      </w:tr>
      <w:tr>
        <w:tc>
          <w:tcPr>
            <w:tcW w:type="dxa" w:w="2581"/>
            <w:shd w:fill="FFFFFF"/>
          </w:tcPr>
          <w:p>
            <w:r/>
            <w:r>
              <w:rPr>
                <w:rFonts w:ascii="NanumSquareOTF" w:hAnsi="NanumSquareOTF" w:eastAsia="NanumSquareOTF"/>
                <w:b w:val="0"/>
                <w:i w:val="0"/>
                <w:sz w:val="20"/>
              </w:rPr>
              <w:t>PCR</w:t>
            </w:r>
          </w:p>
        </w:tc>
        <w:tc>
          <w:tcPr>
            <w:tcW w:type="dxa" w:w="2581"/>
            <w:shd w:fill="FFFFFF"/>
          </w:tcPr>
          <w:p>
            <w:r/>
            <w:r>
              <w:rPr>
                <w:rFonts w:ascii="NanumSquareOTF" w:hAnsi="NanumSquareOTF" w:eastAsia="NanumSquareOTF"/>
                <w:b w:val="0"/>
                <w:i w:val="0"/>
                <w:sz w:val="20"/>
              </w:rPr>
              <w:t>24.64</w:t>
            </w:r>
          </w:p>
        </w:tc>
        <w:tc>
          <w:tcPr>
            <w:tcW w:type="dxa" w:w="2581"/>
            <w:shd w:fill="FFFFFF"/>
          </w:tcPr>
          <w:p>
            <w:r/>
            <w:r>
              <w:rPr>
                <w:rFonts w:ascii="NanumSquareOTF" w:hAnsi="NanumSquareOTF" w:eastAsia="NanumSquareOTF"/>
                <w:b w:val="0"/>
                <w:i w:val="0"/>
                <w:sz w:val="20"/>
              </w:rPr>
              <w:t>EV/EBITDA</w:t>
            </w:r>
          </w:p>
        </w:tc>
        <w:tc>
          <w:tcPr>
            <w:tcW w:type="dxa" w:w="2581"/>
            <w:shd w:fill="FFFFFF"/>
          </w:tcPr>
          <w:p>
            <w:r/>
            <w:r>
              <w:rPr>
                <w:rFonts w:ascii="NanumSquareOTF" w:hAnsi="NanumSquareOTF" w:eastAsia="NanumSquareOTF"/>
                <w:b w:val="0"/>
                <w:i w:val="0"/>
                <w:sz w:val="20"/>
              </w:rPr>
              <w:t>N/A</w:t>
            </w:r>
          </w:p>
        </w:tc>
      </w:tr>
      <w:tr>
        <w:tc>
          <w:tcPr>
            <w:tcW w:type="dxa" w:w="2581"/>
            <w:shd w:fill="F6F2EC"/>
          </w:tcPr>
          <w:p>
            <w:r/>
            <w:r>
              <w:rPr>
                <w:rFonts w:ascii="NanumSquareOTF" w:hAnsi="NanumSquareOTF" w:eastAsia="NanumSquareOTF"/>
                <w:b w:val="0"/>
                <w:i w:val="0"/>
                <w:sz w:val="20"/>
              </w:rPr>
              <w:t>EPS</w:t>
            </w:r>
          </w:p>
        </w:tc>
        <w:tc>
          <w:tcPr>
            <w:tcW w:type="dxa" w:w="2581"/>
            <w:shd w:fill="F6F2EC"/>
          </w:tcPr>
          <w:p>
            <w:r/>
            <w:r>
              <w:rPr>
                <w:rFonts w:ascii="NanumSquareOTF" w:hAnsi="NanumSquareOTF" w:eastAsia="NanumSquareOTF"/>
                <w:b w:val="0"/>
                <w:i w:val="0"/>
                <w:sz w:val="20"/>
              </w:rPr>
              <w:t>6,603.00</w:t>
            </w:r>
          </w:p>
        </w:tc>
        <w:tc>
          <w:tcPr>
            <w:tcW w:type="dxa" w:w="2581"/>
            <w:shd w:fill="F6F2EC"/>
          </w:tcPr>
          <w:p>
            <w:r/>
            <w:r>
              <w:rPr>
                <w:rFonts w:ascii="NanumSquareOTF" w:hAnsi="NanumSquareOTF" w:eastAsia="NanumSquareOTF"/>
                <w:b w:val="0"/>
                <w:i w:val="0"/>
                <w:sz w:val="20"/>
              </w:rPr>
              <w:t>BPS</w:t>
            </w:r>
          </w:p>
        </w:tc>
        <w:tc>
          <w:tcPr>
            <w:tcW w:type="dxa" w:w="2581"/>
            <w:shd w:fill="F6F2EC"/>
          </w:tcPr>
          <w:p>
            <w:r/>
            <w:r>
              <w:rPr>
                <w:rFonts w:ascii="NanumSquareOTF" w:hAnsi="NanumSquareOTF" w:eastAsia="NanumSquareOTF"/>
                <w:b w:val="0"/>
                <w:i w:val="0"/>
                <w:sz w:val="20"/>
              </w:rPr>
              <w:t>63,729.86</w:t>
            </w:r>
          </w:p>
        </w:tc>
      </w:tr>
      <w:tr>
        <w:tc>
          <w:tcPr>
            <w:tcW w:type="dxa" w:w="2581"/>
            <w:shd w:fill="FFFFFF"/>
          </w:tcPr>
          <w:p>
            <w:r/>
            <w:r>
              <w:rPr>
                <w:rFonts w:ascii="NanumSquareOTF" w:hAnsi="NanumSquareOTF" w:eastAsia="NanumSquareOTF"/>
                <w:b w:val="0"/>
                <w:i w:val="0"/>
                <w:sz w:val="20"/>
              </w:rPr>
              <w:t>EBITDA</w:t>
            </w:r>
          </w:p>
        </w:tc>
        <w:tc>
          <w:tcPr>
            <w:tcW w:type="dxa" w:w="2581"/>
            <w:shd w:fill="FFFFFF"/>
          </w:tcPr>
          <w:p>
            <w:r/>
            <w:r>
              <w:rPr>
                <w:rFonts w:ascii="NanumSquareOTF" w:hAnsi="NanumSquareOTF" w:eastAsia="NanumSquareOTF"/>
                <w:b w:val="0"/>
                <w:i w:val="0"/>
                <w:sz w:val="20"/>
              </w:rPr>
              <w:t>N/A</w:t>
            </w:r>
          </w:p>
        </w:tc>
        <w:tc>
          <w:tcPr>
            <w:tcW w:type="dxa" w:w="2581"/>
            <w:shd w:fill="FFFFFF"/>
          </w:tcPr>
          <w:p>
            <w:r/>
            <w:r>
              <w:rPr>
                <w:rFonts w:ascii="NanumSquareOTF" w:hAnsi="NanumSquareOTF" w:eastAsia="NanumSquareOTF"/>
                <w:b w:val="0"/>
                <w:i w:val="0"/>
                <w:sz w:val="20"/>
              </w:rPr>
              <w:t>CashDPS</w:t>
            </w:r>
          </w:p>
        </w:tc>
        <w:tc>
          <w:tcPr>
            <w:tcW w:type="dxa" w:w="2581"/>
            <w:shd w:fill="FFFFFF"/>
          </w:tcPr>
          <w:p>
            <w:r/>
            <w:r>
              <w:rPr>
                <w:rFonts w:ascii="NanumSquareOTF" w:hAnsi="NanumSquareOTF" w:eastAsia="NanumSquareOTF"/>
                <w:b w:val="0"/>
                <w:i w:val="0"/>
                <w:sz w:val="20"/>
              </w:rPr>
              <w:t>1,445.60</w:t>
            </w:r>
          </w:p>
        </w:tc>
      </w:tr>
      <w:tr>
        <w:tc>
          <w:tcPr>
            <w:tcW w:type="dxa" w:w="2581"/>
            <w:shd w:fill="F6F2EC"/>
          </w:tcPr>
          <w:p>
            <w:r/>
            <w:r>
              <w:rPr>
                <w:rFonts w:ascii="NanumSquareOTF" w:hAnsi="NanumSquareOTF" w:eastAsia="NanumSquareOTF"/>
                <w:b w:val="0"/>
                <w:i w:val="0"/>
                <w:sz w:val="20"/>
              </w:rPr>
              <w:t>Cash Dividend Yield</w:t>
            </w:r>
          </w:p>
        </w:tc>
        <w:tc>
          <w:tcPr>
            <w:tcW w:type="dxa" w:w="2581"/>
            <w:shd w:fill="F6F2EC"/>
          </w:tcPr>
          <w:p>
            <w:r/>
            <w:r>
              <w:rPr>
                <w:rFonts w:ascii="NanumSquareOTF" w:hAnsi="NanumSquareOTF" w:eastAsia="NanumSquareOTF"/>
                <w:b w:val="0"/>
                <w:i w:val="0"/>
                <w:sz w:val="20"/>
              </w:rPr>
              <w:t>0.47%</w:t>
            </w:r>
          </w:p>
        </w:tc>
        <w:tc>
          <w:tcPr>
            <w:tcW w:type="dxa" w:w="2581"/>
            <w:shd w:fill="F6F2EC"/>
          </w:tcPr>
          <w:p>
            <w:r/>
            <w:r>
              <w:rPr>
                <w:rFonts w:ascii="NanumSquareOTF" w:hAnsi="NanumSquareOTF" w:eastAsia="NanumSquareOTF"/>
                <w:b w:val="0"/>
                <w:i w:val="0"/>
                <w:sz w:val="20"/>
              </w:rPr>
              <w:t>ROE</w:t>
            </w:r>
          </w:p>
        </w:tc>
        <w:tc>
          <w:tcPr>
            <w:tcW w:type="dxa" w:w="2581"/>
            <w:shd w:fill="F6F2EC"/>
          </w:tcPr>
          <w:p>
            <w:r/>
            <w:r>
              <w:rPr>
                <w:rFonts w:ascii="NanumSquareOTF" w:hAnsi="NanumSquareOTF" w:eastAsia="NanumSquareOTF"/>
                <w:b w:val="0"/>
                <w:i w:val="0"/>
                <w:sz w:val="20"/>
              </w:rPr>
              <w:t>10.78%</w:t>
            </w:r>
          </w:p>
        </w:tc>
      </w:tr>
      <w:tr>
        <w:tc>
          <w:tcPr>
            <w:tcW w:type="dxa" w:w="2581"/>
            <w:shd w:fill="FFFFFF"/>
          </w:tcPr>
          <w:p>
            <w:r/>
            <w:r>
              <w:rPr>
                <w:rFonts w:ascii="NanumSquareOTF" w:hAnsi="NanumSquareOTF" w:eastAsia="NanumSquareOTF"/>
                <w:b w:val="0"/>
                <w:i w:val="0"/>
                <w:sz w:val="20"/>
              </w:rPr>
              <w:t>부채비율</w:t>
            </w:r>
          </w:p>
        </w:tc>
        <w:tc>
          <w:tcPr>
            <w:tcW w:type="dxa" w:w="2581"/>
            <w:shd w:fill="FFFFFF"/>
          </w:tcPr>
          <w:p>
            <w:r/>
            <w:r>
              <w:rPr>
                <w:rFonts w:ascii="NanumSquareOTF" w:hAnsi="NanumSquareOTF" w:eastAsia="NanumSquareOTF"/>
                <w:b w:val="0"/>
                <w:i w:val="0"/>
                <w:sz w:val="20"/>
              </w:rPr>
              <w:t>29.9370</w:t>
            </w:r>
          </w:p>
        </w:tc>
        <w:tc>
          <w:tcPr>
            <w:tcW w:type="dxa" w:w="2581"/>
            <w:shd w:fill="FFFFFF"/>
          </w:tcPr>
          <w:p>
            <w:r/>
            <w:r>
              <w:rPr>
                <w:rFonts w:ascii="NanumSquareOTF" w:hAnsi="NanumSquareOTF" w:eastAsia="NanumSquareOTF"/>
                <w:b w:val="0"/>
                <w:i w:val="0"/>
                <w:sz w:val="20"/>
              </w:rPr>
              <w:t>유동비율</w:t>
            </w:r>
          </w:p>
        </w:tc>
        <w:tc>
          <w:tcPr>
            <w:tcW w:type="dxa" w:w="2581"/>
            <w:shd w:fill="FFFFFF"/>
          </w:tcPr>
          <w:p>
            <w:r/>
            <w:r>
              <w:rPr>
                <w:rFonts w:ascii="NanumSquareOTF" w:hAnsi="NanumSquareOTF" w:eastAsia="NanumSquareOTF"/>
                <w:b w:val="0"/>
                <w:i w:val="0"/>
                <w:sz w:val="20"/>
              </w:rPr>
              <w:t>232.7610</w:t>
            </w:r>
          </w:p>
        </w:tc>
      </w:tr>
      <w:tr>
        <w:tc>
          <w:tcPr>
            <w:tcW w:type="dxa" w:w="2581"/>
            <w:shd w:fill="F6F2EC"/>
          </w:tcPr>
          <w:p>
            <w:r/>
            <w:r>
              <w:rPr>
                <w:rFonts w:ascii="NanumSquareOTF" w:hAnsi="NanumSquareOTF" w:eastAsia="NanumSquareOTF"/>
                <w:b w:val="0"/>
                <w:i w:val="0"/>
                <w:sz w:val="20"/>
              </w:rPr>
              <w:t>영업이익률</w:t>
            </w:r>
          </w:p>
        </w:tc>
        <w:tc>
          <w:tcPr>
            <w:tcW w:type="dxa" w:w="2581"/>
            <w:shd w:fill="F6F2EC"/>
          </w:tcPr>
          <w:p>
            <w:r/>
            <w:r>
              <w:rPr>
                <w:rFonts w:ascii="NanumSquareOTF" w:hAnsi="NanumSquareOTF" w:eastAsia="NanumSquareOTF"/>
                <w:b w:val="0"/>
                <w:i w:val="0"/>
                <w:sz w:val="20"/>
              </w:rPr>
              <w:t>13.07%</w:t>
            </w:r>
          </w:p>
        </w:tc>
        <w:tc>
          <w:tcPr>
            <w:tcW w:type="dxa" w:w="2581"/>
            <w:shd w:fill="F6F2EC"/>
          </w:tcPr>
          <w:p>
            <w:r/>
            <w:r>
              <w:rPr>
                <w:rFonts w:ascii="NanumSquareOTF" w:hAnsi="NanumSquareOTF" w:eastAsia="NanumSquareOTF"/>
                <w:b w:val="0"/>
                <w:i w:val="0"/>
                <w:sz w:val="20"/>
              </w:rPr>
              <w:t>순이익률</w:t>
            </w:r>
          </w:p>
        </w:tc>
        <w:tc>
          <w:tcPr>
            <w:tcW w:type="dxa" w:w="2581"/>
            <w:shd w:fill="F6F2EC"/>
          </w:tcPr>
          <w:p>
            <w:r/>
            <w:r>
              <w:rPr>
                <w:rFonts w:ascii="NanumSquareOTF" w:hAnsi="NanumSquareOTF" w:eastAsia="NanumSquareOTF"/>
                <w:b w:val="0"/>
                <w:i w:val="0"/>
                <w:sz w:val="20"/>
              </w:rPr>
              <w:t>13.55%</w:t>
            </w:r>
          </w:p>
        </w:tc>
      </w:tr>
      <w:tr>
        <w:tc>
          <w:tcPr>
            <w:tcW w:type="dxa" w:w="2581"/>
            <w:shd w:fill="FFFFFF"/>
          </w:tcPr>
          <w:p>
            <w:r/>
            <w:r>
              <w:rPr>
                <w:rFonts w:ascii="NanumSquareOTF" w:hAnsi="NanumSquareOTF" w:eastAsia="NanumSquareOTF"/>
                <w:b w:val="0"/>
                <w:i w:val="0"/>
                <w:sz w:val="20"/>
              </w:rPr>
              <w:t>시가총액</w:t>
            </w:r>
          </w:p>
        </w:tc>
        <w:tc>
          <w:tcPr>
            <w:tcW w:type="dxa" w:w="2581"/>
            <w:shd w:fill="FFFFFF"/>
          </w:tcPr>
          <w:p>
            <w:r/>
            <w:r>
              <w:rPr>
                <w:rFonts w:ascii="NanumSquareOTF" w:hAnsi="NanumSquareOTF" w:eastAsia="NanumSquareOTF"/>
                <w:b w:val="0"/>
                <w:i w:val="0"/>
                <w:sz w:val="20"/>
              </w:rPr>
              <w:t>2,101,845,999,545,661</w:t>
            </w:r>
          </w:p>
        </w:tc>
        <w:tc>
          <w:tcPr>
            <w:tcW w:type="dxa" w:w="2581"/>
            <w:shd w:fill="FFFFFF"/>
          </w:tcPr>
          <w:p>
            <w:r/>
            <w:r>
              <w:rPr>
                <w:rFonts w:ascii="NanumSquareOTF" w:hAnsi="NanumSquareOTF" w:eastAsia="NanumSquareOTF"/>
                <w:b w:val="0"/>
                <w:i w:val="0"/>
                <w:sz w:val="20"/>
              </w:rPr>
              <w:t>기업가치(EV)</w:t>
            </w:r>
          </w:p>
        </w:tc>
        <w:tc>
          <w:tcPr>
            <w:tcW w:type="dxa" w:w="2581"/>
            <w:shd w:fill="FFFFFF"/>
          </w:tcPr>
          <w:p>
            <w:r/>
            <w:r>
              <w:rPr>
                <w:rFonts w:ascii="NanumSquareOTF" w:hAnsi="NanumSquareOTF" w:eastAsia="NanumSquareOTF"/>
                <w:b w:val="0"/>
                <w:i w:val="0"/>
                <w:sz w:val="20"/>
              </w:rPr>
              <w:t>2,069,228,760,545,661</w:t>
            </w:r>
          </w:p>
        </w:tc>
      </w:tr>
      <w:tr>
        <w:tc>
          <w:tcPr>
            <w:tcW w:type="dxa" w:w="2581"/>
            <w:shd w:fill="F6F2EC"/>
          </w:tcPr>
          <w:p>
            <w:r/>
            <w:r>
              <w:rPr>
                <w:rFonts w:ascii="NanumSquareOTF" w:hAnsi="NanumSquareOTF" w:eastAsia="NanumSquareOTF"/>
                <w:b w:val="0"/>
                <w:i w:val="0"/>
                <w:sz w:val="20"/>
              </w:rPr>
              <w:t>발행주식수</w:t>
            </w:r>
          </w:p>
        </w:tc>
        <w:tc>
          <w:tcPr>
            <w:tcW w:type="dxa" w:w="2581"/>
            <w:shd w:fill="F6F2EC"/>
          </w:tcPr>
          <w:p>
            <w:r/>
            <w:r>
              <w:rPr>
                <w:rFonts w:ascii="NanumSquareOTF" w:hAnsi="NanumSquareOTF" w:eastAsia="NanumSquareOTF"/>
                <w:b w:val="0"/>
                <w:i w:val="0"/>
                <w:sz w:val="20"/>
              </w:rPr>
              <w:t>6,846,403,907</w:t>
            </w:r>
          </w:p>
        </w:tc>
        <w:tc>
          <w:tcPr>
            <w:tcW w:type="dxa" w:w="2581"/>
            <w:shd w:fill="F6F2EC"/>
          </w:tcPr>
          <w:p>
            <w:r/>
            <w:r>
              <w:rPr>
                <w:rFonts w:ascii="NanumSquareOTF" w:hAnsi="NanumSquareOTF" w:eastAsia="NanumSquareOTF"/>
                <w:b w:val="0"/>
                <w:i w:val="0"/>
                <w:sz w:val="20"/>
              </w:rPr>
            </w:r>
          </w:p>
        </w:tc>
        <w:tc>
          <w:tcPr>
            <w:tcW w:type="dxa" w:w="2581"/>
            <w:shd w:fill="F6F2EC"/>
          </w:tcPr>
          <w:p>
            <w:r/>
            <w:r>
              <w:rPr>
                <w:rFonts w:ascii="NanumSquareOTF" w:hAnsi="NanumSquareOTF" w:eastAsia="NanumSquareOTF"/>
                <w:b w:val="0"/>
                <w:i w:val="0"/>
                <w:sz w:val="20"/>
              </w:rPr>
            </w:r>
          </w:p>
        </w:tc>
      </w:tr>
    </w:tbl>
    <w:p>
      <w:r>
        <w:rPr>
          <w:rFonts w:ascii="NanumSquareOTF" w:hAnsi="NanumSquareOTF" w:eastAsia="NanumSquareOTF"/>
          <w:b w:val="0"/>
          <w:i/>
          <w:color w:val="6E6E6E"/>
          <w:sz w:val="18"/>
        </w:rPr>
        <w:t>재무 기준일: 2025-12-31 | 출처: OpenDART</w:t>
      </w:r>
    </w:p>
    <w:p>
      <w:pPr>
        <w:pageBreakBefore/>
        <w:spacing w:before="0" w:after="0"/>
      </w:pPr>
    </w:p>
    <w:tbl>
      <w:tblPr>
        <w:tblW w:type="auto" w:w="0"/>
        <w:jc w:val="center"/>
        <w:tblLayout w:type="fixed"/>
        <w:tblLook w:firstColumn="1" w:firstRow="1" w:lastColumn="0" w:lastRow="0" w:noHBand="0" w:noVBand="1" w:val="04A0"/>
      </w:tblPr>
      <w:tblGrid>
        <w:gridCol w:w="3312"/>
        <w:gridCol w:w="6912"/>
      </w:tblGrid>
      <w:tr>
        <w:tc>
          <w:tcPr>
            <w:tcW w:type="dxa" w:w="5162"/>
            <w:shd w:fill="1E7032"/>
            <w:tcBorders>
              <w:top w:val="nil"/>
              <w:left w:val="nil"/>
              <w:bottom w:val="nil"/>
              <w:right w:val="nil"/>
              <w:insideH w:val="nil"/>
              <w:insideV w:val="nil"/>
            </w:tcBorders>
            <w:tcMar>
              <w:top w:w="160" w:type="dxa"/>
              <w:bottom w:w="180" w:type="dxa"/>
              <w:start w:w="160" w:type="dxa"/>
              <w:end w:w="160" w:type="dxa"/>
            </w:tcMar>
            <w:vAlign w:val="top"/>
          </w:tcPr>
          <w:p>
            <w:r>
              <w:rPr>
                <w:rFonts w:ascii="NanumSquareOTF" w:hAnsi="NanumSquareOTF" w:eastAsia="NanumSquareOTF"/>
                <w:b/>
                <w:i w:val="0"/>
                <w:color w:val="FFFFFF"/>
                <w:sz w:val="36"/>
              </w:rPr>
              <w:t>SK하이닉스</w:t>
              <w:br/>
              <w:t>(000660)</w:t>
            </w:r>
          </w:p>
          <w:p>
            <w:r>
              <w:rPr>
                <w:rFonts w:ascii="NanumSquareOTF" w:hAnsi="NanumSquareOTF" w:eastAsia="NanumSquareOTF"/>
                <w:b w:val="0"/>
                <w:i w:val="0"/>
                <w:color w:val="FFFFFF"/>
                <w:sz w:val="19"/>
              </w:rPr>
              <w:t>KOSPI</w:t>
              <w:br/>
              <w:t>재무 기준일: 2025-12-31</w:t>
              <w:br/>
              <w:t>출처: OpenDART</w:t>
            </w:r>
          </w:p>
          <w:tbl>
            <w:tblPr>
              <w:tblW w:type="auto" w:w="0"/>
              <w:tblLook w:firstColumn="1" w:firstRow="1" w:lastColumn="0" w:lastRow="0" w:noHBand="0" w:noVBand="1" w:val="04A0"/>
            </w:tblPr>
            <w:tblGrid>
              <w:gridCol w:w="5162"/>
            </w:tblGrid>
            <w:tr>
              <w:tc>
                <w:tcPr>
                  <w:tcW w:type="dxa" w:w="5162"/>
                  <w:shd w:fill="FFFFFF"/>
                  <w:tcBorders>
                    <w:top w:val="nil"/>
                    <w:left w:val="nil"/>
                    <w:bottom w:val="nil"/>
                    <w:right w:val="nil"/>
                    <w:insideH w:val="nil"/>
                    <w:insideV w:val="nil"/>
                  </w:tcBorders>
                  <w:tcMar>
                    <w:top w:w="100" w:type="dxa"/>
                    <w:bottom w:w="100" w:type="dxa"/>
                    <w:start w:w="110" w:type="dxa"/>
                    <w:end w:w="110" w:type="dxa"/>
                  </w:tcMar>
                </w:tcPr>
                <w:p>
                  <w:r/>
                  <w:r>
                    <w:rPr>
                      <w:rFonts w:ascii="NanumSquareOTF" w:hAnsi="NanumSquareOTF" w:eastAsia="NanumSquareOTF"/>
                      <w:b w:val="0"/>
                      <w:i w:val="0"/>
                      <w:color w:val="1D1D1B"/>
                      <w:sz w:val="18"/>
                    </w:rPr>
                    <w:t>의견      강력 매수</w:t>
                    <w:br/>
                    <w:t>점수      12.00</w:t>
                    <w:br/>
                    <w:t>신뢰도    0.95</w:t>
                    <w:br/>
                    <w:t>종가      2,258,000.00</w:t>
                    <w:br/>
                    <w:t>PER       37.40</w:t>
                    <w:br/>
                    <w:t>PBR       13.31</w:t>
                    <w:br/>
                    <w:t>ROE       44.14%</w:t>
                  </w:r>
                </w:p>
              </w:tc>
            </w:tr>
          </w:tbl>
          <w:p/>
        </w:tc>
        <w:tc>
          <w:tcPr>
            <w:tcW w:type="dxa" w:w="5162"/>
            <w:tcBorders>
              <w:top w:val="nil"/>
              <w:left w:val="nil"/>
              <w:bottom w:val="nil"/>
              <w:right w:val="nil"/>
              <w:insideH w:val="nil"/>
              <w:insideV w:val="nil"/>
            </w:tcBorders>
            <w:tcMar>
              <w:top w:w="60" w:type="dxa"/>
              <w:bottom w:w="80" w:type="dxa"/>
              <w:start w:w="150" w:type="dxa"/>
              <w:end w:w="150" w:type="dxa"/>
            </w:tcMar>
            <w:vAlign w:val="top"/>
          </w:tcPr>
          <w:p/>
          <w:tbl>
            <w:tblPr>
              <w:tblW w:type="auto" w:w="0"/>
              <w:jc w:val="center"/>
              <w:tblLayout w:type="autofit"/>
              <w:tblLook w:firstColumn="1" w:firstRow="1" w:lastColumn="0" w:lastRow="0" w:noHBand="0" w:noVBand="1" w:val="04A0"/>
            </w:tblPr>
            <w:tblGrid>
              <w:gridCol w:w="5162"/>
            </w:tblGrid>
            <w:tr>
              <w:tc>
                <w:tcPr>
                  <w:tcW w:type="dxa" w:w="5162"/>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26"/>
                    </w:rPr>
                    <w:t>OPINION</w:t>
                  </w:r>
                </w:p>
              </w:tc>
            </w:tr>
            <w:tr>
              <w:tc>
                <w:tcPr>
                  <w:tcW w:type="dxa" w:w="5162"/>
                  <w:shd w:fill="FFFFFF"/>
                  <w:tcBorders>
                    <w:top w:val="nil"/>
                    <w:left w:val="nil"/>
                    <w:bottom w:val="nil"/>
                    <w:right w:val="nil"/>
                    <w:insideH w:val="nil"/>
                    <w:insideV w:val="nil"/>
                  </w:tcBorders>
                  <w:tcMar>
                    <w:top w:w="90" w:type="dxa"/>
                    <w:bottom w:w="120" w:type="dxa"/>
                    <w:start w:w="120" w:type="dxa"/>
                    <w:end w:w="120" w:type="dxa"/>
                  </w:tcMar>
                </w:tcPr>
                <w:p>
                  <w:pPr>
                    <w:spacing w:after="0"/>
                  </w:pPr>
                  <w:r/>
                  <w:r>
                    <w:rPr>
                      <w:rFonts w:ascii="NanumSquareOTF" w:hAnsi="NanumSquareOTF" w:eastAsia="NanumSquareOTF"/>
                      <w:b w:val="0"/>
                      <w:i w:val="0"/>
                      <w:color w:val="1D1D1B"/>
                      <w:sz w:val="20"/>
                    </w:rPr>
                    <w:t>삼성전자와 SK하이닉스는 같은 업(業)에 속하면서도 투자 포인트와 리스크 프로필이 다르다. SK하이닉스는 수익성 지표가 매우 높은 것이 특징이다. 기사에서 언급된 다년 장기 계약 전환 가능성은 SK하이닉스의 수익성 지속성에 대한 가시성을 높일 수 있는 구조적 호재다. SK하이닉스는 고수익성·고성장 기대를 바탕으로 높은 밸류에이션을 요구하고, 이에 따른 변동성도 크다.</w:t>
                  </w:r>
                </w:p>
              </w:tc>
            </w:tr>
          </w:tbl>
          <w:p/>
          <w:tbl>
            <w:tblPr>
              <w:tblW w:type="auto" w:w="0"/>
              <w:jc w:val="center"/>
              <w:tblLayout w:type="autofit"/>
              <w:tblLook w:firstColumn="1" w:firstRow="1" w:lastColumn="0" w:lastRow="0" w:noHBand="0" w:noVBand="1" w:val="04A0"/>
            </w:tblPr>
            <w:tblGrid>
              <w:gridCol w:w="5162"/>
            </w:tblGrid>
            <w:tr>
              <w:tc>
                <w:tcPr>
                  <w:tcW w:type="dxa" w:w="5162"/>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26"/>
                    </w:rPr>
                    <w:t>Technical / Momentum</w:t>
                  </w:r>
                </w:p>
              </w:tc>
            </w:tr>
            <w:tr>
              <w:tc>
                <w:tcPr>
                  <w:tcW w:type="dxa" w:w="5162"/>
                  <w:shd w:fill="FFFFFF"/>
                  <w:tcBorders>
                    <w:top w:val="nil"/>
                    <w:left w:val="nil"/>
                    <w:bottom w:val="nil"/>
                    <w:right w:val="nil"/>
                    <w:insideH w:val="nil"/>
                    <w:insideV w:val="nil"/>
                  </w:tcBorders>
                  <w:tcMar>
                    <w:top w:w="90" w:type="dxa"/>
                    <w:bottom w:w="120" w:type="dxa"/>
                    <w:start w:w="120" w:type="dxa"/>
                    <w:end w:w="120" w:type="dxa"/>
                  </w:tcMar>
                </w:tcPr>
                <w:p>
                  <w:pPr>
                    <w:spacing w:after="0"/>
                  </w:pPr>
                  <w:r/>
                  <w:r>
                    <w:rPr>
                      <w:rFonts w:ascii="NanumSquareOTF" w:hAnsi="NanumSquareOTF" w:eastAsia="NanumSquareOTF"/>
                      <w:b w:val="0"/>
                      <w:i w:val="0"/>
                      <w:color w:val="1D1D1B"/>
                      <w:sz w:val="20"/>
                    </w:rPr>
                    <w:t>현재 기술 국면은 추세장으로 분류되며, 종합 신호는 강력 매수(점수 12.00, 신뢰도 0.95)다. 최근 20일 평균가격과 50일 평균가격의 상대 위치로 중기 추세를 읽는 이동평균 지표에서, SMA20(1,728,000.00)이 SMA50(1,302,500.00) 위에 있어 중기 추세는 우상향으로 해석된다. 최근 가격 압력이 단기적으로 얼마나 강한지를 보여주는 EMA20 기준으로도 종가(2,258,000.00)가 EMA20(1,751,483.25) 위에 있어 단기 매수 압력이 우세하다. 단기·장기 이동평균의 간격 변화로 모멘텀 전환을 읽는 MACD 지표는 225693.71이며, 시그널선(203794.81) 위에 있어 상승 모멘텀이 우세하다고, 히스토그램도 양(+)의 구간(21898.90)에 있다. 추세의 세기 자체를 측정하는 ADX는 47.73 수준으로 강한 편이고, 방향성 지표에서는 +DI(49.53)가 -DI(11.53)보다 높아 상승 추세가 우세하다. 거래량이 가격 움직임을 얼마나 뒷받침하는지 보여주는 OBV 흐름도 단기 평균이 장기 평균 위에 있어 수급 측면의 뒷받침이 우호적이다. 가격의 상승·하락 압력이 얼마나 한쪽으로 쏠렸는지 보여주는 RSI 지표는 79.88로, 통상적 기준상 과매수(70 이상) 구간에 해당한다. 주요 근거로는 SMA20이 SMA50 위에 있어 중기 상승 추세가 확인됩니다, MACD가 시그널선 위에 있어 상승 모멘텀이 나타납니다, 추세장에서 +DI가 -DI보다 높아 상승 추세가 우세합니다 등을 들 수 있다.</w:t>
                  </w:r>
                </w:p>
              </w:tc>
            </w:tr>
          </w:tbl>
          <w:p/>
          <w:tbl>
            <w:tblPr>
              <w:tblW w:type="auto" w:w="0"/>
              <w:jc w:val="center"/>
              <w:tblLayout w:type="autofit"/>
              <w:tblLook w:firstColumn="1" w:firstRow="1" w:lastColumn="0" w:lastRow="0" w:noHBand="0" w:noVBand="1" w:val="04A0"/>
            </w:tblPr>
            <w:tblGrid>
              <w:gridCol w:w="5162"/>
            </w:tblGrid>
            <w:tr>
              <w:tc>
                <w:tcPr>
                  <w:tcW w:type="dxa" w:w="5162"/>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26"/>
                    </w:rPr>
                    <w:t>RISK</w:t>
                  </w:r>
                </w:p>
              </w:tc>
            </w:tr>
            <w:tr>
              <w:tc>
                <w:tcPr>
                  <w:tcW w:type="dxa" w:w="5162"/>
                  <w:shd w:fill="FFFFFF"/>
                  <w:tcBorders>
                    <w:top w:val="nil"/>
                    <w:left w:val="nil"/>
                    <w:bottom w:val="nil"/>
                    <w:right w:val="nil"/>
                    <w:insideH w:val="nil"/>
                    <w:insideV w:val="nil"/>
                  </w:tcBorders>
                  <w:tcMar>
                    <w:top w:w="90" w:type="dxa"/>
                    <w:bottom w:w="120" w:type="dxa"/>
                    <w:start w:w="120" w:type="dxa"/>
                    <w:end w:w="120" w:type="dxa"/>
                  </w:tcMar>
                </w:tcPr>
                <w:p>
                  <w:pPr>
                    <w:spacing w:after="0"/>
                  </w:pPr>
                  <w:r/>
                  <w:r>
                    <w:rPr>
                      <w:rFonts w:ascii="NanumSquareOTF" w:hAnsi="NanumSquareOTF" w:eastAsia="NanumSquareOTF"/>
                      <w:b w:val="0"/>
                      <w:i w:val="0"/>
                      <w:color w:val="1D1D1B"/>
                      <w:sz w:val="20"/>
                    </w:rPr>
                    <w:t>위험도는 높음 수준으로 판단된다. 첫째, SK하이닉스는 다년 계약 전환 기대가 큰 호재이나, 계약 전환의 실행과정에서 미반영 리스크가 존재한다. 둘째, PER이 37.40 수준으로 높아 기대가 이미 가격에 반영됐을 가능성이 있어 밸류에이션 조정 부담이 있다. 셋째, PBR이 13.31 수준으로 높아 실적 둔화 시 멀티플 축소 압력이 커질 수 있다. 넷째, RSI가 79.88로 과매수 구간에 있어 단기 차익실현 압력이 확대될 수 있다.</w:t>
                  </w:r>
                </w:p>
              </w:tc>
            </w:tr>
          </w:tbl>
          <w:p/>
        </w:tc>
      </w:tr>
    </w:tbl>
    <w:p>
      <w:pPr>
        <w:pageBreakBefore/>
        <w:spacing w:before="0" w:after="0"/>
      </w:pPr>
    </w:p>
    <w:p>
      <w:r>
        <w:rPr>
          <w:rFonts w:ascii="NanumSquareOTF" w:hAnsi="NanumSquareOTF" w:eastAsia="NanumSquareOTF"/>
          <w:b/>
          <w:i w:val="0"/>
          <w:color w:val="255A1B"/>
          <w:sz w:val="36"/>
        </w:rPr>
        <w:t>SK하이닉스 (000660)</w:t>
      </w:r>
    </w:p>
    <w:p>
      <w:r>
        <w:rPr>
          <w:rFonts w:ascii="NanumSquareOTF" w:hAnsi="NanumSquareOTF" w:eastAsia="NanumSquareOTF"/>
          <w:b w:val="0"/>
          <w:i w:val="0"/>
          <w:color w:val="1D1D1B"/>
          <w:sz w:val="20"/>
        </w:rPr>
        <w:t>KOSPI | 의견 강력 매수 | 점수 12.00 | 신뢰도 0.95</w:t>
      </w:r>
    </w:p>
    <w:tbl>
      <w:tblPr>
        <w:tblW w:type="auto" w:w="0"/>
        <w:jc w:val="center"/>
        <w:tblLook w:firstColumn="1" w:firstRow="1" w:lastColumn="0" w:lastRow="0" w:noHBand="0" w:noVBand="1" w:val="04A0"/>
      </w:tblPr>
      <w:tblGrid>
        <w:gridCol w:w="10325"/>
      </w:tblGrid>
      <w:tr>
        <w:tc>
          <w:tcPr>
            <w:tcW w:type="dxa" w:w="10325"/>
            <w:tcBorders>
              <w:top w:val="nil"/>
              <w:left w:val="nil"/>
              <w:bottom w:val="single" w:sz="6" w:color="1E7032"/>
              <w:right w:val="nil"/>
              <w:insideH w:val="nil"/>
              <w:insideV w:val="nil"/>
            </w:tcBorders>
            <w:tcMar>
              <w:top w:w="60" w:type="dxa"/>
              <w:bottom w:w="80" w:type="dxa"/>
              <w:start w:w="0" w:type="dxa"/>
              <w:end w:w="0" w:type="dxa"/>
            </w:tcMar>
          </w:tcPr>
          <w:p>
            <w:r/>
            <w:r>
              <w:rPr>
                <w:rFonts w:ascii="NanumSquareOTF" w:hAnsi="NanumSquareOTF" w:eastAsia="NanumSquareOTF"/>
                <w:b/>
                <w:i w:val="0"/>
                <w:color w:val="255A1B"/>
                <w:sz w:val="26"/>
              </w:rPr>
              <w:t>SK하이닉스 3M Daily Price Trend</w:t>
            </w:r>
          </w:p>
        </w:tc>
      </w:tr>
      <w:tr>
        <w:tc>
          <w:tcPr>
            <w:tcW w:type="dxa" w:w="10325"/>
            <w:tcBorders>
              <w:top w:val="nil"/>
              <w:left w:val="nil"/>
              <w:bottom w:val="nil"/>
              <w:right w:val="nil"/>
              <w:insideH w:val="nil"/>
              <w:insideV w:val="nil"/>
            </w:tcBorders>
            <w:tcMar>
              <w:top w:w="120" w:type="dxa"/>
              <w:bottom w:w="90" w:type="dxa"/>
              <w:start w:w="90" w:type="dxa"/>
              <w:end w:w="90" w:type="dxa"/>
            </w:tcMar>
          </w:tcPr>
          <w:p>
            <w:pPr>
              <w:jc w:val="center"/>
            </w:pPr>
            <w:r>
              <w:drawing>
                <wp:inline xmlns:a="http://schemas.openxmlformats.org/drawingml/2006/main" xmlns:pic="http://schemas.openxmlformats.org/drawingml/2006/picture">
                  <wp:extent cx="5806440" cy="2631043"/>
                  <wp:docPr id="3" name="Picture 3"/>
                  <wp:cNvGraphicFramePr>
                    <a:graphicFrameLocks noChangeAspect="1"/>
                  </wp:cNvGraphicFramePr>
                  <a:graphic>
                    <a:graphicData uri="http://schemas.openxmlformats.org/drawingml/2006/picture">
                      <pic:pic>
                        <pic:nvPicPr>
                          <pic:cNvPr id="0" name="000660_SK하이닉스_daily_3mo.png"/>
                          <pic:cNvPicPr/>
                        </pic:nvPicPr>
                        <pic:blipFill>
                          <a:blip r:embed="rId12"/>
                          <a:stretch>
                            <a:fillRect/>
                          </a:stretch>
                        </pic:blipFill>
                        <pic:spPr>
                          <a:xfrm>
                            <a:off x="0" y="0"/>
                            <a:ext cx="5806440" cy="2631043"/>
                          </a:xfrm>
                          <a:prstGeom prst="rect"/>
                        </pic:spPr>
                      </pic:pic>
                    </a:graphicData>
                  </a:graphic>
                </wp:inline>
              </w:drawing>
            </w:r>
          </w:p>
          <w:p>
            <w:pPr>
              <w:jc w:val="center"/>
            </w:pPr>
            <w:r>
              <w:rPr>
                <w:rFonts w:ascii="NanumSquareOTF" w:hAnsi="NanumSquareOTF" w:eastAsia="NanumSquareOTF"/>
                <w:b w:val="0"/>
                <w:i/>
                <w:color w:val="6E6E6E"/>
                <w:sz w:val="18"/>
              </w:rPr>
              <w:t>3개월 일봉 종가 흐름 (2026-02-27 ~ 2026-05-27) | Latest close 2,251,000.00</w:t>
            </w:r>
          </w:p>
        </w:tc>
      </w:tr>
    </w:tbl>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26"/>
              </w:rPr>
              <w:t>LLM Technical Comment - 3M Daily</w:t>
            </w:r>
          </w:p>
        </w:tc>
      </w:tr>
      <w:tr>
        <w:tc>
          <w:tcPr>
            <w:tcW w:type="dxa" w:w="10325"/>
            <w:shd w:fill="FFFFFF"/>
            <w:tcBorders>
              <w:top w:val="nil"/>
              <w:left w:val="nil"/>
              <w:bottom w:val="nil"/>
              <w:right w:val="nil"/>
              <w:insideH w:val="nil"/>
              <w:insideV w:val="nil"/>
            </w:tcBorders>
            <w:tcMar>
              <w:top w:w="90" w:type="dxa"/>
              <w:bottom w:w="120" w:type="dxa"/>
              <w:start w:w="120" w:type="dxa"/>
              <w:end w:w="120" w:type="dxa"/>
            </w:tcMar>
          </w:tcPr>
          <w:p>
            <w:pPr>
              <w:spacing w:after="0"/>
            </w:pPr>
            <w:r/>
            <w:r>
              <w:rPr>
                <w:rFonts w:ascii="NanumSquareOTF" w:hAnsi="NanumSquareOTF" w:eastAsia="NanumSquareOTF"/>
                <w:b w:val="0"/>
                <w:i w:val="0"/>
                <w:color w:val="1D1D1B"/>
                <w:sz w:val="20"/>
              </w:rPr>
              <w:t xml:space="preserve">1. 추세 평가  </w:t>
              <w:br/>
              <w:t xml:space="preserve">단기(3개월) 가격 흐름은 명확한 상승 추세로 판단된다.  </w:t>
              <w:br/>
              <w:t xml:space="preserve">초중반 구간에서 횡보 후 4월 이후 우상향 가속화가 발생하여 5월 말 급등으로 정점에 도달한 구조로 판단된다.  </w:t>
              <w:br/>
              <w:t xml:space="preserve">상승은 하향에서 상승으로 전환한 전형적인 저점-고점 상승 구조를 형성하고 있는 것으로 판단된다.  </w:t>
              <w:br/>
              <w:br/>
              <w:t xml:space="preserve">2. 주요 지지·저항 영역  </w:t>
              <w:br/>
              <w:t xml:space="preserve">직전 고점인 2,251,000원 수준이 당면한 단기 저항으로 판단된다.  </w:t>
              <w:br/>
              <w:t xml:space="preserve">최근 돌파 이전의 국면에서 1,800,000원 부근이 단기 지지로 작용한 구간으로 판단된다.  </w:t>
              <w:br/>
              <w:t xml:space="preserve">상승 전 전환점 역할을 했던 1,200,000원 내외 구간이 중기 강한 지지 레이어로 판단된다.  </w:t>
              <w:br/>
              <w:t xml:space="preserve">차트에 거래량 정보가 표시되어 있지 않아 수급 지지·저항 강도는 별도 확인이 필요하다.  </w:t>
              <w:br/>
              <w:br/>
              <w:t xml:space="preserve">3. 강세 시나리오  </w:t>
              <w:br/>
              <w:t xml:space="preserve">가격이 2,000,000~2,250,000원 구간에서 지지를 확인하고 재상승하면 추세 지속과 추가 상승 여지가 존재한다.  </w:t>
              <w:br/>
              <w:t xml:space="preserve">상승 가속이 유지되면 이전 저항을 상향 돌파하며 새로운 고점을 탐색하는 국면으로 전개될 가능성이 있다.  </w:t>
              <w:br/>
              <w:t xml:space="preserve">상승 모멘텀이 유지되는 한 단기적으로 추가 레인지 확장 또는 추세 가속화가 나타날 가능성이 있다.  </w:t>
              <w:br/>
              <w:br/>
              <w:t xml:space="preserve">4. 약세 시나리오  </w:t>
              <w:br/>
              <w:t xml:space="preserve">급등 이후 상승 탄력이 약화되어 2,000,000원 내외 또는 1,800,000원 부근으로의 조정이 발생할 가능성이 있다.  </w:t>
              <w:br/>
              <w:t xml:space="preserve">지지 구간이 붕괴되면 1,600,000원 또는 1,200,000원 부근까지의 보다 깊은 되돌림이 나타날 위험이 존재한다.  </w:t>
              <w:br/>
              <w:t xml:space="preserve">수직적 상승에 따른 단기 과매수와 변동성 확대가 발생하면 급격한 하락 전환이 촉발될 가능성이 있다.  </w:t>
              <w:br/>
              <w:br/>
              <w:t xml:space="preserve">5. 제안된 트레이딩 바이어스  </w:t>
              <w:br/>
              <w:t xml:space="preserve">제안된 트레이딩 바이어스는 신중한 매수(롱)다.  </w:t>
              <w:br/>
              <w:t xml:space="preserve">추세상 우상향이 우세하나 급등에 따른 리스크가 높으므로 포지션 사이징과 손절 기준을 명확히 할 필요가 있다.  </w:t>
              <w:br/>
              <w:br/>
              <w:t xml:space="preserve">6. 리스크 요인  </w:t>
              <w:br/>
              <w:t xml:space="preserve">차트에 거래량 데이터가 포함되어 있지 않아 현재 상승의 수급 강도를 판단하기 어렵다는 점이 주요 리스크다.  </w:t>
              <w:br/>
              <w:t xml:space="preserve">최근의 가파른 상승으로 인해 단기 변동성이 확대될 위험이 높다는 점이 존재한다.  </w:t>
              <w:br/>
              <w:t xml:space="preserve">지지 붕괴 시 하방 속도가 빠를 수 있으므로 리스크 관리가 미흡하면 손실이 확대될 위험이 존재한다.  </w:t>
              <w:br/>
              <w:t>외부 이벤트나 뉴스에 따른 단기 방향 전환 가능성은 항상 존재하므로 감시체계가 필요하다는 점이 리스크로 판단된다.</w:t>
            </w:r>
          </w:p>
        </w:tc>
      </w:tr>
    </w:tbl>
    <w:tbl>
      <w:tblPr>
        <w:tblW w:type="auto" w:w="0"/>
        <w:jc w:val="center"/>
        <w:tblLook w:firstColumn="1" w:firstRow="1" w:lastColumn="0" w:lastRow="0" w:noHBand="0" w:noVBand="1" w:val="04A0"/>
      </w:tblPr>
      <w:tblGrid>
        <w:gridCol w:w="10325"/>
      </w:tblGrid>
      <w:tr>
        <w:tc>
          <w:tcPr>
            <w:tcW w:type="dxa" w:w="10325"/>
            <w:tcBorders>
              <w:top w:val="nil"/>
              <w:left w:val="nil"/>
              <w:bottom w:val="single" w:sz="6" w:color="1E7032"/>
              <w:right w:val="nil"/>
              <w:insideH w:val="nil"/>
              <w:insideV w:val="nil"/>
            </w:tcBorders>
            <w:tcMar>
              <w:top w:w="60" w:type="dxa"/>
              <w:bottom w:w="80" w:type="dxa"/>
              <w:start w:w="0" w:type="dxa"/>
              <w:end w:w="0" w:type="dxa"/>
            </w:tcMar>
          </w:tcPr>
          <w:p>
            <w:r/>
            <w:r>
              <w:rPr>
                <w:rFonts w:ascii="NanumSquareOTF" w:hAnsi="NanumSquareOTF" w:eastAsia="NanumSquareOTF"/>
                <w:b/>
                <w:i w:val="0"/>
                <w:color w:val="255A1B"/>
                <w:sz w:val="26"/>
              </w:rPr>
              <w:t>SK하이닉스 1M Intraday Price / Volume</w:t>
            </w:r>
          </w:p>
        </w:tc>
      </w:tr>
      <w:tr>
        <w:tc>
          <w:tcPr>
            <w:tcW w:type="dxa" w:w="10325"/>
            <w:tcBorders>
              <w:top w:val="nil"/>
              <w:left w:val="nil"/>
              <w:bottom w:val="nil"/>
              <w:right w:val="nil"/>
              <w:insideH w:val="nil"/>
              <w:insideV w:val="nil"/>
            </w:tcBorders>
            <w:tcMar>
              <w:top w:w="120" w:type="dxa"/>
              <w:bottom w:w="90" w:type="dxa"/>
              <w:start w:w="90" w:type="dxa"/>
              <w:end w:w="90" w:type="dxa"/>
            </w:tcMar>
          </w:tcPr>
          <w:p>
            <w:pPr>
              <w:jc w:val="center"/>
            </w:pPr>
            <w:r>
              <w:drawing>
                <wp:inline xmlns:a="http://schemas.openxmlformats.org/drawingml/2006/main" xmlns:pic="http://schemas.openxmlformats.org/drawingml/2006/picture">
                  <wp:extent cx="5806440" cy="3266122"/>
                  <wp:docPr id="4" name="Picture 4"/>
                  <wp:cNvGraphicFramePr>
                    <a:graphicFrameLocks noChangeAspect="1"/>
                  </wp:cNvGraphicFramePr>
                  <a:graphic>
                    <a:graphicData uri="http://schemas.openxmlformats.org/drawingml/2006/picture">
                      <pic:pic>
                        <pic:nvPicPr>
                          <pic:cNvPr id="0" name="000660_SK하이닉스_intraday_1m.png"/>
                          <pic:cNvPicPr/>
                        </pic:nvPicPr>
                        <pic:blipFill>
                          <a:blip r:embed="rId13"/>
                          <a:stretch>
                            <a:fillRect/>
                          </a:stretch>
                        </pic:blipFill>
                        <pic:spPr>
                          <a:xfrm>
                            <a:off x="0" y="0"/>
                            <a:ext cx="5806440" cy="3266122"/>
                          </a:xfrm>
                          <a:prstGeom prst="rect"/>
                        </pic:spPr>
                      </pic:pic>
                    </a:graphicData>
                  </a:graphic>
                </wp:inline>
              </w:drawing>
            </w:r>
          </w:p>
          <w:p>
            <w:pPr>
              <w:jc w:val="center"/>
            </w:pPr>
            <w:r>
              <w:rPr>
                <w:rFonts w:ascii="NanumSquareOTF" w:hAnsi="NanumSquareOTF" w:eastAsia="NanumSquareOTF"/>
                <w:b w:val="0"/>
                <w:i/>
                <w:color w:val="6E6E6E"/>
                <w:sz w:val="18"/>
              </w:rPr>
              <w:t>1분봉 주가/거래량 (2026-05-27 13:40 ~ 2026-05-27 14:59) | Latest close 2,279,000.00</w:t>
            </w:r>
          </w:p>
        </w:tc>
      </w:tr>
    </w:tbl>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26"/>
              </w:rPr>
              <w:t>LLM Technical Comment - 1M Intraday</w:t>
            </w:r>
          </w:p>
        </w:tc>
      </w:tr>
      <w:tr>
        <w:tc>
          <w:tcPr>
            <w:tcW w:type="dxa" w:w="10325"/>
            <w:shd w:fill="FFFFFF"/>
            <w:tcBorders>
              <w:top w:val="nil"/>
              <w:left w:val="nil"/>
              <w:bottom w:val="nil"/>
              <w:right w:val="nil"/>
              <w:insideH w:val="nil"/>
              <w:insideV w:val="nil"/>
            </w:tcBorders>
            <w:tcMar>
              <w:top w:w="90" w:type="dxa"/>
              <w:bottom w:w="120" w:type="dxa"/>
              <w:start w:w="120" w:type="dxa"/>
              <w:end w:w="120" w:type="dxa"/>
            </w:tcMar>
          </w:tcPr>
          <w:p>
            <w:pPr>
              <w:spacing w:after="0"/>
            </w:pPr>
            <w:r/>
            <w:r>
              <w:rPr>
                <w:rFonts w:ascii="NanumSquareOTF" w:hAnsi="NanumSquareOTF" w:eastAsia="NanumSquareOTF"/>
                <w:b w:val="0"/>
                <w:i w:val="0"/>
                <w:color w:val="1D1D1B"/>
                <w:sz w:val="20"/>
              </w:rPr>
              <w:t xml:space="preserve">1. 추세 평가  </w:t>
              <w:br/>
              <w:t>단기 1분 차트 기준으로 오전 고점(약 2,317,000원) 형성 이후 연속 하향 조정이 진행되어 단기 하방 압력이 우세한 흐름으로 판단된다. 장중 저점(약 2,239,000원)에서 강한 매수 유입으로 빠른 반등이 나타난 점은 변동성 기반의 반등 성격으로 판단된다. 종가가 시초가(2,300,000원) 대비 하회하여 장중 변동성 속에서도 약한 매도 우위가 유지된 것으로 판단된다.</w:t>
              <w:br/>
              <w:br/>
              <w:t xml:space="preserve">2. 주요 지지·저항  </w:t>
              <w:br/>
              <w:t>직관적 저항 레벨은 장중 최고가 약 2,317,000원과 2,300,000원 부근의 심리적 레인지로 판단된다. 중간 저항 구간은 약 2,290,000원대에서 다수의 되돌림이 관찰된 것으로 판단된다. 지지 레벨은 장중 저가 약 2,239,000원과 2,260,000~2,270,000원대의 반등 구간이 우선적인 지지 구간으로 판단된다. 차트의 점선(중심값) 주변 약 2,285,000원대는 단기 균형가격으로 판단된다.</w:t>
              <w:br/>
              <w:br/>
              <w:t xml:space="preserve">3. 불리시 시나리오  </w:t>
              <w:br/>
              <w:t>가격이 2,285,000원 내외의 중심값을 확실히 상향 돌파하고 2,300,000원을 지속적으로 회복하는 흐름이 확인되면 단기 매수 모멘텀이 강화되어 2,317,000원 수준을 재시험할 가능성이 있다고 판단된다. 돌파에 동반한 거래대금(거래량) 증가가 확인되면 돌파 신뢰도가 높아져 추세 전환 신호로 해석할 수 있다고 판단된다. 다만 1분봉 차트의 노이즈를 고려하면 추가 확인 봉과 거래량 지속 확인이 필요하다고 판단된다.</w:t>
              <w:br/>
              <w:br/>
              <w:t xml:space="preserve">4. 베어리시 시나리오  </w:t>
              <w:br/>
              <w:t>가격이 중간 저항(2,285k~2,300k)을 회복하지 못하고 재차 하락할 경우 2,260k~2,270k을 이탈하며 장중 저가 2,239,000원을 재돌파 이탈하면 단기 강한 하락 흐름으로 전환될 위험이 있다고 판단된다. 하락 구간에 거래량이 동반될 경우 매도 우위가 강화되어 추가 하락이 진행될 가능성이 있다고 판단된다. 단기 저점 이탈시 반등 시도가 약화되는 패턴이 확인될 경우 추가 하방 압력이 증대될 것으로 판단된다.</w:t>
              <w:br/>
              <w:br/>
              <w:t xml:space="preserve">5. 권고 트레이딩 바이어스  </w:t>
              <w:br/>
              <w:t>현재 차트 기반으로는 중립적 바이어스를 권고한다. 단기적으로는 저가 부근에서의 반등을 이용한 스캘핑 또는 리버설 트레이드가 유효할 수 있으나 돌파·이탈 포인트에서 명확한 거래량 확인이 없으면 공격적 롱 포지션은 피하는 것이 타당하다고 판단된다. 데이트레이딩 관점에서는 2,270k 아래에서는 리스크 관리 관점의 숏 헤지, 2,300k 이상에서는 추세 확인 시 제한적 롱 고려가 합리적이라고 판단된다.</w:t>
              <w:br/>
              <w:br/>
              <w:t xml:space="preserve">6. 리스크 요인  </w:t>
              <w:br/>
              <w:t>분석 대상이 1분 봉 차트여서 노이즈와 거짓 신호가 잦은 점이 큰 리스크 요인이다. 거래량 스파이크가 일시적 유동성 이벤트에 의한 왜곡일 수 있어 볼륨을 통한 확인이 필수적이라고 판단된다. 차트 외적 요소(뉴스, 호가창 변화 등)는 이 차트에서 확인할 수 없어 단순 가격·거래량 만으로는 방향성 판단이 제한적이라고 판단된다. 포지션 진입 시에는 명확한 손절 기준과 거래량 기반 확인을 병행해야 한다고 판단된다.</w:t>
            </w:r>
          </w:p>
        </w:tc>
      </w:tr>
    </w:tbl>
    <w:tbl>
      <w:tblPr>
        <w:tblW w:type="auto" w:w="0"/>
        <w:jc w:val="center"/>
        <w:tblLayout w:type="fixed"/>
        <w:tblLook w:firstColumn="1" w:firstRow="1" w:lastColumn="0" w:lastRow="0" w:noHBand="0" w:noVBand="1" w:val="04A0"/>
      </w:tblPr>
      <w:tblGrid>
        <w:gridCol w:w="2581"/>
        <w:gridCol w:w="2581"/>
        <w:gridCol w:w="2581"/>
        <w:gridCol w:w="2581"/>
      </w:tblGrid>
      <w:tr>
        <w:tc>
          <w:tcPr>
            <w:tcW w:type="dxa" w:w="2581"/>
            <w:shd w:fill="1E7032"/>
            <w:tcMar>
              <w:top w:w="70" w:type="dxa"/>
              <w:bottom w:w="70" w:type="dxa"/>
              <w:start w:w="80" w:type="dxa"/>
              <w:end w:w="80" w:type="dxa"/>
            </w:tcMar>
          </w:tcPr>
          <w:p>
            <w:r/>
            <w:r>
              <w:rPr>
                <w:rFonts w:ascii="NanumSquareOTF" w:hAnsi="NanumSquareOTF" w:eastAsia="NanumSquareOTF"/>
                <w:b/>
                <w:i w:val="0"/>
                <w:color w:val="FFFFFF"/>
                <w:sz w:val="20"/>
              </w:rPr>
              <w:t>종가</w:t>
            </w:r>
          </w:p>
        </w:tc>
        <w:tc>
          <w:tcPr>
            <w:tcW w:type="dxa" w:w="2581"/>
            <w:shd w:fill="1E7032"/>
            <w:tcMar>
              <w:top w:w="70" w:type="dxa"/>
              <w:bottom w:w="70" w:type="dxa"/>
              <w:start w:w="80" w:type="dxa"/>
              <w:end w:w="80" w:type="dxa"/>
            </w:tcMar>
          </w:tcPr>
          <w:p>
            <w:r/>
            <w:r>
              <w:rPr>
                <w:rFonts w:ascii="NanumSquareOTF" w:hAnsi="NanumSquareOTF" w:eastAsia="NanumSquareOTF"/>
                <w:b/>
                <w:i w:val="0"/>
                <w:color w:val="FFFFFF"/>
                <w:sz w:val="20"/>
              </w:rPr>
              <w:t>PER</w:t>
            </w:r>
          </w:p>
        </w:tc>
        <w:tc>
          <w:tcPr>
            <w:tcW w:type="dxa" w:w="2581"/>
            <w:shd w:fill="1E7032"/>
            <w:tcMar>
              <w:top w:w="70" w:type="dxa"/>
              <w:bottom w:w="70" w:type="dxa"/>
              <w:start w:w="80" w:type="dxa"/>
              <w:end w:w="80" w:type="dxa"/>
            </w:tcMar>
          </w:tcPr>
          <w:p>
            <w:r/>
            <w:r>
              <w:rPr>
                <w:rFonts w:ascii="NanumSquareOTF" w:hAnsi="NanumSquareOTF" w:eastAsia="NanumSquareOTF"/>
                <w:b/>
                <w:i w:val="0"/>
                <w:color w:val="FFFFFF"/>
                <w:sz w:val="20"/>
              </w:rPr>
              <w:t>PBR</w:t>
            </w:r>
          </w:p>
        </w:tc>
        <w:tc>
          <w:tcPr>
            <w:tcW w:type="dxa" w:w="2581"/>
            <w:shd w:fill="1E7032"/>
            <w:tcMar>
              <w:top w:w="70" w:type="dxa"/>
              <w:bottom w:w="70" w:type="dxa"/>
              <w:start w:w="80" w:type="dxa"/>
              <w:end w:w="80" w:type="dxa"/>
            </w:tcMar>
          </w:tcPr>
          <w:p>
            <w:r/>
            <w:r>
              <w:rPr>
                <w:rFonts w:ascii="NanumSquareOTF" w:hAnsi="NanumSquareOTF" w:eastAsia="NanumSquareOTF"/>
                <w:b/>
                <w:i w:val="0"/>
                <w:color w:val="FFFFFF"/>
                <w:sz w:val="20"/>
              </w:rPr>
              <w:t>ROE</w:t>
            </w:r>
          </w:p>
        </w:tc>
      </w:tr>
      <w:tr>
        <w:tc>
          <w:tcPr>
            <w:tcW w:type="dxa" w:w="2581"/>
            <w:shd w:fill="EFF5EC"/>
            <w:tcMar>
              <w:top w:w="90" w:type="dxa"/>
              <w:bottom w:w="90" w:type="dxa"/>
              <w:start w:w="80" w:type="dxa"/>
              <w:end w:w="80" w:type="dxa"/>
            </w:tcMar>
          </w:tcPr>
          <w:p>
            <w:r/>
            <w:r>
              <w:rPr>
                <w:rFonts w:ascii="NanumSquareOTF" w:hAnsi="NanumSquareOTF" w:eastAsia="NanumSquareOTF"/>
                <w:b w:val="0"/>
                <w:i w:val="0"/>
                <w:color w:val="1D1D1B"/>
                <w:sz w:val="21"/>
              </w:rPr>
              <w:t>2,258,000.00</w:t>
            </w:r>
          </w:p>
        </w:tc>
        <w:tc>
          <w:tcPr>
            <w:tcW w:type="dxa" w:w="2581"/>
            <w:shd w:fill="EFF5EC"/>
            <w:tcMar>
              <w:top w:w="90" w:type="dxa"/>
              <w:bottom w:w="90" w:type="dxa"/>
              <w:start w:w="80" w:type="dxa"/>
              <w:end w:w="80" w:type="dxa"/>
            </w:tcMar>
          </w:tcPr>
          <w:p>
            <w:r/>
            <w:r>
              <w:rPr>
                <w:rFonts w:ascii="NanumSquareOTF" w:hAnsi="NanumSquareOTF" w:eastAsia="NanumSquareOTF"/>
                <w:b w:val="0"/>
                <w:i w:val="0"/>
                <w:color w:val="1D1D1B"/>
                <w:sz w:val="21"/>
              </w:rPr>
              <w:t>37.40</w:t>
            </w:r>
          </w:p>
        </w:tc>
        <w:tc>
          <w:tcPr>
            <w:tcW w:type="dxa" w:w="2581"/>
            <w:shd w:fill="EFF5EC"/>
            <w:tcMar>
              <w:top w:w="90" w:type="dxa"/>
              <w:bottom w:w="90" w:type="dxa"/>
              <w:start w:w="80" w:type="dxa"/>
              <w:end w:w="80" w:type="dxa"/>
            </w:tcMar>
          </w:tcPr>
          <w:p>
            <w:r/>
            <w:r>
              <w:rPr>
                <w:rFonts w:ascii="NanumSquareOTF" w:hAnsi="NanumSquareOTF" w:eastAsia="NanumSquareOTF"/>
                <w:b w:val="0"/>
                <w:i w:val="0"/>
                <w:color w:val="1D1D1B"/>
                <w:sz w:val="21"/>
              </w:rPr>
              <w:t>13.31</w:t>
            </w:r>
          </w:p>
        </w:tc>
        <w:tc>
          <w:tcPr>
            <w:tcW w:type="dxa" w:w="2581"/>
            <w:shd w:fill="EFF5EC"/>
            <w:tcMar>
              <w:top w:w="90" w:type="dxa"/>
              <w:bottom w:w="90" w:type="dxa"/>
              <w:start w:w="80" w:type="dxa"/>
              <w:end w:w="80" w:type="dxa"/>
            </w:tcMar>
          </w:tcPr>
          <w:p>
            <w:r/>
            <w:r>
              <w:rPr>
                <w:rFonts w:ascii="NanumSquareOTF" w:hAnsi="NanumSquareOTF" w:eastAsia="NanumSquareOTF"/>
                <w:b w:val="0"/>
                <w:i w:val="0"/>
                <w:color w:val="1D1D1B"/>
                <w:sz w:val="21"/>
              </w:rPr>
              <w:t>44.14%</w:t>
            </w:r>
          </w:p>
        </w:tc>
      </w:tr>
    </w:tbl>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34"/>
              </w:rPr>
              <w:t>Financial Snapshot</w:t>
            </w:r>
          </w:p>
        </w:tc>
      </w:tr>
      <w:tr>
        <w:tc>
          <w:tcPr>
            <w:tcW w:type="dxa" w:w="10325"/>
            <w:shd w:fill="EFF5EC"/>
            <w:tcBorders>
              <w:top w:val="nil"/>
              <w:left w:val="nil"/>
              <w:bottom w:val="nil"/>
              <w:right w:val="nil"/>
              <w:insideH w:val="nil"/>
              <w:insideV w:val="nil"/>
            </w:tcBorders>
            <w:tcMar>
              <w:top w:w="120" w:type="dxa"/>
              <w:bottom w:w="120" w:type="dxa"/>
              <w:start w:w="120" w:type="dxa"/>
              <w:end w:w="120" w:type="dxa"/>
            </w:tcMar>
          </w:tcPr>
          <w:p>
            <w:pPr>
              <w:spacing w:after="0"/>
            </w:pPr>
            <w:r/>
            <w:r>
              <w:rPr>
                <w:rFonts w:ascii="NanumSquareOTF" w:hAnsi="NanumSquareOTF" w:eastAsia="NanumSquareOTF"/>
                <w:b w:val="0"/>
                <w:i w:val="0"/>
                <w:color w:val="1D1D1B"/>
                <w:sz w:val="22"/>
              </w:rPr>
              <w:t>재무 기준일은 2025-12-31이다. PER은 37.40, PBR은 13.31, ROE는 44.14% 수준이다. 시가총액은 1,606,153,942,098,115로 집계된다. 기술적 시장 국면은 추세장으로 분류된다.</w:t>
            </w:r>
          </w:p>
        </w:tc>
      </w:tr>
    </w:tbl>
    <w:p>
      <w:pPr>
        <w:spacing w:before="80"/>
      </w:pPr>
      <w:r>
        <w:rPr>
          <w:rFonts w:ascii="NanumSquareOTF" w:hAnsi="NanumSquareOTF" w:eastAsia="NanumSquareOTF"/>
          <w:b/>
          <w:i w:val="0"/>
          <w:color w:val="255A1B"/>
          <w:sz w:val="26"/>
        </w:rPr>
        <w:t>Financial Indicators</w:t>
      </w:r>
    </w:p>
    <w:tbl>
      <w:tblPr>
        <w:tblStyle w:val="TableGrid"/>
        <w:tblW w:type="auto" w:w="0"/>
        <w:jc w:val="center"/>
        <w:tblLook w:firstColumn="1" w:firstRow="1" w:lastColumn="0" w:lastRow="0" w:noHBand="0" w:noVBand="1" w:val="04A0"/>
      </w:tblPr>
      <w:tblGrid>
        <w:gridCol w:w="2581"/>
        <w:gridCol w:w="2581"/>
        <w:gridCol w:w="2581"/>
        <w:gridCol w:w="2581"/>
      </w:tblGrid>
      <w:tr>
        <w:tc>
          <w:tcPr>
            <w:tcW w:type="dxa" w:w="2581"/>
            <w:shd w:fill="111111"/>
          </w:tcPr>
          <w:p>
            <w:r/>
            <w:r>
              <w:rPr>
                <w:rFonts w:ascii="NanumSquareOTF" w:hAnsi="NanumSquareOTF" w:eastAsia="NanumSquareOTF"/>
                <w:b/>
                <w:i w:val="0"/>
                <w:color w:val="FFFFFF"/>
                <w:sz w:val="20"/>
              </w:rPr>
              <w:t>지표</w:t>
            </w:r>
          </w:p>
        </w:tc>
        <w:tc>
          <w:tcPr>
            <w:tcW w:type="dxa" w:w="2581"/>
            <w:shd w:fill="111111"/>
          </w:tcPr>
          <w:p>
            <w:r/>
            <w:r>
              <w:rPr>
                <w:rFonts w:ascii="NanumSquareOTF" w:hAnsi="NanumSquareOTF" w:eastAsia="NanumSquareOTF"/>
                <w:b/>
                <w:i w:val="0"/>
                <w:color w:val="FFFFFF"/>
                <w:sz w:val="20"/>
              </w:rPr>
              <w:t>값</w:t>
            </w:r>
          </w:p>
        </w:tc>
        <w:tc>
          <w:tcPr>
            <w:tcW w:type="dxa" w:w="2581"/>
            <w:shd w:fill="111111"/>
          </w:tcPr>
          <w:p>
            <w:r/>
            <w:r>
              <w:rPr>
                <w:rFonts w:ascii="NanumSquareOTF" w:hAnsi="NanumSquareOTF" w:eastAsia="NanumSquareOTF"/>
                <w:b/>
                <w:i w:val="0"/>
                <w:color w:val="FFFFFF"/>
                <w:sz w:val="20"/>
              </w:rPr>
              <w:t>지표</w:t>
            </w:r>
          </w:p>
        </w:tc>
        <w:tc>
          <w:tcPr>
            <w:tcW w:type="dxa" w:w="2581"/>
            <w:shd w:fill="111111"/>
          </w:tcPr>
          <w:p>
            <w:r/>
            <w:r>
              <w:rPr>
                <w:rFonts w:ascii="NanumSquareOTF" w:hAnsi="NanumSquareOTF" w:eastAsia="NanumSquareOTF"/>
                <w:b/>
                <w:i w:val="0"/>
                <w:color w:val="FFFFFF"/>
                <w:sz w:val="20"/>
              </w:rPr>
              <w:t>값</w:t>
            </w:r>
          </w:p>
        </w:tc>
      </w:tr>
      <w:tr>
        <w:tc>
          <w:tcPr>
            <w:tcW w:type="dxa" w:w="2581"/>
            <w:shd w:fill="F6F2EC"/>
          </w:tcPr>
          <w:p>
            <w:r/>
            <w:r>
              <w:rPr>
                <w:rFonts w:ascii="NanumSquareOTF" w:hAnsi="NanumSquareOTF" w:eastAsia="NanumSquareOTF"/>
                <w:b w:val="0"/>
                <w:i w:val="0"/>
                <w:sz w:val="20"/>
              </w:rPr>
              <w:t>PER</w:t>
            </w:r>
          </w:p>
        </w:tc>
        <w:tc>
          <w:tcPr>
            <w:tcW w:type="dxa" w:w="2581"/>
            <w:shd w:fill="F6F2EC"/>
          </w:tcPr>
          <w:p>
            <w:r/>
            <w:r>
              <w:rPr>
                <w:rFonts w:ascii="NanumSquareOTF" w:hAnsi="NanumSquareOTF" w:eastAsia="NanumSquareOTF"/>
                <w:b w:val="0"/>
                <w:i w:val="0"/>
                <w:sz w:val="20"/>
              </w:rPr>
              <w:t>37.40</w:t>
            </w:r>
          </w:p>
        </w:tc>
        <w:tc>
          <w:tcPr>
            <w:tcW w:type="dxa" w:w="2581"/>
            <w:shd w:fill="F6F2EC"/>
          </w:tcPr>
          <w:p>
            <w:r/>
            <w:r>
              <w:rPr>
                <w:rFonts w:ascii="NanumSquareOTF" w:hAnsi="NanumSquareOTF" w:eastAsia="NanumSquareOTF"/>
                <w:b w:val="0"/>
                <w:i w:val="0"/>
                <w:sz w:val="20"/>
              </w:rPr>
              <w:t>PBR</w:t>
            </w:r>
          </w:p>
        </w:tc>
        <w:tc>
          <w:tcPr>
            <w:tcW w:type="dxa" w:w="2581"/>
            <w:shd w:fill="F6F2EC"/>
          </w:tcPr>
          <w:p>
            <w:r/>
            <w:r>
              <w:rPr>
                <w:rFonts w:ascii="NanumSquareOTF" w:hAnsi="NanumSquareOTF" w:eastAsia="NanumSquareOTF"/>
                <w:b w:val="0"/>
                <w:i w:val="0"/>
                <w:sz w:val="20"/>
              </w:rPr>
              <w:t>13.31</w:t>
            </w:r>
          </w:p>
        </w:tc>
      </w:tr>
      <w:tr>
        <w:tc>
          <w:tcPr>
            <w:tcW w:type="dxa" w:w="2581"/>
            <w:shd w:fill="FFFFFF"/>
          </w:tcPr>
          <w:p>
            <w:r/>
            <w:r>
              <w:rPr>
                <w:rFonts w:ascii="NanumSquareOTF" w:hAnsi="NanumSquareOTF" w:eastAsia="NanumSquareOTF"/>
                <w:b w:val="0"/>
                <w:i w:val="0"/>
                <w:sz w:val="20"/>
              </w:rPr>
              <w:t>PCR</w:t>
            </w:r>
          </w:p>
        </w:tc>
        <w:tc>
          <w:tcPr>
            <w:tcW w:type="dxa" w:w="2581"/>
            <w:shd w:fill="FFFFFF"/>
          </w:tcPr>
          <w:p>
            <w:r/>
            <w:r>
              <w:rPr>
                <w:rFonts w:ascii="NanumSquareOTF" w:hAnsi="NanumSquareOTF" w:eastAsia="NanumSquareOTF"/>
                <w:b w:val="0"/>
                <w:i w:val="0"/>
                <w:sz w:val="20"/>
              </w:rPr>
              <w:t>30.09</w:t>
            </w:r>
          </w:p>
        </w:tc>
        <w:tc>
          <w:tcPr>
            <w:tcW w:type="dxa" w:w="2581"/>
            <w:shd w:fill="FFFFFF"/>
          </w:tcPr>
          <w:p>
            <w:r/>
            <w:r>
              <w:rPr>
                <w:rFonts w:ascii="NanumSquareOTF" w:hAnsi="NanumSquareOTF" w:eastAsia="NanumSquareOTF"/>
                <w:b w:val="0"/>
                <w:i w:val="0"/>
                <w:sz w:val="20"/>
              </w:rPr>
              <w:t>EV/EBITDA</w:t>
            </w:r>
          </w:p>
        </w:tc>
        <w:tc>
          <w:tcPr>
            <w:tcW w:type="dxa" w:w="2581"/>
            <w:shd w:fill="FFFFFF"/>
          </w:tcPr>
          <w:p>
            <w:r/>
            <w:r>
              <w:rPr>
                <w:rFonts w:ascii="NanumSquareOTF" w:hAnsi="NanumSquareOTF" w:eastAsia="NanumSquareOTF"/>
                <w:b w:val="0"/>
                <w:i w:val="0"/>
                <w:sz w:val="20"/>
              </w:rPr>
              <w:t>N/A</w:t>
            </w:r>
          </w:p>
        </w:tc>
      </w:tr>
      <w:tr>
        <w:tc>
          <w:tcPr>
            <w:tcW w:type="dxa" w:w="2581"/>
            <w:shd w:fill="F6F2EC"/>
          </w:tcPr>
          <w:p>
            <w:r/>
            <w:r>
              <w:rPr>
                <w:rFonts w:ascii="NanumSquareOTF" w:hAnsi="NanumSquareOTF" w:eastAsia="NanumSquareOTF"/>
                <w:b w:val="0"/>
                <w:i w:val="0"/>
                <w:sz w:val="20"/>
              </w:rPr>
              <w:t>EPS</w:t>
            </w:r>
          </w:p>
        </w:tc>
        <w:tc>
          <w:tcPr>
            <w:tcW w:type="dxa" w:w="2581"/>
            <w:shd w:fill="F6F2EC"/>
          </w:tcPr>
          <w:p>
            <w:r/>
            <w:r>
              <w:rPr>
                <w:rFonts w:ascii="NanumSquareOTF" w:hAnsi="NanumSquareOTF" w:eastAsia="NanumSquareOTF"/>
                <w:b w:val="0"/>
                <w:i w:val="0"/>
                <w:sz w:val="20"/>
              </w:rPr>
              <w:t>60,378.00</w:t>
            </w:r>
          </w:p>
        </w:tc>
        <w:tc>
          <w:tcPr>
            <w:tcW w:type="dxa" w:w="2581"/>
            <w:shd w:fill="F6F2EC"/>
          </w:tcPr>
          <w:p>
            <w:r/>
            <w:r>
              <w:rPr>
                <w:rFonts w:ascii="NanumSquareOTF" w:hAnsi="NanumSquareOTF" w:eastAsia="NanumSquareOTF"/>
                <w:b w:val="0"/>
                <w:i w:val="0"/>
                <w:sz w:val="20"/>
              </w:rPr>
              <w:t>BPS</w:t>
            </w:r>
          </w:p>
        </w:tc>
        <w:tc>
          <w:tcPr>
            <w:tcW w:type="dxa" w:w="2581"/>
            <w:shd w:fill="F6F2EC"/>
          </w:tcPr>
          <w:p>
            <w:r/>
            <w:r>
              <w:rPr>
                <w:rFonts w:ascii="NanumSquareOTF" w:hAnsi="NanumSquareOTF" w:eastAsia="NanumSquareOTF"/>
                <w:b w:val="0"/>
                <w:i w:val="0"/>
                <w:sz w:val="20"/>
              </w:rPr>
              <w:t>169,638.49</w:t>
            </w:r>
          </w:p>
        </w:tc>
      </w:tr>
      <w:tr>
        <w:tc>
          <w:tcPr>
            <w:tcW w:type="dxa" w:w="2581"/>
            <w:shd w:fill="FFFFFF"/>
          </w:tcPr>
          <w:p>
            <w:r/>
            <w:r>
              <w:rPr>
                <w:rFonts w:ascii="NanumSquareOTF" w:hAnsi="NanumSquareOTF" w:eastAsia="NanumSquareOTF"/>
                <w:b w:val="0"/>
                <w:i w:val="0"/>
                <w:sz w:val="20"/>
              </w:rPr>
              <w:t>EBITDA</w:t>
            </w:r>
          </w:p>
        </w:tc>
        <w:tc>
          <w:tcPr>
            <w:tcW w:type="dxa" w:w="2581"/>
            <w:shd w:fill="FFFFFF"/>
          </w:tcPr>
          <w:p>
            <w:r/>
            <w:r>
              <w:rPr>
                <w:rFonts w:ascii="NanumSquareOTF" w:hAnsi="NanumSquareOTF" w:eastAsia="NanumSquareOTF"/>
                <w:b w:val="0"/>
                <w:i w:val="0"/>
                <w:sz w:val="20"/>
              </w:rPr>
              <w:t>N/A</w:t>
            </w:r>
          </w:p>
        </w:tc>
        <w:tc>
          <w:tcPr>
            <w:tcW w:type="dxa" w:w="2581"/>
            <w:shd w:fill="FFFFFF"/>
          </w:tcPr>
          <w:p>
            <w:r/>
            <w:r>
              <w:rPr>
                <w:rFonts w:ascii="NanumSquareOTF" w:hAnsi="NanumSquareOTF" w:eastAsia="NanumSquareOTF"/>
                <w:b w:val="0"/>
                <w:i w:val="0"/>
                <w:sz w:val="20"/>
              </w:rPr>
              <w:t>CashDPS</w:t>
            </w:r>
          </w:p>
        </w:tc>
        <w:tc>
          <w:tcPr>
            <w:tcW w:type="dxa" w:w="2581"/>
            <w:shd w:fill="FFFFFF"/>
          </w:tcPr>
          <w:p>
            <w:r/>
            <w:r>
              <w:rPr>
                <w:rFonts w:ascii="NanumSquareOTF" w:hAnsi="NanumSquareOTF" w:eastAsia="NanumSquareOTF"/>
                <w:b w:val="0"/>
                <w:i w:val="0"/>
                <w:sz w:val="20"/>
              </w:rPr>
              <w:t>2,363.46</w:t>
            </w:r>
          </w:p>
        </w:tc>
      </w:tr>
      <w:tr>
        <w:tc>
          <w:tcPr>
            <w:tcW w:type="dxa" w:w="2581"/>
            <w:shd w:fill="F6F2EC"/>
          </w:tcPr>
          <w:p>
            <w:r/>
            <w:r>
              <w:rPr>
                <w:rFonts w:ascii="NanumSquareOTF" w:hAnsi="NanumSquareOTF" w:eastAsia="NanumSquareOTF"/>
                <w:b w:val="0"/>
                <w:i w:val="0"/>
                <w:sz w:val="20"/>
              </w:rPr>
              <w:t>Cash Dividend Yield</w:t>
            </w:r>
          </w:p>
        </w:tc>
        <w:tc>
          <w:tcPr>
            <w:tcW w:type="dxa" w:w="2581"/>
            <w:shd w:fill="F6F2EC"/>
          </w:tcPr>
          <w:p>
            <w:r/>
            <w:r>
              <w:rPr>
                <w:rFonts w:ascii="NanumSquareOTF" w:hAnsi="NanumSquareOTF" w:eastAsia="NanumSquareOTF"/>
                <w:b w:val="0"/>
                <w:i w:val="0"/>
                <w:sz w:val="20"/>
              </w:rPr>
              <w:t>0.10%</w:t>
            </w:r>
          </w:p>
        </w:tc>
        <w:tc>
          <w:tcPr>
            <w:tcW w:type="dxa" w:w="2581"/>
            <w:shd w:fill="F6F2EC"/>
          </w:tcPr>
          <w:p>
            <w:r/>
            <w:r>
              <w:rPr>
                <w:rFonts w:ascii="NanumSquareOTF" w:hAnsi="NanumSquareOTF" w:eastAsia="NanumSquareOTF"/>
                <w:b w:val="0"/>
                <w:i w:val="0"/>
                <w:sz w:val="20"/>
              </w:rPr>
              <w:t>ROE</w:t>
            </w:r>
          </w:p>
        </w:tc>
        <w:tc>
          <w:tcPr>
            <w:tcW w:type="dxa" w:w="2581"/>
            <w:shd w:fill="F6F2EC"/>
          </w:tcPr>
          <w:p>
            <w:r/>
            <w:r>
              <w:rPr>
                <w:rFonts w:ascii="NanumSquareOTF" w:hAnsi="NanumSquareOTF" w:eastAsia="NanumSquareOTF"/>
                <w:b w:val="0"/>
                <w:i w:val="0"/>
                <w:sz w:val="20"/>
              </w:rPr>
              <w:t>44.14%</w:t>
            </w:r>
          </w:p>
        </w:tc>
      </w:tr>
      <w:tr>
        <w:tc>
          <w:tcPr>
            <w:tcW w:type="dxa" w:w="2581"/>
            <w:shd w:fill="FFFFFF"/>
          </w:tcPr>
          <w:p>
            <w:r/>
            <w:r>
              <w:rPr>
                <w:rFonts w:ascii="NanumSquareOTF" w:hAnsi="NanumSquareOTF" w:eastAsia="NanumSquareOTF"/>
                <w:b w:val="0"/>
                <w:i w:val="0"/>
                <w:sz w:val="20"/>
              </w:rPr>
              <w:t>부채비율</w:t>
            </w:r>
          </w:p>
        </w:tc>
        <w:tc>
          <w:tcPr>
            <w:tcW w:type="dxa" w:w="2581"/>
            <w:shd w:fill="FFFFFF"/>
          </w:tcPr>
          <w:p>
            <w:r/>
            <w:r>
              <w:rPr>
                <w:rFonts w:ascii="NanumSquareOTF" w:hAnsi="NanumSquareOTF" w:eastAsia="NanumSquareOTF"/>
                <w:b w:val="0"/>
                <w:i w:val="0"/>
                <w:sz w:val="20"/>
              </w:rPr>
              <w:t>45.9450</w:t>
            </w:r>
          </w:p>
        </w:tc>
        <w:tc>
          <w:tcPr>
            <w:tcW w:type="dxa" w:w="2581"/>
            <w:shd w:fill="FFFFFF"/>
          </w:tcPr>
          <w:p>
            <w:r/>
            <w:r>
              <w:rPr>
                <w:rFonts w:ascii="NanumSquareOTF" w:hAnsi="NanumSquareOTF" w:eastAsia="NanumSquareOTF"/>
                <w:b w:val="0"/>
                <w:i w:val="0"/>
                <w:sz w:val="20"/>
              </w:rPr>
              <w:t>유동비율</w:t>
            </w:r>
          </w:p>
        </w:tc>
        <w:tc>
          <w:tcPr>
            <w:tcW w:type="dxa" w:w="2581"/>
            <w:shd w:fill="FFFFFF"/>
          </w:tcPr>
          <w:p>
            <w:r/>
            <w:r>
              <w:rPr>
                <w:rFonts w:ascii="NanumSquareOTF" w:hAnsi="NanumSquareOTF" w:eastAsia="NanumSquareOTF"/>
                <w:b w:val="0"/>
                <w:i w:val="0"/>
                <w:sz w:val="20"/>
              </w:rPr>
              <w:t>185.8210</w:t>
            </w:r>
          </w:p>
        </w:tc>
      </w:tr>
      <w:tr>
        <w:tc>
          <w:tcPr>
            <w:tcW w:type="dxa" w:w="2581"/>
            <w:shd w:fill="F6F2EC"/>
          </w:tcPr>
          <w:p>
            <w:r/>
            <w:r>
              <w:rPr>
                <w:rFonts w:ascii="NanumSquareOTF" w:hAnsi="NanumSquareOTF" w:eastAsia="NanumSquareOTF"/>
                <w:b w:val="0"/>
                <w:i w:val="0"/>
                <w:sz w:val="20"/>
              </w:rPr>
              <w:t>영업이익률</w:t>
            </w:r>
          </w:p>
        </w:tc>
        <w:tc>
          <w:tcPr>
            <w:tcW w:type="dxa" w:w="2581"/>
            <w:shd w:fill="F6F2EC"/>
          </w:tcPr>
          <w:p>
            <w:r/>
            <w:r>
              <w:rPr>
                <w:rFonts w:ascii="NanumSquareOTF" w:hAnsi="NanumSquareOTF" w:eastAsia="NanumSquareOTF"/>
                <w:b w:val="0"/>
                <w:i w:val="0"/>
                <w:sz w:val="20"/>
              </w:rPr>
              <w:t>48.59%</w:t>
            </w:r>
          </w:p>
        </w:tc>
        <w:tc>
          <w:tcPr>
            <w:tcW w:type="dxa" w:w="2581"/>
            <w:shd w:fill="F6F2EC"/>
          </w:tcPr>
          <w:p>
            <w:r/>
            <w:r>
              <w:rPr>
                <w:rFonts w:ascii="NanumSquareOTF" w:hAnsi="NanumSquareOTF" w:eastAsia="NanumSquareOTF"/>
                <w:b w:val="0"/>
                <w:i w:val="0"/>
                <w:sz w:val="20"/>
              </w:rPr>
              <w:t>순이익률</w:t>
            </w:r>
          </w:p>
        </w:tc>
        <w:tc>
          <w:tcPr>
            <w:tcW w:type="dxa" w:w="2581"/>
            <w:shd w:fill="F6F2EC"/>
          </w:tcPr>
          <w:p>
            <w:r/>
            <w:r>
              <w:rPr>
                <w:rFonts w:ascii="NanumSquareOTF" w:hAnsi="NanumSquareOTF" w:eastAsia="NanumSquareOTF"/>
                <w:b w:val="0"/>
                <w:i w:val="0"/>
                <w:sz w:val="20"/>
              </w:rPr>
              <w:t>44.21%</w:t>
            </w:r>
          </w:p>
        </w:tc>
      </w:tr>
      <w:tr>
        <w:tc>
          <w:tcPr>
            <w:tcW w:type="dxa" w:w="2581"/>
            <w:shd w:fill="FFFFFF"/>
          </w:tcPr>
          <w:p>
            <w:r/>
            <w:r>
              <w:rPr>
                <w:rFonts w:ascii="NanumSquareOTF" w:hAnsi="NanumSquareOTF" w:eastAsia="NanumSquareOTF"/>
                <w:b w:val="0"/>
                <w:i w:val="0"/>
                <w:sz w:val="20"/>
              </w:rPr>
              <w:t>시가총액</w:t>
            </w:r>
          </w:p>
        </w:tc>
        <w:tc>
          <w:tcPr>
            <w:tcW w:type="dxa" w:w="2581"/>
            <w:shd w:fill="FFFFFF"/>
          </w:tcPr>
          <w:p>
            <w:r/>
            <w:r>
              <w:rPr>
                <w:rFonts w:ascii="NanumSquareOTF" w:hAnsi="NanumSquareOTF" w:eastAsia="NanumSquareOTF"/>
                <w:b w:val="0"/>
                <w:i w:val="0"/>
                <w:sz w:val="20"/>
              </w:rPr>
              <w:t>1,606,153,942,098,115</w:t>
            </w:r>
          </w:p>
        </w:tc>
        <w:tc>
          <w:tcPr>
            <w:tcW w:type="dxa" w:w="2581"/>
            <w:shd w:fill="FFFFFF"/>
          </w:tcPr>
          <w:p>
            <w:r/>
            <w:r>
              <w:rPr>
                <w:rFonts w:ascii="NanumSquareOTF" w:hAnsi="NanumSquareOTF" w:eastAsia="NanumSquareOTF"/>
                <w:b w:val="0"/>
                <w:i w:val="0"/>
                <w:sz w:val="20"/>
              </w:rPr>
              <w:t>기업가치(EV)</w:t>
            </w:r>
          </w:p>
        </w:tc>
        <w:tc>
          <w:tcPr>
            <w:tcW w:type="dxa" w:w="2581"/>
            <w:shd w:fill="FFFFFF"/>
          </w:tcPr>
          <w:p>
            <w:r/>
            <w:r>
              <w:rPr>
                <w:rFonts w:ascii="NanumSquareOTF" w:hAnsi="NanumSquareOTF" w:eastAsia="NanumSquareOTF"/>
                <w:b w:val="0"/>
                <w:i w:val="0"/>
                <w:sz w:val="20"/>
              </w:rPr>
              <w:t>1,599,391,933,098,115</w:t>
            </w:r>
          </w:p>
        </w:tc>
      </w:tr>
      <w:tr>
        <w:tc>
          <w:tcPr>
            <w:tcW w:type="dxa" w:w="2581"/>
            <w:shd w:fill="F6F2EC"/>
          </w:tcPr>
          <w:p>
            <w:r/>
            <w:r>
              <w:rPr>
                <w:rFonts w:ascii="NanumSquareOTF" w:hAnsi="NanumSquareOTF" w:eastAsia="NanumSquareOTF"/>
                <w:b w:val="0"/>
                <w:i w:val="0"/>
                <w:sz w:val="20"/>
              </w:rPr>
              <w:t>발행주식수</w:t>
            </w:r>
          </w:p>
        </w:tc>
        <w:tc>
          <w:tcPr>
            <w:tcW w:type="dxa" w:w="2581"/>
            <w:shd w:fill="F6F2EC"/>
          </w:tcPr>
          <w:p>
            <w:r/>
            <w:r>
              <w:rPr>
                <w:rFonts w:ascii="NanumSquareOTF" w:hAnsi="NanumSquareOTF" w:eastAsia="NanumSquareOTF"/>
                <w:b w:val="0"/>
                <w:i w:val="0"/>
                <w:sz w:val="20"/>
              </w:rPr>
              <w:t>711,317,069</w:t>
            </w:r>
          </w:p>
        </w:tc>
        <w:tc>
          <w:tcPr>
            <w:tcW w:type="dxa" w:w="2581"/>
            <w:shd w:fill="F6F2EC"/>
          </w:tcPr>
          <w:p>
            <w:r/>
            <w:r>
              <w:rPr>
                <w:rFonts w:ascii="NanumSquareOTF" w:hAnsi="NanumSquareOTF" w:eastAsia="NanumSquareOTF"/>
                <w:b w:val="0"/>
                <w:i w:val="0"/>
                <w:sz w:val="20"/>
              </w:rPr>
            </w:r>
          </w:p>
        </w:tc>
        <w:tc>
          <w:tcPr>
            <w:tcW w:type="dxa" w:w="2581"/>
            <w:shd w:fill="F6F2EC"/>
          </w:tcPr>
          <w:p>
            <w:r/>
            <w:r>
              <w:rPr>
                <w:rFonts w:ascii="NanumSquareOTF" w:hAnsi="NanumSquareOTF" w:eastAsia="NanumSquareOTF"/>
                <w:b w:val="0"/>
                <w:i w:val="0"/>
                <w:sz w:val="20"/>
              </w:rPr>
            </w:r>
          </w:p>
        </w:tc>
      </w:tr>
    </w:tbl>
    <w:p>
      <w:r>
        <w:rPr>
          <w:rFonts w:ascii="NanumSquareOTF" w:hAnsi="NanumSquareOTF" w:eastAsia="NanumSquareOTF"/>
          <w:b w:val="0"/>
          <w:i/>
          <w:color w:val="6E6E6E"/>
          <w:sz w:val="18"/>
        </w:rPr>
        <w:t>재무 기준일: 2025-12-31 | 출처: OpenDART</w:t>
      </w:r>
    </w:p>
    <w:sectPr w:rsidR="00FC693F" w:rsidRPr="0006063C" w:rsidSect="00034616">
      <w:headerReference w:type="default" r:id="rId9"/>
      <w:pgSz w:w="11909" w:h="16834"/>
      <w:pgMar w:top="648" w:right="792" w:bottom="720" w:left="792" w:header="317"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ayout w:type="fixed"/>
      <w:tblLook w:firstColumn="1" w:firstRow="1" w:lastColumn="0" w:lastRow="0" w:noHBand="0" w:noVBand="1" w:val="04A0"/>
    </w:tblPr>
    <w:tblGrid>
      <w:gridCol w:w="7776"/>
      <w:gridCol w:w="2592"/>
    </w:tblGrid>
    <w:tr>
      <w:tc>
        <w:tcPr>
          <w:tcW w:type="dxa" w:w="5162"/>
          <w:tcBorders>
            <w:top w:val="nil"/>
            <w:left w:val="nil"/>
            <w:bottom w:val="single" w:sz="12" w:color="1E7032"/>
            <w:right w:val="nil"/>
            <w:insideH w:val="nil"/>
            <w:insideV w:val="nil"/>
          </w:tcBorders>
          <w:tcMar>
            <w:top w:w="0" w:type="dxa"/>
            <w:bottom w:w="40" w:type="dxa"/>
            <w:start w:w="0" w:type="dxa"/>
            <w:end w:w="0" w:type="dxa"/>
          </w:tcMar>
        </w:tcPr>
        <w:p>
          <w:r/>
          <w:r>
            <w:rPr>
              <w:rFonts w:ascii="NanumSquareOTF" w:hAnsi="NanumSquareOTF" w:eastAsia="NanumSquareOTF"/>
              <w:b w:val="0"/>
              <w:i w:val="0"/>
              <w:color w:val="1D1D1B"/>
              <w:sz w:val="22"/>
            </w:rPr>
            <w:t>Research | 2026.05.27</w:t>
          </w:r>
        </w:p>
      </w:tc>
      <w:tc>
        <w:tcPr>
          <w:tcW w:type="dxa" w:w="5162"/>
          <w:tcBorders>
            <w:top w:val="nil"/>
            <w:left w:val="nil"/>
            <w:bottom w:val="single" w:sz="12" w:color="1E7032"/>
            <w:right w:val="nil"/>
            <w:insideH w:val="nil"/>
            <w:insideV w:val="nil"/>
          </w:tcBorders>
          <w:tcMar>
            <w:top w:w="0" w:type="dxa"/>
            <w:bottom w:w="40" w:type="dxa"/>
            <w:start w:w="0" w:type="dxa"/>
            <w:end w:w="0" w:type="dxa"/>
          </w:tcMar>
        </w:tcPr>
        <w:p>
          <w:pPr>
            <w:jc w:val="right"/>
          </w:pPr>
          <w:r/>
          <w:r>
            <w:rPr>
              <w:rFonts w:ascii="NanumSquareOTF" w:hAnsi="NanumSquareOTF" w:eastAsia="NanumSquareOTF"/>
              <w:b/>
              <w:i w:val="0"/>
              <w:color w:val="1E7032"/>
              <w:sz w:val="34"/>
            </w:rPr>
            <w:t>HAF</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SquareOTF" w:hAnsi="NanumSquareOTF" w:eastAsia="NanumSquareOT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