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325"/>
      </w:tblGrid>
      <w:tr>
        <w:tc>
          <w:tcPr>
            <w:tcW w:type="dxa" w:w="10325"/>
            <w:tcBorders>
              <w:top w:val="nil"/>
              <w:left w:val="nil"/>
              <w:bottom w:sz="12" w:color="1E7032" w:val="single"/>
              <w:right w:val="nil"/>
              <w:insideH w:val="nil"/>
              <w:insideV w:val="nil"/>
            </w:tcBorders>
            <w:tcMar>
              <w:top w:w="0" w:type="dxa"/>
              <w:bottom w:w="0" w:type="dxa"/>
              <w:start w:w="0" w:type="dxa"/>
              <w:end w:w="0" w:type="dxa"/>
            </w:tcMar>
          </w:tcPr>
          <w:p>
            <w:r/>
            <w:r>
              <w:rPr>
                <w:b w:val="0"/>
                <w:i w:val="0"/>
                <w:sz w:val="2"/>
              </w:rPr>
            </w:r>
          </w:p>
        </w:tc>
      </w:tr>
    </w:tbl>
    <w:p>
      <w:pPr>
        <w:spacing w:after="120"/>
      </w:pPr>
      <w:r>
        <w:rPr>
          <w:rFonts w:ascii="NanumSquareOTF" w:hAnsi="NanumSquareOTF" w:eastAsia="NanumSquareOTF"/>
          <w:b/>
          <w:i w:val="0"/>
          <w:color w:val="1D1D1B"/>
          <w:sz w:val="44"/>
        </w:rPr>
        <w:t>반도체 투톱(삼성전자·SK하이닉스) 나란히 신고가: 주가 거품인가, 저평가인가</w:t>
      </w:r>
    </w:p>
    <w:tbl>
      <w:tblPr>
        <w:tblW w:type="auto" w:w="0"/>
        <w:jc w:val="center"/>
        <w:tblLayout w:type="fixed"/>
        <w:tblLook w:firstColumn="1" w:firstRow="1" w:lastColumn="0" w:lastRow="0" w:noHBand="0" w:noVBand="1" w:val="04A0"/>
      </w:tblPr>
      <w:tblGrid>
        <w:gridCol w:w="8352"/>
        <w:gridCol w:w="2880"/>
      </w:tblGrid>
      <w:tr>
        <w:tc>
          <w:tcPr>
            <w:tcW w:type="dxa" w:w="5162"/>
            <w:shd w:fill="1E7032"/>
            <w:tcBorders>
              <w:top w:val="nil"/>
              <w:left w:val="nil"/>
              <w:bottom w:val="nil"/>
              <w:right w:val="nil"/>
              <w:insideH w:val="nil"/>
              <w:insideV w:val="nil"/>
            </w:tcBorders>
            <w:tcMar>
              <w:top w:w="0" w:type="dxa"/>
              <w:bottom w:w="0" w:type="dxa"/>
              <w:start w:w="0" w:type="dxa"/>
              <w:end w:w="0" w:type="dxa"/>
            </w:tcMar>
          </w:tcPr>
          <w:p>
            <w:r/>
            <w:r>
              <w:rPr>
                <w:b w:val="0"/>
                <w:i w:val="0"/>
                <w:sz w:val="2"/>
              </w:rPr>
            </w:r>
          </w:p>
        </w:tc>
        <w:tc>
          <w:tcPr>
            <w:tcW w:type="dxa" w:w="5162"/>
            <w:shd w:fill="E1D601"/>
            <w:tcBorders>
              <w:top w:val="nil"/>
              <w:left w:val="nil"/>
              <w:bottom w:val="nil"/>
              <w:right w:val="nil"/>
              <w:insideH w:val="nil"/>
              <w:insideV w:val="nil"/>
            </w:tcBorders>
            <w:tcMar>
              <w:top w:w="0" w:type="dxa"/>
              <w:bottom w:w="0" w:type="dxa"/>
              <w:start w:w="0" w:type="dxa"/>
              <w:end w:w="0" w:type="dxa"/>
            </w:tcMar>
          </w:tcPr>
          <w:p>
            <w:r/>
            <w:r>
              <w:rPr>
                <w:b w:val="0"/>
                <w:i w:val="0"/>
                <w:sz w:val="2"/>
              </w:rPr>
            </w:r>
          </w:p>
        </w:tc>
      </w:tr>
    </w:tbl>
    <w:tbl>
      <w:tblPr>
        <w:tblW w:type="auto" w:w="0"/>
        <w:jc w:val="center"/>
        <w:tblLook w:firstColumn="1" w:firstRow="1" w:lastColumn="0" w:lastRow="0" w:noHBand="0" w:noVBand="1" w:val="04A0"/>
      </w:tblPr>
      <w:tblGrid>
        <w:gridCol w:w="10325"/>
      </w:tblGrid>
      <w:tr>
        <w:tc>
          <w:tcPr>
            <w:tcW w:type="dxa" w:w="10325"/>
            <w:shd w:fill="EFF5EC"/>
            <w:tcBorders>
              <w:top w:val="nil"/>
              <w:left w:val="nil"/>
              <w:bottom w:val="nil"/>
              <w:right w:val="nil"/>
              <w:insideH w:val="nil"/>
              <w:insideV w:val="nil"/>
            </w:tcBorders>
            <w:tcMar>
              <w:top w:w="180" w:type="dxa"/>
              <w:bottom w:w="180" w:type="dxa"/>
              <w:start w:w="220" w:type="dxa"/>
              <w:end w:w="220" w:type="dxa"/>
            </w:tcMar>
          </w:tcPr>
          <w:p>
            <w:r/>
            <w:r>
              <w:rPr>
                <w:rFonts w:ascii="NanumSquareOTF" w:hAnsi="NanumSquareOTF" w:eastAsia="NanumSquareOTF"/>
                <w:b/>
                <w:i w:val="0"/>
                <w:color w:val="255A1B"/>
                <w:sz w:val="36"/>
              </w:rPr>
              <w:t>메모리 수요 회복·장기계약 기대와 기관·ETF 수급이 이끄는 재평가 국면 — 모멘텀은 강하지만 밸류에이션은 촉각 필요</w:t>
            </w:r>
          </w:p>
        </w:tc>
      </w:tr>
    </w:tbl>
    <w:tbl>
      <w:tblPr>
        <w:tblW w:type="auto" w:w="0"/>
        <w:jc w:val="center"/>
        <w:tblLayout w:type="fixed"/>
        <w:tblLook w:firstColumn="1" w:firstRow="1" w:lastColumn="0" w:lastRow="0" w:noHBand="0" w:noVBand="1" w:val="04A0"/>
      </w:tblPr>
      <w:tblGrid>
        <w:gridCol w:w="1475"/>
        <w:gridCol w:w="1475"/>
        <w:gridCol w:w="1475"/>
        <w:gridCol w:w="1475"/>
        <w:gridCol w:w="1475"/>
        <w:gridCol w:w="1475"/>
        <w:gridCol w:w="1475"/>
      </w:tblGrid>
      <w:tr>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종목명</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티커</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시장</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의견</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점수</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신뢰도</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위험도</w:t>
            </w:r>
          </w:p>
        </w:tc>
      </w:tr>
      <w:tr>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삼성전자</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005930</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KOSPI</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강력 매수</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11.00</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0.95</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보통</w:t>
            </w:r>
          </w:p>
        </w:tc>
      </w:tr>
      <w:tr>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SK하이닉스</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000660</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KOSPI</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강력 매수</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13.00</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0.95</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높음</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Summary</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최근 삼성전자와 SK하이닉스가 장중 52주 신고가를 경신하며 코스피 상승을 주도했다는 보도는 메모리 업황 개선(수요·수출 회복)과 다년 장기계약 전환 기대, 그리고 기관·ETF의 집중적인 순매수가 결합된 결과로 해석된다. 기술적 신호는 두 종목 모두 강한 상승 국면을 지지하나 재무지표로 보면 이미 반영된 기대가 상당해 밸류에이션의 고착 가능성도 존재한다. 단기적 모멘텀을 활용한 전략적 접근은 유효하나, 구조적 실적 개선(특히 다년 계약으로 확인되는 수주·매출 안정) 여부가 확인되기 전까지는 밸류에이션 리레이팅의 지속 가능성을 면밀히 점검해야 한다. 최종적으로 우리는 제공된 정량·정성 정보를 종합해 두 종목을 ‘강력 매수’로 유지하되, 리스크 관리 포인트를 명확히 제시한다.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INDUSTRY</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현 국면의 핵심 판단은 간단하다. 메모리 업황의 체감 개선과 기관·ETF 수급이 결합하며 주가와 투자심리가 선행적으로 재평가되고 있다는 점은 분명한 호재다. 기술적 지표는 두 기업 모두 중·단기 상승추세를 뒷받침하고 있어 추가 상승 여력이 존재한다. 그러나 재무·밸류에이션 지표는 이미 높은 수익 기대를 반영하고 있어, 업황 재악화 또는 기대치 미달 시 주가 조정 위험도 상존한다. 따라서 투자 판단은 ‘모멘텀을 타되, 구조적 실적 개선(다년 계약의 실질적 전환·지속성) 확인 시 포지션 확대’라는 규칙으로 귀결된다. 기사에서 강조된 두 가지 구조적 변화—메모리 수요 급증과 공급자·수요자 간 계약 구조의 다년화 전환—은 업황 사이클의 성격을 단순한 재고 회복을 넘어 상향 재구조화 가능성으로 바꿔놓는다. 이때 중요한 점은 기대가 ‘일시적 수요 급증’인지, 아니면 ‘장기 수요 패턴의 변화(다년 계약)’인지 구분되는 것이다. 현재 관찰되는 기관·ETF 중심의 수급과 증권사 상향 목표(기사에서 언급된 최고 목표인 삼성 55만원, SK하이닉스 380만원 포함)는 시장이 후자를 어느 정도 선반영했음을 시사한다. 그러나 제공된 데이터에는 장기 계약이 실제 매출로 전환되는 구체적 수치가 없어, 업계 구조 변화의 지속성은 아직 확인단계에 머문다. 따라서 산업 해석은 기대치 재평가(expectation-driven)와 실적의 점진적 확인이라는 이중 단계로 정리할 수밖에 없다.</w:t>
            </w:r>
          </w:p>
        </w:tc>
      </w:tr>
    </w:tbl>
    <w:p>
      <w:pPr>
        <w:pageBreakBefore/>
        <w:spacing w:before="0" w:after="0"/>
      </w:pPr>
    </w:p>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Conclusion</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종합하면, 현재의 신고가 랠리는 메모리 업황 개선과 기관·ETF 수급, 그리고 다년 계약 전환 기대가 합쳐진 기대-driven 랠리로 해석된다. 기술적 모멘텀은 두 종목 모두 강한 상승을 지지하지만, 재무·밸류에이션 지표는 이미 높은 기대를 반영하고 있어 실적의 실체적 확인이 뒤따르지 않으면 조정 위험이 상존한다. 제공된 정량·정성 정보를 기준으로 우리의 투자의견은 삼성전자와 SK하이닉스 모두 ‘강력 매수’다. 다만 투자자들은 (1) 다년 계약의 실질적 매출·수주 전환 여부, (2) 메모리 수요의 지속성, (3) 밸류에이션 민감도(특히 PER·PBR 수준)를 면밀히 모니터링해야 한다. 기술적 과열 신호(특히 SK하이닉스의 높은 RSI·ATR)는 포지션 규모와 리스크 관리의 우선순위를 높일 근거가 된다. 기대가 실적으로 확인되는 구간에서 포지션을 점진적으로 확대하는 방식이 현 시점의 가장 합리적 접근이라고 판단한다.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Key Factors</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삼성전자: 강력 매수 / score 11.00 / confidence 0.95</w:t>
              <w:br/>
              <w:t>SK하이닉스: 강력 매수 / score 13.00 / confidence 0.95</w:t>
              <w:br/>
              <w:t>공통 리스크: 투자 판단의 핵심 리스크는 다음과 같다. 첫째, 반도체 업황의 본질적 사이클성으로 인한 하향 리스크다. 수요 회복이 일시적이거나 공급 과잉으로 전환될 경우 주가가 빠르게 하방 재조정될 수 있다. 둘째, 글로벌 경기·IT 수요의 둔화 또는 지정학적·무역 규제로 인한 공급망 충격은 실적과 밸류에이션에 직격탄이 될 수 있다. 셋째, 현재 높은 PER·PBR 수준은 ‘기대의 집약’으로 해석되며, 실적이 이 기대를 밑돌 경우 조정 폭이 확대될 가능성이 있다. 넷째, SK하이닉스는 레버리지(제공된 지표상 상대적으로 높은 부채비율 45.9%)와 높은 변동성으로 인해 상승 시 이익은 크지만 하방 리스크 또한 크다. 마지막으로 제공 자료는 향후 가이던스·컨센서스가 없어 근거 없는 낙관이 시장 가격에 선반영되었을 가능성을 배제할 수 없다.</w:t>
            </w:r>
          </w:p>
        </w:tc>
      </w:tr>
    </w:tbl>
    <w:p>
      <w:pPr>
        <w:pageBreakBefore/>
        <w:spacing w:before="0" w:after="0"/>
      </w:pPr>
    </w:p>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Financial / Valuation</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제공된 재무지표를 기준으로 한 해석은 다음과 같다. PER(삼성 46.3배, SK하이닉스 37.1배)은 통상적 과거 평균 대비 고평가 신호로 받아들여질 수 있다(단, 동 산업 내 비교·역사적 평균 데이터는 제공되지 않아 해석은 제한적). SK하이닉스의 높은 ROE(44.1%)와 영업이익률(48.6%)은 현재 주가가 실적 회복 가정을 크게 반영하고 있음을 시사한다. 삼성전자는 PBR 4.80와 낮지 않은 ROE(10.8%)로 대형주 안정성·배당(현금배당률 약 0.47%)을 제공하나, EPS 대비 PER 수준은 성장 기대가 이미 상당히 반영된 상태다. 배당수익률은 삼성(약 0.47%)이 SK하이닉스(약 0.11%)보다 높아 현금환원 측면에서 삼성의 상대적 매력이 존재한다. 한계도 분명하다. 제공된 데이터는 과거(연결사업보고서 기준) 지표로, 향후 전망치(컨센서스 EPS, 매출 성장률, CAPEX 계획 등)는 포함되어 있지 않다. 따라서 현재 밸류에이션의 적정성을 최종 판단하려면 향후 실적 추정치와 계약 전환의 실물화 여부가 필요하다. 요지는 밸류에이션은 이미 강한 상승을 반영하고 있어 실적 확인이 없는 추가 상승은 리스크를 동반할 가능성이 높다는 점이다.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Technical / Momentum</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기술적 지표는 두 기업 모두 강한 추세 신호를 보내고 있다. 삼성전자는 SMA20(268,800) &gt; SMA50(226,941), 종가(306,000)가 EMA20 위에 위치하며 ADX 35.6, RSI 69 등 추세와 모멘텀이 일치한다. OBV와 거래량 평균 관계에서도 수급 우위가 관찰되어 단기·중기 관점의 상승 지속 가능성을 시사한다. SK하이닉스는 보다 강한 기술적 과열 신호가 뚜렷하다. SMA20(1,727,250) &gt; SMA50(1,302,200), RSI 79.6, ADX 47.7, 최근 3·5일 수익률이 각각 15.62%·28.54%로 급등한 가운데 거래량과 OBV가 모두 평균대비 상승해 모멘텀이 강하다. 다만 과열(특히 RSI·스톡캐스틱) 신호와 높은 ATR은 변동성 확대 가능성을 의미하므로 매매 타이밍과 리스크 관리가 중요하다. 기술적 관점의 투자시사점은 명확하다. 모멘텀 기반의 추가 상승 가능성은 높으나 SK하이닉스는 과열에 따른 급락 리스크가 상대적으로 크다. 삼성전자는 기술적 안정성이 상대적으로 높아 모멘텀을 추종하는 투자자에게 더 우호적인 구조로 보인다.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Risk Factors</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투자 판단의 핵심 리스크는 다음과 같다. 첫째, 반도체 업황의 본질적 사이클성으로 인한 하향 리스크다. 수요 회복이 일시적이거나 공급 과잉으로 전환될 경우 주가가 빠르게 하방 재조정될 수 있다. 둘째, 글로벌 경기·IT 수요의 둔화 또는 지정학적·무역 규제로 인한 공급망 충격은 실적과 밸류에이션에 직격탄이 될 수 있다. 셋째, 현재 높은 PER·PBR 수준은 ‘기대의 집약’으로 해석되며, 실적이 이 기대를 밑돌 경우 조정 폭이 확대될 가능성이 있다. 넷째, SK하이닉스는 레버리지(제공된 지표상 상대적으로 높은 부채비율 45.9%)와 높은 변동성으로 인해 상승 시 이익은 크지만 하방 리스크 또한 크다. 마지막으로 제공 자료는 향후 가이던스·컨센서스가 없어 근거 없는 낙관이 시장 가격에 선반영되었을 가능성을 배제할 수 없다.</w:t>
            </w:r>
          </w:p>
        </w:tc>
      </w:tr>
    </w:tbl>
    <w:p>
      <w:pPr>
        <w:pageBreakBefore/>
        <w:spacing w:before="0" w:after="0"/>
      </w:pPr>
    </w:p>
    <w:tbl>
      <w:tblPr>
        <w:tblW w:type="auto" w:w="0"/>
        <w:jc w:val="center"/>
        <w:tblLayout w:type="fixed"/>
        <w:tblLook w:firstColumn="1" w:firstRow="1" w:lastColumn="0" w:lastRow="0" w:noHBand="0" w:noVBand="1" w:val="04A0"/>
      </w:tblPr>
      <w:tblGrid>
        <w:gridCol w:w="3312"/>
        <w:gridCol w:w="6912"/>
      </w:tblGrid>
      <w:tr>
        <w:tc>
          <w:tcPr>
            <w:tcW w:type="dxa" w:w="5162"/>
            <w:shd w:fill="1E7032"/>
            <w:tcBorders>
              <w:top w:val="nil"/>
              <w:left w:val="nil"/>
              <w:bottom w:val="nil"/>
              <w:right w:val="nil"/>
              <w:insideH w:val="nil"/>
              <w:insideV w:val="nil"/>
            </w:tcBorders>
            <w:tcMar>
              <w:top w:w="160" w:type="dxa"/>
              <w:bottom w:w="180" w:type="dxa"/>
              <w:start w:w="160" w:type="dxa"/>
              <w:end w:w="160" w:type="dxa"/>
            </w:tcMar>
            <w:vAlign w:val="top"/>
          </w:tcPr>
          <w:p>
            <w:r>
              <w:rPr>
                <w:rFonts w:ascii="NanumSquareOTF" w:hAnsi="NanumSquareOTF" w:eastAsia="NanumSquareOTF"/>
                <w:b/>
                <w:i w:val="0"/>
                <w:color w:val="FFFFFF"/>
                <w:sz w:val="36"/>
              </w:rPr>
              <w:t>삼성전자</w:t>
              <w:br/>
              <w:t>(005930)</w:t>
            </w:r>
          </w:p>
          <w:p>
            <w:r>
              <w:rPr>
                <w:rFonts w:ascii="NanumSquareOTF" w:hAnsi="NanumSquareOTF" w:eastAsia="NanumSquareOTF"/>
                <w:b w:val="0"/>
                <w:i w:val="0"/>
                <w:color w:val="FFFFFF"/>
                <w:sz w:val="19"/>
              </w:rPr>
              <w:t>KOSPI</w:t>
              <w:br/>
              <w:t>재무 기준일: 2025-12-31</w:t>
              <w:br/>
              <w:t>출처: OpenDART</w:t>
            </w:r>
          </w:p>
          <w:tbl>
            <w:tblPr>
              <w:tblW w:type="auto" w:w="0"/>
              <w:tblLook w:firstColumn="1" w:firstRow="1" w:lastColumn="0" w:lastRow="0" w:noHBand="0" w:noVBand="1" w:val="04A0"/>
            </w:tblPr>
            <w:tblGrid>
              <w:gridCol w:w="5162"/>
            </w:tblGrid>
            <w:tr>
              <w:tc>
                <w:tcPr>
                  <w:tcW w:type="dxa" w:w="5162"/>
                  <w:shd w:fill="FFFFFF"/>
                  <w:tcBorders>
                    <w:top w:val="nil"/>
                    <w:left w:val="nil"/>
                    <w:bottom w:val="nil"/>
                    <w:right w:val="nil"/>
                    <w:insideH w:val="nil"/>
                    <w:insideV w:val="nil"/>
                  </w:tcBorders>
                  <w:tcMar>
                    <w:top w:w="100" w:type="dxa"/>
                    <w:bottom w:w="100" w:type="dxa"/>
                    <w:start w:w="110" w:type="dxa"/>
                    <w:end w:w="110" w:type="dxa"/>
                  </w:tcMar>
                </w:tcPr>
                <w:p>
                  <w:r/>
                  <w:r>
                    <w:rPr>
                      <w:rFonts w:ascii="NanumSquareOTF" w:hAnsi="NanumSquareOTF" w:eastAsia="NanumSquareOTF"/>
                      <w:b w:val="0"/>
                      <w:i w:val="0"/>
                      <w:color w:val="1D1D1B"/>
                      <w:sz w:val="18"/>
                    </w:rPr>
                    <w:t>의견      강력 매수</w:t>
                    <w:br/>
                    <w:t>점수      11.00</w:t>
                    <w:br/>
                    <w:t>신뢰도    0.95</w:t>
                    <w:br/>
                    <w:t>종가      306,000.00</w:t>
                    <w:br/>
                    <w:t>PER       46.34</w:t>
                    <w:br/>
                    <w:t>PBR       4.80</w:t>
                    <w:br/>
                    <w:t>ROE       10.78%</w:t>
                  </w:r>
                </w:p>
              </w:tc>
            </w:tr>
          </w:tbl>
          <w:p/>
        </w:tc>
        <w:tc>
          <w:tcPr>
            <w:tcW w:type="dxa" w:w="5162"/>
            <w:tcBorders>
              <w:top w:val="nil"/>
              <w:left w:val="nil"/>
              <w:bottom w:val="nil"/>
              <w:right w:val="nil"/>
              <w:insideH w:val="nil"/>
              <w:insideV w:val="nil"/>
            </w:tcBorders>
            <w:tcMar>
              <w:top w:w="60" w:type="dxa"/>
              <w:bottom w:w="80" w:type="dxa"/>
              <w:start w:w="150" w:type="dxa"/>
              <w:end w:w="150" w:type="dxa"/>
            </w:tcMar>
            <w:vAlign w:val="top"/>
          </w:tcPr>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OPINION</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삼성전자와 SK하이닉스는 같은 메모리 테마에 묶이지만 재무·수익성 구조와 밸류에이션의 성격은 서로 다르다. 삼성전자는 시가총액 규모에서 우위를 보이며(제공된 수치 기준) 영업이익률 13.07%, 순이익률 13.55%, ROE 10.78% 수준으로 안정적 이익창출 능력을 유지하고 있다. 삼성전자는 상대적으로 낮은 ROE와 이익률을 감안하면 밸류에이션이 이미 높은 수준(특히 PER 관점)으로 확장된 상태이며, 안정성과 시가총액의 무게감이 투자자 유입을 견인하고 있다.</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Technical / Momentum</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현재 기술 국면은 추세장으로 분류되며, 종합 신호는 강력 매수(점수 11.00, 신뢰도 0.95)다. 최근 20일 평균가격과 50일 평균가격의 상대 위치로 중기 추세를 읽는 이동평균 지표에서, SMA20(268,800.00)이 SMA50(226,941.00) 위에 있어 중기 추세는 우상향으로 해석된다. 최근 가격 압력이 단기적으로 얼마나 강한지를 보여주는 EMA20 기준으로도 종가(306,000.00)가 EMA20(271,034.96) 위에 있어 단기 매수 압력이 우세하다. 단기·장기 이동평균의 간격 변화로 모멘텀 전환을 읽는 MACD 지표는 21537.93이며, 시그널선(20421.56) 위에 있어 상승 모멘텀이 우세하다고, 히스토그램도 양(+)의 구간(1116.37)에 있다. 추세의 세기 자체를 측정하는 ADX는 35.63 수준으로 강한 편이고, 방향성 지표에서는 +DI(35.20)가 -DI(12.41)보다 높아 상승 추세가 우세하다. 거래량이 가격 움직임을 얼마나 뒷받침하는지 보여주는 OBV 흐름도 단기 평균이 장기 평균 위에 있어 수급 측면의 뒷받침이 우호적이다. 가격의 상승·하락 압력이 강세 쪽으로 기울었는지 보는 RSI 지표는 69.14로, 과열은 아니지만 강세권에 위치한다. 단기 변곡 가능성을 빠르게 포착하는 스토캐스틱은 %K 85.56, %D 88.99로 과매수권 둔화 신호에 가깝다. 주요 근거로는 SMA20이 SMA50 위에 있어 중기 상승 추세가 확인됩니다, MACD가 시그널선 위에 있어 상승 모멘텀이 나타납니다, 추세장에서 +DI가 -DI보다 높아 상승…</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RISK</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위험도는 보통 수준으로 판단된다. 첫째, PER이 46.34 수준으로 높아 기대가 이미 가격에 반영됐을 가능성이 있어 밸류에이션 조정 부담이 있다. 둘째, PBR이 4.80 수준으로 높아 실적 둔화 시 멀티플 축소 압력이 커질 수 있다. 셋째, 테마 기대감이 빠르게 약해질 경우 수급 방향이 급격히 바뀔 수 있다.</w:t>
                  </w:r>
                </w:p>
              </w:tc>
            </w:tr>
          </w:tbl>
          <w:p/>
        </w:tc>
      </w:tr>
    </w:tbl>
    <w:p>
      <w:pPr>
        <w:pageBreakBefore/>
        <w:spacing w:before="0" w:after="0"/>
      </w:pPr>
    </w:p>
    <w:p>
      <w:r>
        <w:rPr>
          <w:rFonts w:ascii="NanumSquareOTF" w:hAnsi="NanumSquareOTF" w:eastAsia="NanumSquareOTF"/>
          <w:b/>
          <w:i w:val="0"/>
          <w:color w:val="255A1B"/>
          <w:sz w:val="36"/>
        </w:rPr>
        <w:t>삼성전자 (005930)</w:t>
      </w:r>
    </w:p>
    <w:p>
      <w:r>
        <w:rPr>
          <w:rFonts w:ascii="NanumSquareOTF" w:hAnsi="NanumSquareOTF" w:eastAsia="NanumSquareOTF"/>
          <w:b w:val="0"/>
          <w:i w:val="0"/>
          <w:color w:val="1D1D1B"/>
          <w:sz w:val="20"/>
        </w:rPr>
        <w:t>KOSPI | 의견 강력 매수 | 점수 11.00 | 신뢰도 0.95</w:t>
      </w:r>
    </w:p>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삼성전자 3M Daily Price Trend</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2631043"/>
                  <wp:docPr id="1" name="Picture 1"/>
                  <wp:cNvGraphicFramePr>
                    <a:graphicFrameLocks noChangeAspect="1"/>
                  </wp:cNvGraphicFramePr>
                  <a:graphic>
                    <a:graphicData uri="http://schemas.openxmlformats.org/drawingml/2006/picture">
                      <pic:pic>
                        <pic:nvPicPr>
                          <pic:cNvPr id="0" name="005930_삼성전자_daily_3mo.png"/>
                          <pic:cNvPicPr/>
                        </pic:nvPicPr>
                        <pic:blipFill>
                          <a:blip r:embed="rId10"/>
                          <a:stretch>
                            <a:fillRect/>
                          </a:stretch>
                        </pic:blipFill>
                        <pic:spPr>
                          <a:xfrm>
                            <a:off x="0" y="0"/>
                            <a:ext cx="5806440" cy="2631043"/>
                          </a:xfrm>
                          <a:prstGeom prst="rect"/>
                        </pic:spPr>
                      </pic:pic>
                    </a:graphicData>
                  </a:graphic>
                </wp:inline>
              </w:drawing>
            </w:r>
          </w:p>
          <w:p>
            <w:pPr>
              <w:jc w:val="center"/>
            </w:pPr>
            <w:r>
              <w:rPr>
                <w:rFonts w:ascii="NanumSquareOTF" w:hAnsi="NanumSquareOTF" w:eastAsia="NanumSquareOTF"/>
                <w:b w:val="0"/>
                <w:i/>
                <w:color w:val="6E6E6E"/>
                <w:sz w:val="18"/>
              </w:rPr>
              <w:t>3개월 일봉 종가 흐름 (2026-02-27 ~ 2026-05-27) | Latest close 306,000.00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- 3M Daily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1) 추세 평가</w:t>
              <w:br/>
              <w:t>- 정량적 흐름: 3개월 차트상 초기(3월) 하락 → 3월 말~4월 초 바닥 형성 → 4월 중순 이후 점진적 상승 → 5월 초~중순 급가속으로 강한 상승세로 전환된 모습입니다. 전 구간에서 고점·저점이 상향되는 '상승 추세' 구조가 명확합니다.</w:t>
              <w:br/>
              <w:t>- 모멘텀: 4월 중순 이후 상승 기울기가 가팔라졌고, 특히 5월 초 큰 상승 구간에서 모멘텀이 강했던 것으로 보입니다. 직전 며칠간의 가격 상승 폭이 평균 일간 변동을 상회해 단기 과열 가능성도 존재합니다.</w:t>
              <w:br/>
              <w:br/>
              <w:t>2) 주요 지지/저항 영역 (차트에 보이는 가격 근사값)</w:t>
              <w:br/>
              <w:t>- 즉각 저항: 최근 고점 약 306,000원(차트 우측 상단 라벨). 직전 고점권(≈300,000원 내외)도 단기 저항권으로 작용할 수 있음.</w:t>
              <w:br/>
              <w:t>- 단기 지지: 최근 급등 후의 되돌림에서 지지받았던 구간 약 270,000원−280,000원. 이 구간이 깨지면 추세 전환 리스크가 커집니다.</w:t>
              <w:br/>
              <w:t>- 중간 지지: 이전 상승 전환 국면의 상단과 겹치는 ≈240,000원 수준.</w:t>
              <w:br/>
              <w:t>- 골든/베이스 수준: 3월 말 저점 근처 약 170,000원−185,000원(장기 바닥권).</w:t>
              <w:br/>
              <w:br/>
              <w:t>3) 강세 시나리오</w:t>
              <w:br/>
              <w:t>- 가격이 306,000원 부근을 안정적으로 돌파·유지하면 최근 급등 구간이 지속되는 것으로 해석될 수 있습니다. 돌파 후 300,000원대에서 지지 확인(예: 단기 조정 후 재상승)이 이루어지면 추가 상승 여지(추세 지속)가 높아질 가능성이 큽니다.</w:t>
              <w:br/>
              <w:t>- 단기적으로는 270k−280k 구간에서의 지지가 유지되는 한 매수세 우위가 유지될 것으로 보입니다.</w:t>
              <w:br/>
              <w:br/>
              <w:t>4) 약세 시나리오</w:t>
              <w:br/>
              <w:t>- 270k−280k 구간을 하향 이탈할 경우 단기 추세의 약화 또는 조정 심화가 예상됩니다. 이 경우 다음 지지인 ≈240k 부근까지의 조정 가능성이 늘어납니다.</w:t>
              <w:br/>
              <w:t>- 급등 후 이익 실현 매물이 쏟아지며 이전의 상승 추세선(시각적으로 그려지는 상승 채널 하단)을 이탈하면 상승 추세 전환이 무효화될 여지가 있습니다.</w:t>
              <w:br/>
              <w:br/>
              <w:t>5) 권고 트레이딩 편향</w:t>
              <w:br/>
              <w:t>- 단기~중기: '롱(매수) 우선' 편향을 권고하나, 최근의 가파른 상승을 고려해 손절(리스크) 관리 및 포지션 크기 제한을 권합니다. (대안: 거래량 확인 및 270k−280k 지지 확인시 추가 매수)</w:t>
              <w:br/>
              <w:t>- 확률적 표현: 상승 지속 가능성이 상대적으로 높은 편이지만 단기 조정 위험도 무시할 수 없으므로 적극적인 레버리지 매매는 지양하는 편이 바람직합니다.</w:t>
              <w:br/>
              <w:br/>
              <w:t>6) 리스크 요인</w:t>
              <w:br/>
              <w:t>- 거래량 정보 부재: 제공된 차트에 거래량 막대가 표시되어 있지 않아 상승의 폭발적 참여(확신 있는 매수세) 여부를 확인할 수 없습니다. 가격만으로는 추세의 강도를 완전하게 판단하기 어렵습니다.</w:t>
              <w:br/>
              <w:t>- 과열·단기 조정 위험: 최근의 급격한 상승으로 단기 과매수에 따른 반작용(이익실현 매도)이 발생할 가능성.</w:t>
              <w:br/>
              <w:t>- 지지 이탈 시 리스케일(심화된 하락): 270k−280k 지지 붕괴시 다음 지지(≈240k)까지의 낙폭 확대 가능성.</w:t>
              <w:br/>
              <w:t>- 기술적 리스크 외 요인: 차트 외적(예: 뉴스, 공시, 거시 이벤트)에 의해 급변동 발생 가능성 — 기술적 분석만으로는 모든 리스크를 포괄할 수 없습니다.</w:t>
              <w:br/>
              <w:br/>
              <w:t>총평: 차트상으로는 4월 이후 확실한 상승 추세와 5월 초의 가파른 모멘텀이 관찰되며 단기적으로는 매수 우위로 판단됩니다. 다만 거래량 미제시와 최근의 급등을 고려해 보수적 손절과 포지션 관리를 권합니다.</w:t>
            </w:r>
          </w:p>
        </w:tc>
      </w:tr>
    </w:tbl>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삼성전자 1M Intraday Price / Volume</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005930_삼성전자_intraday_1m.png"/>
                          <pic:cNvPicPr/>
                        </pic:nvPicPr>
                        <pic:blipFill>
                          <a:blip r:embed="rId11"/>
                          <a:stretch>
                            <a:fillRect/>
                          </a:stretch>
                        </pic:blipFill>
                        <pic:spPr>
                          <a:xfrm>
                            <a:off x="0" y="0"/>
                            <a:ext cx="5806440" cy="3266122"/>
                          </a:xfrm>
                          <a:prstGeom prst="rect"/>
                        </pic:spPr>
                      </pic:pic>
                    </a:graphicData>
                  </a:graphic>
                </wp:inline>
              </w:drawing>
            </w:r>
          </w:p>
          <w:p>
            <w:pPr>
              <w:jc w:val="center"/>
            </w:pPr>
            <w:r>
              <w:rPr>
                <w:rFonts w:ascii="NanumSquareOTF" w:hAnsi="NanumSquareOTF" w:eastAsia="NanumSquareOTF"/>
                <w:b w:val="0"/>
                <w:i/>
                <w:color w:val="6E6E6E"/>
                <w:sz w:val="18"/>
              </w:rPr>
              <w:t>1분봉 주가/거래량 (2026-05-27 13:40 ~ 2026-05-27 14:59) | Latest close 309,250.00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- 1M Intraday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1) 추세 판단</w:t>
              <w:br/>
              <w:t xml:space="preserve">- 단기(분봉) 기준 명확한 하방 추세: 장초반 317,000원 부근 고점 이후 일련의 저점·고점이 하향 이동(저점: 약 314k → 311k → 309k 등).  </w:t>
              <w:br/>
              <w:t xml:space="preserve">- 하락의 기울기가 중간~종반에 가팔라지고 있으며 종가(309,250원)는 장중 저가(308,500원)에 근접.  </w:t>
              <w:br/>
              <w:t>- 단기 반등(14:30부근 315k 수준) 시도는 있었으나 이전 고점(315–317k)을 회복하지 못해 반등이 약함.</w:t>
              <w:br/>
              <w:br/>
              <w:t>2) 주요 지지·저항(차트상 가시적 수준)</w:t>
              <w:br/>
              <w:t xml:space="preserve">- 저항: 317,000원 부근(당일 고점), 315,000원 부근(중간 고점·반등 실패 구간), 313,000원 부근(짧은 저항대).  </w:t>
              <w:br/>
              <w:t>- 지지: 311,000–312,000원(여러 번 일시 지지·반등 관찰), 309,000원 부근(현재 근접한 저가 영역), 308,500원(당일 저가).</w:t>
              <w:br/>
              <w:br/>
              <w:t>3) 강세 시나리오 (매수 촉발/목표/조건)</w:t>
              <w:br/>
              <w:t xml:space="preserve">- 촉발: 가격이 313k 이상을 거래량 증가와 함께 회복하고, 이후 315k를 재상향 돌파할 경우 단기 강세 전환 가능성.  </w:t>
              <w:br/>
              <w:t xml:space="preserve">- 확인 신호: 하락 거래량이 줄고 상승 시 녹색 거래량 바가 눈에 띄게 증가할 때(수급 전환).  </w:t>
              <w:br/>
              <w:t>- 목표: 단기적으로 315k → 317k 레인지 회복을 목표로 삼을 수 있음. 다만 이 경우에도 이전 저항(317k)에서 재차 매물 출회 가능.</w:t>
              <w:br/>
              <w:br/>
              <w:t>4) 약세 시나리오 (공격적 숏/목표/조건)</w:t>
              <w:br/>
              <w:t xml:space="preserve">- 촉발: 309k(현재 수준)·308.5k 지지 붕괴 및 하방 이탈이 거래량 증가와 동반될 경우 약세 지속 신호.  </w:t>
              <w:br/>
              <w:t xml:space="preserve">- 확인 신호: 하락 시 거래량 확대(마지막 10–20분에 빨간 거래량 바 증가)가 관찰됨.  </w:t>
              <w:br/>
              <w:t>- 목표: 단기적으로 305k → 302k 수준까지 추가 하락 가능성(오늘 차트 내 하방 관성 고려). 지지 부재 시 더 하방으로 전개될 수 있음.</w:t>
              <w:br/>
              <w:br/>
              <w:t>5) 권장 트레이딩 성향(바이어스)</w:t>
              <w:br/>
              <w:t xml:space="preserve">- 단기적으로는 중립-약한 숏(Short) 바이어스.  </w:t>
              <w:br/>
              <w:t xml:space="preserve">- 명확한 매수 전환 신호(313k 이상 복귀 + 수급 전환) 확인 전까지는 보수적 관망 또는 방어적 숏 방향을 권장.  </w:t>
              <w:br/>
              <w:t>- 스윙 관점에서는 데이캔들 마감 이후 추가 정보(다음 분봉 흐름/시가)를 보고 재평가 필요.</w:t>
              <w:br/>
              <w:br/>
              <w:t>6) 리스크 요인(매매 시 유의점)</w:t>
              <w:br/>
              <w:t xml:space="preserve">- 분봉 차트 특성상 노이즈(틱성 움직임)와 스프레드/유동성 영향으로 신호의 신뢰도가 낮아질 수 있음.  </w:t>
              <w:br/>
              <w:t xml:space="preserve">- 장마감 시간대의 포지션 정리(오버나잇 리스크 대비)나 뉴스·지수 동조화(외부 이벤트)에 의해 급반등·급락이 발생할 가능성.  </w:t>
              <w:br/>
              <w:t xml:space="preserve">- 지지선 부근에서는 일시적 반등(오버해드 매물 청산)이 자주 발생하므로 손절을 엄격히 설정할 필요.  </w:t>
              <w:br/>
              <w:t>- 차트는 당일 1분 봉과 거래량만을 보여주므로 더 넓은 시간대(일/주봉) 콘텍스트와 시장·섹터 뉴스 부재가 판단의 불확실성을 키움.</w:t>
              <w:br/>
              <w:br/>
              <w:t>요약: 차트상 당일 흐름은 하향 지배적이며, 종가 근처의 거래량 증가는 약세 지속 가능성을 시사한다. 명확한 매수 전환 조건(313–315k의 거래량을伴한 돌파)이 충족되기 전까지는 보수적·약숏 기조가 합리적으로 보인다.</w:t>
            </w:r>
          </w:p>
        </w:tc>
      </w:tr>
    </w:tbl>
    <w:tbl>
      <w:tblPr>
        <w:tblW w:type="auto" w:w="0"/>
        <w:jc w:val="center"/>
        <w:tblLayout w:type="fixed"/>
        <w:tblLook w:firstColumn="1" w:firstRow="1" w:lastColumn="0" w:lastRow="0" w:noHBand="0" w:noVBand="1" w:val="04A0"/>
      </w:tblPr>
      <w:tblGrid>
        <w:gridCol w:w="2581"/>
        <w:gridCol w:w="2581"/>
        <w:gridCol w:w="2581"/>
        <w:gridCol w:w="2581"/>
      </w:tblGrid>
      <w:tr>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종가</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PER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PBR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ROE</w:t>
            </w:r>
          </w:p>
        </w:tc>
      </w:tr>
      <w:tr>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306,000.00</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46.34</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4.80</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10.78%</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Financial Snapshot</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재무 기준일은 2025-12-31이다. PER은 46.34, PBR은 4.80, ROE는 10.78% 수준이다. 시가총액은 2,094조 9,996억로 집계된다. 기술적 시장 국면은 추세장으로 분류된다.</w:t>
            </w:r>
          </w:p>
        </w:tc>
      </w:tr>
    </w:tbl>
    <w:p>
      <w:pPr>
        <w:spacing w:before="80"/>
      </w:pPr>
      <w:r>
        <w:rPr>
          <w:rFonts w:ascii="NanumSquareOTF" w:hAnsi="NanumSquareOTF" w:eastAsia="NanumSquareOTF"/>
          <w:b/>
          <w:i w:val="0"/>
          <w:color w:val="255A1B"/>
          <w:sz w:val="26"/>
        </w:rPr>
        <w:t>Financial Indicators</w:t>
      </w:r>
    </w:p>
    <w:tbl>
      <w:tblPr>
        <w:tblStyle w:val="TableGrid"/>
        <w:tblW w:type="auto" w:w="0"/>
        <w:jc w:val="center"/>
        <w:tblLook w:firstColumn="1" w:firstRow="1" w:lastColumn="0" w:lastRow="0" w:noHBand="0" w:noVBand="1" w:val="04A0"/>
      </w:tblPr>
      <w:tblGrid>
        <w:gridCol w:w="2581"/>
        <w:gridCol w:w="2581"/>
        <w:gridCol w:w="2581"/>
        <w:gridCol w:w="2581"/>
      </w:tblGrid>
      <w:tr>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r>
      <w:tr>
        <w:tc>
          <w:tcPr>
            <w:tcW w:type="dxa" w:w="2581"/>
            <w:shd w:fill="F6F2EC"/>
          </w:tcPr>
          <w:p>
            <w:r/>
            <w:r>
              <w:rPr>
                <w:rFonts w:ascii="NanumSquareOTF" w:hAnsi="NanumSquareOTF" w:eastAsia="NanumSquareOTF"/>
                <w:b w:val="0"/>
                <w:i w:val="0"/>
                <w:sz w:val="20"/>
              </w:rPr>
              <w:t>PER</w:t>
            </w:r>
          </w:p>
        </w:tc>
        <w:tc>
          <w:tcPr>
            <w:tcW w:type="dxa" w:w="2581"/>
            <w:shd w:fill="F6F2EC"/>
          </w:tcPr>
          <w:p>
            <w:r/>
            <w:r>
              <w:rPr>
                <w:rFonts w:ascii="NanumSquareOTF" w:hAnsi="NanumSquareOTF" w:eastAsia="NanumSquareOTF"/>
                <w:b w:val="0"/>
                <w:i w:val="0"/>
                <w:sz w:val="20"/>
              </w:rPr>
              <w:t>46.34</w:t>
            </w:r>
          </w:p>
        </w:tc>
        <w:tc>
          <w:tcPr>
            <w:tcW w:type="dxa" w:w="2581"/>
            <w:shd w:fill="F6F2EC"/>
          </w:tcPr>
          <w:p>
            <w:r/>
            <w:r>
              <w:rPr>
                <w:rFonts w:ascii="NanumSquareOTF" w:hAnsi="NanumSquareOTF" w:eastAsia="NanumSquareOTF"/>
                <w:b w:val="0"/>
                <w:i w:val="0"/>
                <w:sz w:val="20"/>
              </w:rPr>
              <w:t>PBR</w:t>
            </w:r>
          </w:p>
        </w:tc>
        <w:tc>
          <w:tcPr>
            <w:tcW w:type="dxa" w:w="2581"/>
            <w:shd w:fill="F6F2EC"/>
          </w:tcPr>
          <w:p>
            <w:r/>
            <w:r>
              <w:rPr>
                <w:rFonts w:ascii="NanumSquareOTF" w:hAnsi="NanumSquareOTF" w:eastAsia="NanumSquareOTF"/>
                <w:b w:val="0"/>
                <w:i w:val="0"/>
                <w:sz w:val="20"/>
              </w:rPr>
              <w:t>4.80</w:t>
            </w:r>
          </w:p>
        </w:tc>
      </w:tr>
      <w:tr>
        <w:tc>
          <w:tcPr>
            <w:tcW w:type="dxa" w:w="2581"/>
            <w:shd w:fill="FFFFFF"/>
          </w:tcPr>
          <w:p>
            <w:r/>
            <w:r>
              <w:rPr>
                <w:rFonts w:ascii="NanumSquareOTF" w:hAnsi="NanumSquareOTF" w:eastAsia="NanumSquareOTF"/>
                <w:b w:val="0"/>
                <w:i w:val="0"/>
                <w:sz w:val="20"/>
              </w:rPr>
              <w:t>PCR</w:t>
            </w:r>
          </w:p>
        </w:tc>
        <w:tc>
          <w:tcPr>
            <w:tcW w:type="dxa" w:w="2581"/>
            <w:shd w:fill="FFFFFF"/>
          </w:tcPr>
          <w:p>
            <w:r/>
            <w:r>
              <w:rPr>
                <w:rFonts w:ascii="NanumSquareOTF" w:hAnsi="NanumSquareOTF" w:eastAsia="NanumSquareOTF"/>
                <w:b w:val="0"/>
                <w:i w:val="0"/>
                <w:sz w:val="20"/>
              </w:rPr>
              <w:t>24.56</w:t>
            </w:r>
          </w:p>
        </w:tc>
        <w:tc>
          <w:tcPr>
            <w:tcW w:type="dxa" w:w="2581"/>
            <w:shd w:fill="FFFFFF"/>
          </w:tcPr>
          <w:p>
            <w:r/>
            <w:r>
              <w:rPr>
                <w:rFonts w:ascii="NanumSquareOTF" w:hAnsi="NanumSquareOTF" w:eastAsia="NanumSquareOTF"/>
                <w:b w:val="0"/>
                <w:i w:val="0"/>
                <w:sz w:val="20"/>
              </w:rPr>
              <w:t>EV/EBITDA</w:t>
            </w:r>
          </w:p>
        </w:tc>
        <w:tc>
          <w:tcPr>
            <w:tcW w:type="dxa" w:w="2581"/>
            <w:shd w:fill="FFFFFF"/>
          </w:tcPr>
          <w:p>
            <w:r/>
            <w:r>
              <w:rPr>
                <w:rFonts w:ascii="NanumSquareOTF" w:hAnsi="NanumSquareOTF" w:eastAsia="NanumSquareOTF"/>
                <w:b w:val="0"/>
                <w:i w:val="0"/>
                <w:sz w:val="20"/>
              </w:rPr>
              <w:t>N/A</w:t>
            </w:r>
          </w:p>
        </w:tc>
      </w:tr>
      <w:tr>
        <w:tc>
          <w:tcPr>
            <w:tcW w:type="dxa" w:w="2581"/>
            <w:shd w:fill="F6F2EC"/>
          </w:tcPr>
          <w:p>
            <w:r/>
            <w:r>
              <w:rPr>
                <w:rFonts w:ascii="NanumSquareOTF" w:hAnsi="NanumSquareOTF" w:eastAsia="NanumSquareOTF"/>
                <w:b w:val="0"/>
                <w:i w:val="0"/>
                <w:sz w:val="20"/>
              </w:rPr>
              <w:t>EPS</w:t>
            </w:r>
          </w:p>
        </w:tc>
        <w:tc>
          <w:tcPr>
            <w:tcW w:type="dxa" w:w="2581"/>
            <w:shd w:fill="F6F2EC"/>
          </w:tcPr>
          <w:p>
            <w:r/>
            <w:r>
              <w:rPr>
                <w:rFonts w:ascii="NanumSquareOTF" w:hAnsi="NanumSquareOTF" w:eastAsia="NanumSquareOTF"/>
                <w:b w:val="0"/>
                <w:i w:val="0"/>
                <w:sz w:val="20"/>
              </w:rPr>
              <w:t>6,603.00</w:t>
            </w:r>
          </w:p>
        </w:tc>
        <w:tc>
          <w:tcPr>
            <w:tcW w:type="dxa" w:w="2581"/>
            <w:shd w:fill="F6F2EC"/>
          </w:tcPr>
          <w:p>
            <w:r/>
            <w:r>
              <w:rPr>
                <w:rFonts w:ascii="NanumSquareOTF" w:hAnsi="NanumSquareOTF" w:eastAsia="NanumSquareOTF"/>
                <w:b w:val="0"/>
                <w:i w:val="0"/>
                <w:sz w:val="20"/>
              </w:rPr>
              <w:t>BPS</w:t>
            </w:r>
          </w:p>
        </w:tc>
        <w:tc>
          <w:tcPr>
            <w:tcW w:type="dxa" w:w="2581"/>
            <w:shd w:fill="F6F2EC"/>
          </w:tcPr>
          <w:p>
            <w:r/>
            <w:r>
              <w:rPr>
                <w:rFonts w:ascii="NanumSquareOTF" w:hAnsi="NanumSquareOTF" w:eastAsia="NanumSquareOTF"/>
                <w:b w:val="0"/>
                <w:i w:val="0"/>
                <w:sz w:val="20"/>
              </w:rPr>
              <w:t>63,729.86</w:t>
            </w:r>
          </w:p>
        </w:tc>
      </w:tr>
      <w:tr>
        <w:tc>
          <w:tcPr>
            <w:tcW w:type="dxa" w:w="2581"/>
            <w:shd w:fill="FFFFFF"/>
          </w:tcPr>
          <w:p>
            <w:r/>
            <w:r>
              <w:rPr>
                <w:rFonts w:ascii="NanumSquareOTF" w:hAnsi="NanumSquareOTF" w:eastAsia="NanumSquareOTF"/>
                <w:b w:val="0"/>
                <w:i w:val="0"/>
                <w:sz w:val="20"/>
              </w:rPr>
              <w:t>EBITDA</w:t>
            </w:r>
          </w:p>
        </w:tc>
        <w:tc>
          <w:tcPr>
            <w:tcW w:type="dxa" w:w="2581"/>
            <w:shd w:fill="FFFFFF"/>
          </w:tcPr>
          <w:p>
            <w:r/>
            <w:r>
              <w:rPr>
                <w:rFonts w:ascii="NanumSquareOTF" w:hAnsi="NanumSquareOTF" w:eastAsia="NanumSquareOTF"/>
                <w:b w:val="0"/>
                <w:i w:val="0"/>
                <w:sz w:val="20"/>
              </w:rPr>
              <w:t>N/A</w:t>
            </w:r>
          </w:p>
        </w:tc>
        <w:tc>
          <w:tcPr>
            <w:tcW w:type="dxa" w:w="2581"/>
            <w:shd w:fill="FFFFFF"/>
          </w:tcPr>
          <w:p>
            <w:r/>
            <w:r>
              <w:rPr>
                <w:rFonts w:ascii="NanumSquareOTF" w:hAnsi="NanumSquareOTF" w:eastAsia="NanumSquareOTF"/>
                <w:b w:val="0"/>
                <w:i w:val="0"/>
                <w:sz w:val="20"/>
              </w:rPr>
              <w:t>CashDPS</w:t>
            </w:r>
          </w:p>
        </w:tc>
        <w:tc>
          <w:tcPr>
            <w:tcW w:type="dxa" w:w="2581"/>
            <w:shd w:fill="FFFFFF"/>
          </w:tcPr>
          <w:p>
            <w:r/>
            <w:r>
              <w:rPr>
                <w:rFonts w:ascii="NanumSquareOTF" w:hAnsi="NanumSquareOTF" w:eastAsia="NanumSquareOTF"/>
                <w:b w:val="0"/>
                <w:i w:val="0"/>
                <w:sz w:val="20"/>
              </w:rPr>
              <w:t>1,445.60</w:t>
            </w:r>
          </w:p>
        </w:tc>
      </w:tr>
      <w:tr>
        <w:tc>
          <w:tcPr>
            <w:tcW w:type="dxa" w:w="2581"/>
            <w:shd w:fill="F6F2EC"/>
          </w:tcPr>
          <w:p>
            <w:r/>
            <w:r>
              <w:rPr>
                <w:rFonts w:ascii="NanumSquareOTF" w:hAnsi="NanumSquareOTF" w:eastAsia="NanumSquareOTF"/>
                <w:b w:val="0"/>
                <w:i w:val="0"/>
                <w:sz w:val="20"/>
              </w:rPr>
              <w:t>Cash Dividend Yield</w:t>
            </w:r>
          </w:p>
        </w:tc>
        <w:tc>
          <w:tcPr>
            <w:tcW w:type="dxa" w:w="2581"/>
            <w:shd w:fill="F6F2EC"/>
          </w:tcPr>
          <w:p>
            <w:r/>
            <w:r>
              <w:rPr>
                <w:rFonts w:ascii="NanumSquareOTF" w:hAnsi="NanumSquareOTF" w:eastAsia="NanumSquareOTF"/>
                <w:b w:val="0"/>
                <w:i w:val="0"/>
                <w:sz w:val="20"/>
              </w:rPr>
              <w:t>0.47%</w:t>
            </w:r>
          </w:p>
        </w:tc>
        <w:tc>
          <w:tcPr>
            <w:tcW w:type="dxa" w:w="2581"/>
            <w:shd w:fill="F6F2EC"/>
          </w:tcPr>
          <w:p>
            <w:r/>
            <w:r>
              <w:rPr>
                <w:rFonts w:ascii="NanumSquareOTF" w:hAnsi="NanumSquareOTF" w:eastAsia="NanumSquareOTF"/>
                <w:b w:val="0"/>
                <w:i w:val="0"/>
                <w:sz w:val="20"/>
              </w:rPr>
              <w:t>ROE</w:t>
            </w:r>
          </w:p>
        </w:tc>
        <w:tc>
          <w:tcPr>
            <w:tcW w:type="dxa" w:w="2581"/>
            <w:shd w:fill="F6F2EC"/>
          </w:tcPr>
          <w:p>
            <w:r/>
            <w:r>
              <w:rPr>
                <w:rFonts w:ascii="NanumSquareOTF" w:hAnsi="NanumSquareOTF" w:eastAsia="NanumSquareOTF"/>
                <w:b w:val="0"/>
                <w:i w:val="0"/>
                <w:sz w:val="20"/>
              </w:rPr>
              <w:t>10.78%</w:t>
            </w:r>
          </w:p>
        </w:tc>
      </w:tr>
      <w:tr>
        <w:tc>
          <w:tcPr>
            <w:tcW w:type="dxa" w:w="2581"/>
            <w:shd w:fill="FFFFFF"/>
          </w:tcPr>
          <w:p>
            <w:r/>
            <w:r>
              <w:rPr>
                <w:rFonts w:ascii="NanumSquareOTF" w:hAnsi="NanumSquareOTF" w:eastAsia="NanumSquareOTF"/>
                <w:b w:val="0"/>
                <w:i w:val="0"/>
                <w:sz w:val="20"/>
              </w:rPr>
              <w:t>부채비율</w:t>
            </w:r>
          </w:p>
        </w:tc>
        <w:tc>
          <w:tcPr>
            <w:tcW w:type="dxa" w:w="2581"/>
            <w:shd w:fill="FFFFFF"/>
          </w:tcPr>
          <w:p>
            <w:r/>
            <w:r>
              <w:rPr>
                <w:rFonts w:ascii="NanumSquareOTF" w:hAnsi="NanumSquareOTF" w:eastAsia="NanumSquareOTF"/>
                <w:b w:val="0"/>
                <w:i w:val="0"/>
                <w:sz w:val="20"/>
              </w:rPr>
              <w:t>29.9370</w:t>
            </w:r>
          </w:p>
        </w:tc>
        <w:tc>
          <w:tcPr>
            <w:tcW w:type="dxa" w:w="2581"/>
            <w:shd w:fill="FFFFFF"/>
          </w:tcPr>
          <w:p>
            <w:r/>
            <w:r>
              <w:rPr>
                <w:rFonts w:ascii="NanumSquareOTF" w:hAnsi="NanumSquareOTF" w:eastAsia="NanumSquareOTF"/>
                <w:b w:val="0"/>
                <w:i w:val="0"/>
                <w:sz w:val="20"/>
              </w:rPr>
              <w:t>유동비율</w:t>
            </w:r>
          </w:p>
        </w:tc>
        <w:tc>
          <w:tcPr>
            <w:tcW w:type="dxa" w:w="2581"/>
            <w:shd w:fill="FFFFFF"/>
          </w:tcPr>
          <w:p>
            <w:r/>
            <w:r>
              <w:rPr>
                <w:rFonts w:ascii="NanumSquareOTF" w:hAnsi="NanumSquareOTF" w:eastAsia="NanumSquareOTF"/>
                <w:b w:val="0"/>
                <w:i w:val="0"/>
                <w:sz w:val="20"/>
              </w:rPr>
              <w:t>232.7610</w:t>
            </w:r>
          </w:p>
        </w:tc>
      </w:tr>
      <w:tr>
        <w:tc>
          <w:tcPr>
            <w:tcW w:type="dxa" w:w="2581"/>
            <w:shd w:fill="F6F2EC"/>
          </w:tcPr>
          <w:p>
            <w:r/>
            <w:r>
              <w:rPr>
                <w:rFonts w:ascii="NanumSquareOTF" w:hAnsi="NanumSquareOTF" w:eastAsia="NanumSquareOTF"/>
                <w:b w:val="0"/>
                <w:i w:val="0"/>
                <w:sz w:val="20"/>
              </w:rPr>
              <w:t>영업이익률</w:t>
            </w:r>
          </w:p>
        </w:tc>
        <w:tc>
          <w:tcPr>
            <w:tcW w:type="dxa" w:w="2581"/>
            <w:shd w:fill="F6F2EC"/>
          </w:tcPr>
          <w:p>
            <w:r/>
            <w:r>
              <w:rPr>
                <w:rFonts w:ascii="NanumSquareOTF" w:hAnsi="NanumSquareOTF" w:eastAsia="NanumSquareOTF"/>
                <w:b w:val="0"/>
                <w:i w:val="0"/>
                <w:sz w:val="20"/>
              </w:rPr>
              <w:t>13.07%</w:t>
            </w:r>
          </w:p>
        </w:tc>
        <w:tc>
          <w:tcPr>
            <w:tcW w:type="dxa" w:w="2581"/>
            <w:shd w:fill="F6F2EC"/>
          </w:tcPr>
          <w:p>
            <w:r/>
            <w:r>
              <w:rPr>
                <w:rFonts w:ascii="NanumSquareOTF" w:hAnsi="NanumSquareOTF" w:eastAsia="NanumSquareOTF"/>
                <w:b w:val="0"/>
                <w:i w:val="0"/>
                <w:sz w:val="20"/>
              </w:rPr>
              <w:t>순이익률</w:t>
            </w:r>
          </w:p>
        </w:tc>
        <w:tc>
          <w:tcPr>
            <w:tcW w:type="dxa" w:w="2581"/>
            <w:shd w:fill="F6F2EC"/>
          </w:tcPr>
          <w:p>
            <w:r/>
            <w:r>
              <w:rPr>
                <w:rFonts w:ascii="NanumSquareOTF" w:hAnsi="NanumSquareOTF" w:eastAsia="NanumSquareOTF"/>
                <w:b w:val="0"/>
                <w:i w:val="0"/>
                <w:sz w:val="20"/>
              </w:rPr>
              <w:t>13.55%</w:t>
            </w:r>
          </w:p>
        </w:tc>
      </w:tr>
      <w:tr>
        <w:tc>
          <w:tcPr>
            <w:tcW w:type="dxa" w:w="2581"/>
            <w:shd w:fill="FFFFFF"/>
          </w:tcPr>
          <w:p>
            <w:r/>
            <w:r>
              <w:rPr>
                <w:rFonts w:ascii="NanumSquareOTF" w:hAnsi="NanumSquareOTF" w:eastAsia="NanumSquareOTF"/>
                <w:b w:val="0"/>
                <w:i w:val="0"/>
                <w:sz w:val="20"/>
              </w:rPr>
              <w:t>시가총액</w:t>
            </w:r>
          </w:p>
        </w:tc>
        <w:tc>
          <w:tcPr>
            <w:tcW w:type="dxa" w:w="2581"/>
            <w:shd w:fill="FFFFFF"/>
          </w:tcPr>
          <w:p>
            <w:r/>
            <w:r>
              <w:rPr>
                <w:rFonts w:ascii="NanumSquareOTF" w:hAnsi="NanumSquareOTF" w:eastAsia="NanumSquareOTF"/>
                <w:b w:val="0"/>
                <w:i w:val="0"/>
                <w:sz w:val="20"/>
              </w:rPr>
              <w:t>2,094조 9,996억</w:t>
            </w:r>
          </w:p>
        </w:tc>
        <w:tc>
          <w:tcPr>
            <w:tcW w:type="dxa" w:w="2581"/>
            <w:shd w:fill="FFFFFF"/>
          </w:tcPr>
          <w:p>
            <w:r/>
            <w:r>
              <w:rPr>
                <w:rFonts w:ascii="NanumSquareOTF" w:hAnsi="NanumSquareOTF" w:eastAsia="NanumSquareOTF"/>
                <w:b w:val="0"/>
                <w:i w:val="0"/>
                <w:sz w:val="20"/>
              </w:rPr>
              <w:t>기업가치(EV)</w:t>
            </w:r>
          </w:p>
        </w:tc>
        <w:tc>
          <w:tcPr>
            <w:tcW w:type="dxa" w:w="2581"/>
            <w:shd w:fill="FFFFFF"/>
          </w:tcPr>
          <w:p>
            <w:r/>
            <w:r>
              <w:rPr>
                <w:rFonts w:ascii="NanumSquareOTF" w:hAnsi="NanumSquareOTF" w:eastAsia="NanumSquareOTF"/>
                <w:b w:val="0"/>
                <w:i w:val="0"/>
                <w:sz w:val="20"/>
              </w:rPr>
              <w:t>2,062조 3,824억</w:t>
            </w:r>
          </w:p>
        </w:tc>
      </w:tr>
      <w:tr>
        <w:tc>
          <w:tcPr>
            <w:tcW w:type="dxa" w:w="2581"/>
            <w:shd w:fill="F6F2EC"/>
          </w:tcPr>
          <w:p>
            <w:r/>
            <w:r>
              <w:rPr>
                <w:rFonts w:ascii="NanumSquareOTF" w:hAnsi="NanumSquareOTF" w:eastAsia="NanumSquareOTF"/>
                <w:b w:val="0"/>
                <w:i w:val="0"/>
                <w:sz w:val="20"/>
              </w:rPr>
              <w:t>발행주식수</w:t>
            </w:r>
          </w:p>
        </w:tc>
        <w:tc>
          <w:tcPr>
            <w:tcW w:type="dxa" w:w="2581"/>
            <w:shd w:fill="F6F2EC"/>
          </w:tcPr>
          <w:p>
            <w:r/>
            <w:r>
              <w:rPr>
                <w:rFonts w:ascii="NanumSquareOTF" w:hAnsi="NanumSquareOTF" w:eastAsia="NanumSquareOTF"/>
                <w:b w:val="0"/>
                <w:i w:val="0"/>
                <w:sz w:val="20"/>
              </w:rPr>
              <w:t>68.46억주</w:t>
            </w:r>
          </w:p>
        </w:tc>
        <w:tc>
          <w:tcPr>
            <w:tcW w:type="dxa" w:w="2581"/>
            <w:shd w:fill="F6F2EC"/>
          </w:tcPr>
          <w:p>
            <w:r/>
            <w:r>
              <w:rPr>
                <w:rFonts w:ascii="NanumSquareOTF" w:hAnsi="NanumSquareOTF" w:eastAsia="NanumSquareOTF"/>
                <w:b w:val="0"/>
                <w:i w:val="0"/>
                <w:sz w:val="20"/>
              </w:rPr>
            </w:r>
          </w:p>
        </w:tc>
        <w:tc>
          <w:tcPr>
            <w:tcW w:type="dxa" w:w="2581"/>
            <w:shd w:fill="F6F2EC"/>
          </w:tcPr>
          <w:p>
            <w:r/>
            <w:r>
              <w:rPr>
                <w:rFonts w:ascii="NanumSquareOTF" w:hAnsi="NanumSquareOTF" w:eastAsia="NanumSquareOTF"/>
                <w:b w:val="0"/>
                <w:i w:val="0"/>
                <w:sz w:val="20"/>
              </w:rPr>
            </w:r>
          </w:p>
        </w:tc>
      </w:tr>
    </w:tbl>
    <w:p>
      <w:r>
        <w:rPr>
          <w:rFonts w:ascii="NanumSquareOTF" w:hAnsi="NanumSquareOTF" w:eastAsia="NanumSquareOTF"/>
          <w:b w:val="0"/>
          <w:i/>
          <w:color w:val="6E6E6E"/>
          <w:sz w:val="18"/>
        </w:rPr>
        <w:t>재무 기준일: 2025-12-31 | 출처: OpenDART</w:t>
      </w:r>
    </w:p>
    <w:p>
      <w:pPr>
        <w:pageBreakBefore/>
        <w:spacing w:before="0" w:after="0"/>
      </w:pPr>
    </w:p>
    <w:tbl>
      <w:tblPr>
        <w:tblW w:type="auto" w:w="0"/>
        <w:jc w:val="center"/>
        <w:tblLayout w:type="fixed"/>
        <w:tblLook w:firstColumn="1" w:firstRow="1" w:lastColumn="0" w:lastRow="0" w:noHBand="0" w:noVBand="1" w:val="04A0"/>
      </w:tblPr>
      <w:tblGrid>
        <w:gridCol w:w="3312"/>
        <w:gridCol w:w="6912"/>
      </w:tblGrid>
      <w:tr>
        <w:tc>
          <w:tcPr>
            <w:tcW w:type="dxa" w:w="5162"/>
            <w:shd w:fill="1E7032"/>
            <w:tcBorders>
              <w:top w:val="nil"/>
              <w:left w:val="nil"/>
              <w:bottom w:val="nil"/>
              <w:right w:val="nil"/>
              <w:insideH w:val="nil"/>
              <w:insideV w:val="nil"/>
            </w:tcBorders>
            <w:tcMar>
              <w:top w:w="160" w:type="dxa"/>
              <w:bottom w:w="180" w:type="dxa"/>
              <w:start w:w="160" w:type="dxa"/>
              <w:end w:w="160" w:type="dxa"/>
            </w:tcMar>
            <w:vAlign w:val="top"/>
          </w:tcPr>
          <w:p>
            <w:r>
              <w:rPr>
                <w:rFonts w:ascii="NanumSquareOTF" w:hAnsi="NanumSquareOTF" w:eastAsia="NanumSquareOTF"/>
                <w:b/>
                <w:i w:val="0"/>
                <w:color w:val="FFFFFF"/>
                <w:sz w:val="36"/>
              </w:rPr>
              <w:t>SK하이닉스</w:t>
              <w:br/>
              <w:t>(000660)</w:t>
            </w:r>
          </w:p>
          <w:p>
            <w:r>
              <w:rPr>
                <w:rFonts w:ascii="NanumSquareOTF" w:hAnsi="NanumSquareOTF" w:eastAsia="NanumSquareOTF"/>
                <w:b w:val="0"/>
                <w:i w:val="0"/>
                <w:color w:val="FFFFFF"/>
                <w:sz w:val="19"/>
              </w:rPr>
              <w:t>KOSPI</w:t>
              <w:br/>
              <w:t>재무 기준일: 2025-12-31</w:t>
              <w:br/>
              <w:t>출처: OpenDART</w:t>
            </w:r>
          </w:p>
          <w:tbl>
            <w:tblPr>
              <w:tblW w:type="auto" w:w="0"/>
              <w:tblLook w:firstColumn="1" w:firstRow="1" w:lastColumn="0" w:lastRow="0" w:noHBand="0" w:noVBand="1" w:val="04A0"/>
            </w:tblPr>
            <w:tblGrid>
              <w:gridCol w:w="5162"/>
            </w:tblGrid>
            <w:tr>
              <w:tc>
                <w:tcPr>
                  <w:tcW w:type="dxa" w:w="5162"/>
                  <w:shd w:fill="FFFFFF"/>
                  <w:tcBorders>
                    <w:top w:val="nil"/>
                    <w:left w:val="nil"/>
                    <w:bottom w:val="nil"/>
                    <w:right w:val="nil"/>
                    <w:insideH w:val="nil"/>
                    <w:insideV w:val="nil"/>
                  </w:tcBorders>
                  <w:tcMar>
                    <w:top w:w="100" w:type="dxa"/>
                    <w:bottom w:w="100" w:type="dxa"/>
                    <w:start w:w="110" w:type="dxa"/>
                    <w:end w:w="110" w:type="dxa"/>
                  </w:tcMar>
                </w:tcPr>
                <w:p>
                  <w:r/>
                  <w:r>
                    <w:rPr>
                      <w:rFonts w:ascii="NanumSquareOTF" w:hAnsi="NanumSquareOTF" w:eastAsia="NanumSquareOTF"/>
                      <w:b w:val="0"/>
                      <w:i w:val="0"/>
                      <w:color w:val="1D1D1B"/>
                      <w:sz w:val="18"/>
                    </w:rPr>
                    <w:t>의견      강력 매수</w:t>
                    <w:br/>
                    <w:t>점수      13.00</w:t>
                    <w:br/>
                    <w:t>신뢰도    0.95</w:t>
                    <w:br/>
                    <w:t>종가      2,243,000.00</w:t>
                    <w:br/>
                    <w:t>PER       37.15</w:t>
                    <w:br/>
                    <w:t>PBR       13.22</w:t>
                    <w:br/>
                    <w:t>ROE       44.14%</w:t>
                  </w:r>
                </w:p>
              </w:tc>
            </w:tr>
          </w:tbl>
          <w:p/>
        </w:tc>
        <w:tc>
          <w:tcPr>
            <w:tcW w:type="dxa" w:w="5162"/>
            <w:tcBorders>
              <w:top w:val="nil"/>
              <w:left w:val="nil"/>
              <w:bottom w:val="nil"/>
              <w:right w:val="nil"/>
              <w:insideH w:val="nil"/>
              <w:insideV w:val="nil"/>
            </w:tcBorders>
            <w:tcMar>
              <w:top w:w="60" w:type="dxa"/>
              <w:bottom w:w="80" w:type="dxa"/>
              <w:start w:w="150" w:type="dxa"/>
              <w:end w:w="150" w:type="dxa"/>
            </w:tcMar>
            <w:vAlign w:val="top"/>
          </w:tcPr>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OPINION</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삼성전자와 SK하이닉스는 같은 메모리 테마에 묶이지만 재무·수익성 구조와 밸류에이션의 성격은 서로 다르다. 반면 SK하이닉스는 영업이익률 48.59%, 순이익률 44.21%, ROE 44.14%로 매우 높은 수익성을 기록하고 있어 이익 변동성이 크더라도 수익성 회복 시 주가 재평가 폭이 크다. 밸류에이션 측면에서는 삼성 PER 46.34, PBR 4.80, SK하이닉스 PER 37.15, PBR 13.22로, 두 기업 모두 시장 기대를 상당 부분 반영한 수준이다. 특히 SK하이닉스의 높은 PBR은 장부가 대비 시장이 미래 이익 회복과 성장성을 높게 평가하고 있음을 의미하지만, 동시에 기대치가 무너지면 더 큰 상실로 연결될 수 있다. SK하이닉스는 고수익성 회복 국면에서 레버리지 효과가 크게 작동할 여지가 있으나 그만큼 변동성·리스크가 높다.</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Technical / Momentum</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현재 기술 국면은 추세장으로 분류되며, 종합 신호는 강력 매수(점수 13.00, 신뢰도 0.95)다. 최근 20일 평균가격과 50일 평균가격의 상대 위치로 중기 추세를 읽는 이동평균 지표에서, SMA20(1,727,250.00)이 SMA50(1,302,200.00) 위에 있어 중기 추세는 우상향으로 해석된다. 최근 가격 압력이 단기적으로 얼마나 강한지를 보여주는 EMA20 기준으로도 종가(2,243,000.00)가 EMA20(1,750,054.67) 위에 있어 단기 매수 압력이 우세하다. 단기·장기 이동평균의 간격 변화로 모멘텀 전환을 읽는 MACD 지표는 224497.13이며, 시그널선(203555.50) 위에 있어 상승 모멘텀이 우세하다고, 히스토그램도 양(+)의 구간(20941.63)에 있다. 추세의 세기 자체를 측정하는 ADX는 47.73 수준으로 강한 편이고, 방향성 지표에서는 +DI(49.53)가 -DI(11.53)보다 높아 상승 추세가 우세하다. 거래량이 가격 움직임을 얼마나 뒷받침하는지 보여주는 OBV 흐름도 단기 평균이 장기 평균 위에 있어 수급 측면의 뒷받침이 우호적이다. 가격의 상승·하락 압력이 얼마나 한쪽으로 쏠렸는지 보여주는 RSI 지표는 79.60로, 통상적 기준상 과매수(70 이상) 구간에 해당한다. 주요 근거로는 SMA20이 SMA50 위에 있어 중기 상승 추세가 확인됩니다, MACD가 시그널선 위에 있어 상승 모멘텀이 나타납니다, 추세장에서 +DI가 -DI보다 높아 상승 추세가 우세합니다 등을 들 수 있다.</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RISK</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위험도는 높음 수준으로 판단된다. 첫째, 넷째, SK하이닉스는 레버리지(제공된 지표상 상대적으로 높은 부채비율 45.9%)와 높은 변동성으로 인해 상승 시 이익은 크지만 하방 리스크 또한 크다. 둘째, PER이 37.15 수준으로 높아 기대가 이미 가격에 반영됐을 가능성이 있어 밸류에이션 조정 부담이 있다. 셋째, PBR이 13.22 수준으로 높아 실적 둔화 시 멀티플 축소 압력이 커질 수 있다. 넷째, RSI가 79.60로 과매수 구간에 있어 단기 차익실현 압력이 확대될 수 있다.</w:t>
                  </w:r>
                </w:p>
              </w:tc>
            </w:tr>
          </w:tbl>
          <w:p/>
        </w:tc>
      </w:tr>
    </w:tbl>
    <w:p>
      <w:pPr>
        <w:pageBreakBefore/>
        <w:spacing w:before="0" w:after="0"/>
      </w:pPr>
    </w:p>
    <w:p>
      <w:r>
        <w:rPr>
          <w:rFonts w:ascii="NanumSquareOTF" w:hAnsi="NanumSquareOTF" w:eastAsia="NanumSquareOTF"/>
          <w:b/>
          <w:i w:val="0"/>
          <w:color w:val="255A1B"/>
          <w:sz w:val="36"/>
        </w:rPr>
        <w:t>SK하이닉스 (000660)</w:t>
      </w:r>
    </w:p>
    <w:p>
      <w:r>
        <w:rPr>
          <w:rFonts w:ascii="NanumSquareOTF" w:hAnsi="NanumSquareOTF" w:eastAsia="NanumSquareOTF"/>
          <w:b w:val="0"/>
          <w:i w:val="0"/>
          <w:color w:val="1D1D1B"/>
          <w:sz w:val="20"/>
        </w:rPr>
        <w:t>KOSPI | 의견 강력 매수 | 점수 13.00 | 신뢰도 0.95</w:t>
      </w:r>
    </w:p>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SK하이닉스 3M Daily Price Trend</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2631043"/>
                  <wp:docPr id="3" name="Picture 3"/>
                  <wp:cNvGraphicFramePr>
                    <a:graphicFrameLocks noChangeAspect="1"/>
                  </wp:cNvGraphicFramePr>
                  <a:graphic>
                    <a:graphicData uri="http://schemas.openxmlformats.org/drawingml/2006/picture">
                      <pic:pic>
                        <pic:nvPicPr>
                          <pic:cNvPr id="0" name="000660_SK하이닉스_daily_3mo.png"/>
                          <pic:cNvPicPr/>
                        </pic:nvPicPr>
                        <pic:blipFill>
                          <a:blip r:embed="rId12"/>
                          <a:stretch>
                            <a:fillRect/>
                          </a:stretch>
                        </pic:blipFill>
                        <pic:spPr>
                          <a:xfrm>
                            <a:off x="0" y="0"/>
                            <a:ext cx="5806440" cy="2631043"/>
                          </a:xfrm>
                          <a:prstGeom prst="rect"/>
                        </pic:spPr>
                      </pic:pic>
                    </a:graphicData>
                  </a:graphic>
                </wp:inline>
              </w:drawing>
            </w:r>
          </w:p>
          <w:p>
            <w:pPr>
              <w:jc w:val="center"/>
            </w:pPr>
            <w:r>
              <w:rPr>
                <w:rFonts w:ascii="NanumSquareOTF" w:hAnsi="NanumSquareOTF" w:eastAsia="NanumSquareOTF"/>
                <w:b w:val="0"/>
                <w:i/>
                <w:color w:val="6E6E6E"/>
                <w:sz w:val="18"/>
              </w:rPr>
              <w:t>3개월 일봉 종가 흐름 (2026-02-27 ~ 2026-05-27) | Latest close 2,243,000.00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- 3M Daily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1) 추세 평가</w:t>
              <w:br/>
              <w:t>- 단기~중기(3개월 기준): 명확한 상승 추세. 4월 초 바닥 형성 후 고저(고점·저점)가 상승하는 구조를 보이며 5월 들어 가속화된 상승(파라볼릭 성격)을 시현하고 있음.</w:t>
              <w:br/>
              <w:t>- 모멘텀: 최근 구간의 가파른 상승은 강한 매수 모멘텀을 시사하나, 직전 급등의 기울기가 매우 가파른 점은 단기 과열·단기 조정 위험을 높임.</w:t>
              <w:br/>
              <w:br/>
              <w:t>2) 주요 지지·저항</w:t>
              <w:br/>
              <w:t>- 단기 저항: 최근 고점 약 2,240,000 수준(차트 최종값)이 현재의 명확한 저항(또는 기준점)으로 작용.</w:t>
              <w:br/>
              <w:t>- 중요한 심리·기술적 레벨: 2,000,000 부근(심리적·최근 횡보 저항 변수).</w:t>
              <w:br/>
              <w:t>- 단기 지지: 최근 급등 직전의 횡보·되돌림 저점 약 1,800,000 수준.</w:t>
              <w:br/>
              <w:t>- 추가 하방 지지(강한 매수 구간): 추세 초반 상승 전환점 및 이전 저점군인 약 1,400,000–1,200,000 구간, 3월~4월에 형성된 바닥권(약 800,000–900,000)은 더 장기적 안전성 확인 지점.</w:t>
              <w:br/>
              <w:br/>
              <w:t>3) 강세 시나리오</w:t>
              <w:br/>
              <w:t xml:space="preserve">- 가격이 최근 돌파(또는 신고가) 구간인 2,000,000–2,240,000 수준을 지지로 전환하며 유지될 경우 상승 추세의 지속 가능성이 높아짐. </w:t>
              <w:br/>
              <w:t>- 단기 조정 시 1,800,000 부근에서 수요가 유입되어 되돌림 후 재상승(플래그/플레그-브레이크아웃) 발생하면 추가 상승 여지(추세 가속)가 기대됨.</w:t>
              <w:br/>
              <w:br/>
              <w:t>4) 약세 시나리오</w:t>
              <w:br/>
              <w:t xml:space="preserve">- 현재 급등 구간에서 매도 압력이 강해져 2,000,000 이하로 급락, 또는 1,800,000을 하회할 경우 상승 추세의 약화 신호로 간주. </w:t>
              <w:br/>
              <w:t>- 특히 1,600,000~1,400,000 구간까지의 되돌림이 나타나면 상승 전환의 신뢰도가 떨어지며 추세 전환(상승 → 횡보/하락) 가능성이 커짐.</w:t>
              <w:br/>
              <w:t>- 최근의 가파른 상승은 단기 급락(익절·공포성 매도)을 유발할 수 있음.</w:t>
              <w:br/>
              <w:br/>
              <w:t>5) 제안되는 트레이딩 바이어스</w:t>
              <w:br/>
              <w:t>- 중립에서 약간의 매수(중립→롱) 편향: 전반적 추세는 강세이나 급등의 과열·조정 리스크가 존재하므로, 분할 매수(평단화)·손절 관리가 필요. 보수적 접근 시 되돌림에서 지지 확인 후 진입 권장.</w:t>
              <w:br/>
              <w:t>- 단기 트레이드 관점에서는 승/리스크가 이미 축소된 상태이므로 포지션 크기를 제한하는 것이 바람직해 보임.</w:t>
              <w:br/>
              <w:br/>
              <w:t>6) 리스크 팩터</w:t>
              <w:br/>
              <w:t>- 차트에 거래량 표시가 없어 거래량 기반 확인(돌파의 신뢰도)을 평가할 수 없음. 일반적으로 돌파 동반 거래량 증가 여부는 중요하므로 현재는 불확실성 존재.</w:t>
              <w:br/>
              <w:t>- 최근의 가파른 상승은 변동성 확대와 급락 리스크(단기 과매수)를 동반할 가능성이 있음.</w:t>
              <w:br/>
              <w:t>- 외부 이벤트(공시·산업 뉴스 등)는 차트에 표시되지 않으므로 추가 변동을 유발할 수 있음.</w:t>
              <w:br/>
              <w:t>- 주요 지지 이탈 시 손실이 빠르게 확대될 수 있으므로 명확한 손절(예: 최근 지지 1,800,000 이탈 시 재검토) 규칙 필요.</w:t>
              <w:br/>
              <w:br/>
              <w:t>요약: 차트상으로는 강한 상승 추세가 확인되나, 최근의 급격한 가속은 단기 조정 위험을 높임. 거래량 데이터 부재로 돌파 신뢰도를 확언하기 어렵기 때문에 되돌림에서 지지 확인 후 분할 진입하는 보수적 전략을 권장함.</w:t>
            </w:r>
          </w:p>
        </w:tc>
      </w:tr>
    </w:tbl>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SK하이닉스 1M Intraday Price / Volume</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3266122"/>
                  <wp:docPr id="4" name="Picture 4"/>
                  <wp:cNvGraphicFramePr>
                    <a:graphicFrameLocks noChangeAspect="1"/>
                  </wp:cNvGraphicFramePr>
                  <a:graphic>
                    <a:graphicData uri="http://schemas.openxmlformats.org/drawingml/2006/picture">
                      <pic:pic>
                        <pic:nvPicPr>
                          <pic:cNvPr id="0" name="000660_SK하이닉스_intraday_1m.png"/>
                          <pic:cNvPicPr/>
                        </pic:nvPicPr>
                        <pic:blipFill>
                          <a:blip r:embed="rId13"/>
                          <a:stretch>
                            <a:fillRect/>
                          </a:stretch>
                        </pic:blipFill>
                        <pic:spPr>
                          <a:xfrm>
                            <a:off x="0" y="0"/>
                            <a:ext cx="5806440" cy="3266122"/>
                          </a:xfrm>
                          <a:prstGeom prst="rect"/>
                        </pic:spPr>
                      </pic:pic>
                    </a:graphicData>
                  </a:graphic>
                </wp:inline>
              </w:drawing>
            </w:r>
          </w:p>
          <w:p>
            <w:pPr>
              <w:jc w:val="center"/>
            </w:pPr>
            <w:r>
              <w:rPr>
                <w:rFonts w:ascii="NanumSquareOTF" w:hAnsi="NanumSquareOTF" w:eastAsia="NanumSquareOTF"/>
                <w:b w:val="0"/>
                <w:i/>
                <w:color w:val="6E6E6E"/>
                <w:sz w:val="18"/>
              </w:rPr>
              <w:t>1분봉 주가/거래량 (2026-05-27 13:40 ~ 2026-05-27 14:59) | Latest close 2,279,000.00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- 1M Intraday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요약: 제공된 1분 차트(표시된 O/H/L/C: O 2,300,000 / H 2,317,000 / L 2,239,000 / C 2,279,000, V:17.5k)를 바탕으로 시세구조·모멘텀·거래량 관계 등을 관찰한 결과를 정리합니다.</w:t>
              <w:br/>
              <w:br/>
              <w:t>1) 추세 평가</w:t>
              <w:br/>
              <w:t xml:space="preserve">- 단기(분봉) 관점에서 전반적으로 하방 편향을 보입니다. 14:00 전후에 고점(약 2,317k)을 형성한 뒤 일련의 저점과 고점이 점차 낮아지는 구조(하향 연속)가 관찰됩니다.  </w:t>
              <w:br/>
              <w:t>- 다만 종가 직전 급락 후 뚜렷한 반등이 발생해 즉각적인 반전 신호(단기 반등)는 보이나, 반등이 지속되어 이전의 고점 구조를 넘지 못하면 전체 단기 추세는 여전히 약세로 해석될 가능성이 큽니다.</w:t>
              <w:br/>
              <w:br/>
              <w:t>2) 주요 지지·저항 레벨 (차트상 눈에 보이는 수준)</w:t>
              <w:br/>
              <w:t xml:space="preserve">- 명확한 지지: 약 2,239,000 (이번 세션 저점) → 2,240k 부근은 즉각적인 하방 지지로 작용.  </w:t>
              <w:br/>
              <w:t xml:space="preserve">- 2차 지지(단기): 2,260k ~ 2,270k 영역에 매물대와 짧은 수급 지지 흔적 관찰.  </w:t>
              <w:br/>
              <w:t xml:space="preserve">- 즉시 저항: 2,290k ~ 2,300k 구간(시가 2,300k 근처 포함) → 가격이 반복해서 이 부근에서 탄력 저하.  </w:t>
              <w:br/>
              <w:t>- 강한 저항(고점): 약 2,317,000(세션 최고치).</w:t>
              <w:br/>
              <w:br/>
              <w:t>3) 황소(상승) 시나리오</w:t>
              <w:br/>
              <w:t xml:space="preserve">- 종가 주변(2,279k)에서 지속적으로 거래량을 동반한 추가 상승이 나오며 2,290k~2,300k를 돌파하면 단기 하락 추세의 교정 국면 진입 가능성이 커집니다.  </w:t>
              <w:br/>
              <w:t xml:space="preserve">- 돌파 후 2,300k 이상에서 지지 전환(재시험에서 지지 확인)이 나타나면 2,317k 부근까지 회복을 노릴 수 있습니다.  </w:t>
              <w:br/>
              <w:t>- 특히 저점(2,239k)에서의 급격한 매수(거래량 증가)가 이어지면 반전 모멘텀이 강화될 여지가 있습니다.</w:t>
              <w:br/>
              <w:br/>
              <w:t>4) 약세(하락) 시나리오</w:t>
              <w:br/>
              <w:t xml:space="preserve">- 현재처럼 낮은 고점(하향 고점) 구조가 유지되면서 2,270k 이하로 재하락하면 2,239k 저점 재시험 및 하향 돌파 가능성이 높아집니다.  </w:t>
              <w:br/>
              <w:t xml:space="preserve">- 저점(2,239k) 아래로 거래량을 동반한 붕괴가 나올 경우 추가 하락 구간(새로운 저점 형성)으로 이어질 위험이 큽니다.  </w:t>
              <w:br/>
              <w:t>- 반등이 나오더라도 2,290k~2,300k 구간에서 뚜렷한 매물 저항에 막히면 다시 하락 압력이 가중될 수 있습니다.</w:t>
              <w:br/>
              <w:br/>
              <w:t>5) 권장 트레이딩 편향</w:t>
              <w:br/>
              <w:t xml:space="preserve">- 단기 관점에서는 중립→약소매(보수적 숏 옵셋) 기울기. 즉, 명확한 거래 신호(저항 돌파 또는 지지 유효성 확인)가 나오기 전까지는 적극적인 롱 포지션보다는 관망이나 짧은 스케일의 숏·스캘프 접근이 합리적일 것으로 판단됩니다.  </w:t>
              <w:br/>
              <w:t>- 반등 시에도 2,300k 부근을 명확히 상향 돌파하고 그 위에서 확인(재시험 후 지지)될 때만 편향을 롱으로 전환 고려.</w:t>
              <w:br/>
              <w:br/>
              <w:t>6) 리스크 요인</w:t>
              <w:br/>
              <w:t xml:space="preserve">- 거래량의 급격한 변화: 종가 직전과 마감 근처에서 거래량이 급증했는데, 이는 일시적 호가흔들기(스퀴즈·쇼핑)나 시간대별 유동성 편중일 수 있어 신뢰성 과대평가 위험이 있음.  </w:t>
              <w:br/>
              <w:t xml:space="preserve">- 분봉 차트의 노이즈: 1분 차트는 변동성이 크고 허위 돌파(false breakout)가 빈번하므로 진입·손절을 엄격히 관리해야 함.  </w:t>
              <w:br/>
              <w:t xml:space="preserve">- 상위 시간대(예: 일봉·시간봉) 추세와 충돌할 경우 분봉에서의 반등이 큰 의미를 못 가질 가능성. (이미 제공된 차트만으로 상위 구조를 확인할 수 없음)  </w:t>
              <w:br/>
              <w:t>- 급락 후 반등은 단기 공매수 청산(숏커버링)에 의한 기술적 반등일 수 있어, 기본적 재료나 추가 수급 확인 없이는 지속성에 의문이 남음.</w:t>
              <w:br/>
              <w:br/>
              <w:t>결론: 현재 차트는 단기 하향 구조 속에서 저점(약 2,239k)에서 거래량을 동반한 반등을 보이고 있으나, 핵심 저항(2,290k~2,300k)을 상향 돌파하지 못하면 약세 우세 관점이 유지될 가능성이 큽니다. 따라서 확인 가능한 돌파 또는 지지 확인 전에는 보수적(중립·약숏) 접근을 권합니다.</w:t>
            </w:r>
          </w:p>
        </w:tc>
      </w:tr>
    </w:tbl>
    <w:tbl>
      <w:tblPr>
        <w:tblW w:type="auto" w:w="0"/>
        <w:jc w:val="center"/>
        <w:tblLayout w:type="fixed"/>
        <w:tblLook w:firstColumn="1" w:firstRow="1" w:lastColumn="0" w:lastRow="0" w:noHBand="0" w:noVBand="1" w:val="04A0"/>
      </w:tblPr>
      <w:tblGrid>
        <w:gridCol w:w="2581"/>
        <w:gridCol w:w="2581"/>
        <w:gridCol w:w="2581"/>
        <w:gridCol w:w="2581"/>
      </w:tblGrid>
      <w:tr>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종가</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PER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PBR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ROE</w:t>
            </w:r>
          </w:p>
        </w:tc>
      </w:tr>
      <w:tr>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2,243,000.00</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37.15</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13.22</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44.14%</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Financial Snapshot</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재무 기준일은 2025-12-31이다. PER은 37.15, PBR은 13.22, ROE는 44.14% 수준이다. 시가총액은 1,595조 4,842억로 집계된다. 기술적 시장 국면은 추세장으로 분류된다.</w:t>
            </w:r>
          </w:p>
        </w:tc>
      </w:tr>
    </w:tbl>
    <w:p>
      <w:pPr>
        <w:spacing w:before="80"/>
      </w:pPr>
      <w:r>
        <w:rPr>
          <w:rFonts w:ascii="NanumSquareOTF" w:hAnsi="NanumSquareOTF" w:eastAsia="NanumSquareOTF"/>
          <w:b/>
          <w:i w:val="0"/>
          <w:color w:val="255A1B"/>
          <w:sz w:val="26"/>
        </w:rPr>
        <w:t>Financial Indicators</w:t>
      </w:r>
    </w:p>
    <w:tbl>
      <w:tblPr>
        <w:tblStyle w:val="TableGrid"/>
        <w:tblW w:type="auto" w:w="0"/>
        <w:jc w:val="center"/>
        <w:tblLook w:firstColumn="1" w:firstRow="1" w:lastColumn="0" w:lastRow="0" w:noHBand="0" w:noVBand="1" w:val="04A0"/>
      </w:tblPr>
      <w:tblGrid>
        <w:gridCol w:w="2581"/>
        <w:gridCol w:w="2581"/>
        <w:gridCol w:w="2581"/>
        <w:gridCol w:w="2581"/>
      </w:tblGrid>
      <w:tr>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r>
      <w:tr>
        <w:tc>
          <w:tcPr>
            <w:tcW w:type="dxa" w:w="2581"/>
            <w:shd w:fill="F6F2EC"/>
          </w:tcPr>
          <w:p>
            <w:r/>
            <w:r>
              <w:rPr>
                <w:rFonts w:ascii="NanumSquareOTF" w:hAnsi="NanumSquareOTF" w:eastAsia="NanumSquareOTF"/>
                <w:b w:val="0"/>
                <w:i w:val="0"/>
                <w:sz w:val="20"/>
              </w:rPr>
              <w:t>PER</w:t>
            </w:r>
          </w:p>
        </w:tc>
        <w:tc>
          <w:tcPr>
            <w:tcW w:type="dxa" w:w="2581"/>
            <w:shd w:fill="F6F2EC"/>
          </w:tcPr>
          <w:p>
            <w:r/>
            <w:r>
              <w:rPr>
                <w:rFonts w:ascii="NanumSquareOTF" w:hAnsi="NanumSquareOTF" w:eastAsia="NanumSquareOTF"/>
                <w:b w:val="0"/>
                <w:i w:val="0"/>
                <w:sz w:val="20"/>
              </w:rPr>
              <w:t>37.15</w:t>
            </w:r>
          </w:p>
        </w:tc>
        <w:tc>
          <w:tcPr>
            <w:tcW w:type="dxa" w:w="2581"/>
            <w:shd w:fill="F6F2EC"/>
          </w:tcPr>
          <w:p>
            <w:r/>
            <w:r>
              <w:rPr>
                <w:rFonts w:ascii="NanumSquareOTF" w:hAnsi="NanumSquareOTF" w:eastAsia="NanumSquareOTF"/>
                <w:b w:val="0"/>
                <w:i w:val="0"/>
                <w:sz w:val="20"/>
              </w:rPr>
              <w:t>PBR</w:t>
            </w:r>
          </w:p>
        </w:tc>
        <w:tc>
          <w:tcPr>
            <w:tcW w:type="dxa" w:w="2581"/>
            <w:shd w:fill="F6F2EC"/>
          </w:tcPr>
          <w:p>
            <w:r/>
            <w:r>
              <w:rPr>
                <w:rFonts w:ascii="NanumSquareOTF" w:hAnsi="NanumSquareOTF" w:eastAsia="NanumSquareOTF"/>
                <w:b w:val="0"/>
                <w:i w:val="0"/>
                <w:sz w:val="20"/>
              </w:rPr>
              <w:t>13.22</w:t>
            </w:r>
          </w:p>
        </w:tc>
      </w:tr>
      <w:tr>
        <w:tc>
          <w:tcPr>
            <w:tcW w:type="dxa" w:w="2581"/>
            <w:shd w:fill="FFFFFF"/>
          </w:tcPr>
          <w:p>
            <w:r/>
            <w:r>
              <w:rPr>
                <w:rFonts w:ascii="NanumSquareOTF" w:hAnsi="NanumSquareOTF" w:eastAsia="NanumSquareOTF"/>
                <w:b w:val="0"/>
                <w:i w:val="0"/>
                <w:sz w:val="20"/>
              </w:rPr>
              <w:t>PCR</w:t>
            </w:r>
          </w:p>
        </w:tc>
        <w:tc>
          <w:tcPr>
            <w:tcW w:type="dxa" w:w="2581"/>
            <w:shd w:fill="FFFFFF"/>
          </w:tcPr>
          <w:p>
            <w:r/>
            <w:r>
              <w:rPr>
                <w:rFonts w:ascii="NanumSquareOTF" w:hAnsi="NanumSquareOTF" w:eastAsia="NanumSquareOTF"/>
                <w:b w:val="0"/>
                <w:i w:val="0"/>
                <w:sz w:val="20"/>
              </w:rPr>
              <w:t>29.89</w:t>
            </w:r>
          </w:p>
        </w:tc>
        <w:tc>
          <w:tcPr>
            <w:tcW w:type="dxa" w:w="2581"/>
            <w:shd w:fill="FFFFFF"/>
          </w:tcPr>
          <w:p>
            <w:r/>
            <w:r>
              <w:rPr>
                <w:rFonts w:ascii="NanumSquareOTF" w:hAnsi="NanumSquareOTF" w:eastAsia="NanumSquareOTF"/>
                <w:b w:val="0"/>
                <w:i w:val="0"/>
                <w:sz w:val="20"/>
              </w:rPr>
              <w:t>EV/EBITDA</w:t>
            </w:r>
          </w:p>
        </w:tc>
        <w:tc>
          <w:tcPr>
            <w:tcW w:type="dxa" w:w="2581"/>
            <w:shd w:fill="FFFFFF"/>
          </w:tcPr>
          <w:p>
            <w:r/>
            <w:r>
              <w:rPr>
                <w:rFonts w:ascii="NanumSquareOTF" w:hAnsi="NanumSquareOTF" w:eastAsia="NanumSquareOTF"/>
                <w:b w:val="0"/>
                <w:i w:val="0"/>
                <w:sz w:val="20"/>
              </w:rPr>
              <w:t>N/A</w:t>
            </w:r>
          </w:p>
        </w:tc>
      </w:tr>
      <w:tr>
        <w:tc>
          <w:tcPr>
            <w:tcW w:type="dxa" w:w="2581"/>
            <w:shd w:fill="F6F2EC"/>
          </w:tcPr>
          <w:p>
            <w:r/>
            <w:r>
              <w:rPr>
                <w:rFonts w:ascii="NanumSquareOTF" w:hAnsi="NanumSquareOTF" w:eastAsia="NanumSquareOTF"/>
                <w:b w:val="0"/>
                <w:i w:val="0"/>
                <w:sz w:val="20"/>
              </w:rPr>
              <w:t>EPS</w:t>
            </w:r>
          </w:p>
        </w:tc>
        <w:tc>
          <w:tcPr>
            <w:tcW w:type="dxa" w:w="2581"/>
            <w:shd w:fill="F6F2EC"/>
          </w:tcPr>
          <w:p>
            <w:r/>
            <w:r>
              <w:rPr>
                <w:rFonts w:ascii="NanumSquareOTF" w:hAnsi="NanumSquareOTF" w:eastAsia="NanumSquareOTF"/>
                <w:b w:val="0"/>
                <w:i w:val="0"/>
                <w:sz w:val="20"/>
              </w:rPr>
              <w:t>60,378.00</w:t>
            </w:r>
          </w:p>
        </w:tc>
        <w:tc>
          <w:tcPr>
            <w:tcW w:type="dxa" w:w="2581"/>
            <w:shd w:fill="F6F2EC"/>
          </w:tcPr>
          <w:p>
            <w:r/>
            <w:r>
              <w:rPr>
                <w:rFonts w:ascii="NanumSquareOTF" w:hAnsi="NanumSquareOTF" w:eastAsia="NanumSquareOTF"/>
                <w:b w:val="0"/>
                <w:i w:val="0"/>
                <w:sz w:val="20"/>
              </w:rPr>
              <w:t>BPS</w:t>
            </w:r>
          </w:p>
        </w:tc>
        <w:tc>
          <w:tcPr>
            <w:tcW w:type="dxa" w:w="2581"/>
            <w:shd w:fill="F6F2EC"/>
          </w:tcPr>
          <w:p>
            <w:r/>
            <w:r>
              <w:rPr>
                <w:rFonts w:ascii="NanumSquareOTF" w:hAnsi="NanumSquareOTF" w:eastAsia="NanumSquareOTF"/>
                <w:b w:val="0"/>
                <w:i w:val="0"/>
                <w:sz w:val="20"/>
              </w:rPr>
              <w:t>169,638.49</w:t>
            </w:r>
          </w:p>
        </w:tc>
      </w:tr>
      <w:tr>
        <w:tc>
          <w:tcPr>
            <w:tcW w:type="dxa" w:w="2581"/>
            <w:shd w:fill="FFFFFF"/>
          </w:tcPr>
          <w:p>
            <w:r/>
            <w:r>
              <w:rPr>
                <w:rFonts w:ascii="NanumSquareOTF" w:hAnsi="NanumSquareOTF" w:eastAsia="NanumSquareOTF"/>
                <w:b w:val="0"/>
                <w:i w:val="0"/>
                <w:sz w:val="20"/>
              </w:rPr>
              <w:t>EBITDA</w:t>
            </w:r>
          </w:p>
        </w:tc>
        <w:tc>
          <w:tcPr>
            <w:tcW w:type="dxa" w:w="2581"/>
            <w:shd w:fill="FFFFFF"/>
          </w:tcPr>
          <w:p>
            <w:r/>
            <w:r>
              <w:rPr>
                <w:rFonts w:ascii="NanumSquareOTF" w:hAnsi="NanumSquareOTF" w:eastAsia="NanumSquareOTF"/>
                <w:b w:val="0"/>
                <w:i w:val="0"/>
                <w:sz w:val="20"/>
              </w:rPr>
              <w:t>N/A</w:t>
            </w:r>
          </w:p>
        </w:tc>
        <w:tc>
          <w:tcPr>
            <w:tcW w:type="dxa" w:w="2581"/>
            <w:shd w:fill="FFFFFF"/>
          </w:tcPr>
          <w:p>
            <w:r/>
            <w:r>
              <w:rPr>
                <w:rFonts w:ascii="NanumSquareOTF" w:hAnsi="NanumSquareOTF" w:eastAsia="NanumSquareOTF"/>
                <w:b w:val="0"/>
                <w:i w:val="0"/>
                <w:sz w:val="20"/>
              </w:rPr>
              <w:t>CashDPS</w:t>
            </w:r>
          </w:p>
        </w:tc>
        <w:tc>
          <w:tcPr>
            <w:tcW w:type="dxa" w:w="2581"/>
            <w:shd w:fill="FFFFFF"/>
          </w:tcPr>
          <w:p>
            <w:r/>
            <w:r>
              <w:rPr>
                <w:rFonts w:ascii="NanumSquareOTF" w:hAnsi="NanumSquareOTF" w:eastAsia="NanumSquareOTF"/>
                <w:b w:val="0"/>
                <w:i w:val="0"/>
                <w:sz w:val="20"/>
              </w:rPr>
              <w:t>2,363.46</w:t>
            </w:r>
          </w:p>
        </w:tc>
      </w:tr>
      <w:tr>
        <w:tc>
          <w:tcPr>
            <w:tcW w:type="dxa" w:w="2581"/>
            <w:shd w:fill="F6F2EC"/>
          </w:tcPr>
          <w:p>
            <w:r/>
            <w:r>
              <w:rPr>
                <w:rFonts w:ascii="NanumSquareOTF" w:hAnsi="NanumSquareOTF" w:eastAsia="NanumSquareOTF"/>
                <w:b w:val="0"/>
                <w:i w:val="0"/>
                <w:sz w:val="20"/>
              </w:rPr>
              <w:t>Cash Dividend Yield</w:t>
            </w:r>
          </w:p>
        </w:tc>
        <w:tc>
          <w:tcPr>
            <w:tcW w:type="dxa" w:w="2581"/>
            <w:shd w:fill="F6F2EC"/>
          </w:tcPr>
          <w:p>
            <w:r/>
            <w:r>
              <w:rPr>
                <w:rFonts w:ascii="NanumSquareOTF" w:hAnsi="NanumSquareOTF" w:eastAsia="NanumSquareOTF"/>
                <w:b w:val="0"/>
                <w:i w:val="0"/>
                <w:sz w:val="20"/>
              </w:rPr>
              <w:t>0.11%</w:t>
            </w:r>
          </w:p>
        </w:tc>
        <w:tc>
          <w:tcPr>
            <w:tcW w:type="dxa" w:w="2581"/>
            <w:shd w:fill="F6F2EC"/>
          </w:tcPr>
          <w:p>
            <w:r/>
            <w:r>
              <w:rPr>
                <w:rFonts w:ascii="NanumSquareOTF" w:hAnsi="NanumSquareOTF" w:eastAsia="NanumSquareOTF"/>
                <w:b w:val="0"/>
                <w:i w:val="0"/>
                <w:sz w:val="20"/>
              </w:rPr>
              <w:t>ROE</w:t>
            </w:r>
          </w:p>
        </w:tc>
        <w:tc>
          <w:tcPr>
            <w:tcW w:type="dxa" w:w="2581"/>
            <w:shd w:fill="F6F2EC"/>
          </w:tcPr>
          <w:p>
            <w:r/>
            <w:r>
              <w:rPr>
                <w:rFonts w:ascii="NanumSquareOTF" w:hAnsi="NanumSquareOTF" w:eastAsia="NanumSquareOTF"/>
                <w:b w:val="0"/>
                <w:i w:val="0"/>
                <w:sz w:val="20"/>
              </w:rPr>
              <w:t>44.14%</w:t>
            </w:r>
          </w:p>
        </w:tc>
      </w:tr>
      <w:tr>
        <w:tc>
          <w:tcPr>
            <w:tcW w:type="dxa" w:w="2581"/>
            <w:shd w:fill="FFFFFF"/>
          </w:tcPr>
          <w:p>
            <w:r/>
            <w:r>
              <w:rPr>
                <w:rFonts w:ascii="NanumSquareOTF" w:hAnsi="NanumSquareOTF" w:eastAsia="NanumSquareOTF"/>
                <w:b w:val="0"/>
                <w:i w:val="0"/>
                <w:sz w:val="20"/>
              </w:rPr>
              <w:t>부채비율</w:t>
            </w:r>
          </w:p>
        </w:tc>
        <w:tc>
          <w:tcPr>
            <w:tcW w:type="dxa" w:w="2581"/>
            <w:shd w:fill="FFFFFF"/>
          </w:tcPr>
          <w:p>
            <w:r/>
            <w:r>
              <w:rPr>
                <w:rFonts w:ascii="NanumSquareOTF" w:hAnsi="NanumSquareOTF" w:eastAsia="NanumSquareOTF"/>
                <w:b w:val="0"/>
                <w:i w:val="0"/>
                <w:sz w:val="20"/>
              </w:rPr>
              <w:t>45.9450</w:t>
            </w:r>
          </w:p>
        </w:tc>
        <w:tc>
          <w:tcPr>
            <w:tcW w:type="dxa" w:w="2581"/>
            <w:shd w:fill="FFFFFF"/>
          </w:tcPr>
          <w:p>
            <w:r/>
            <w:r>
              <w:rPr>
                <w:rFonts w:ascii="NanumSquareOTF" w:hAnsi="NanumSquareOTF" w:eastAsia="NanumSquareOTF"/>
                <w:b w:val="0"/>
                <w:i w:val="0"/>
                <w:sz w:val="20"/>
              </w:rPr>
              <w:t>유동비율</w:t>
            </w:r>
          </w:p>
        </w:tc>
        <w:tc>
          <w:tcPr>
            <w:tcW w:type="dxa" w:w="2581"/>
            <w:shd w:fill="FFFFFF"/>
          </w:tcPr>
          <w:p>
            <w:r/>
            <w:r>
              <w:rPr>
                <w:rFonts w:ascii="NanumSquareOTF" w:hAnsi="NanumSquareOTF" w:eastAsia="NanumSquareOTF"/>
                <w:b w:val="0"/>
                <w:i w:val="0"/>
                <w:sz w:val="20"/>
              </w:rPr>
              <w:t>185.8210</w:t>
            </w:r>
          </w:p>
        </w:tc>
      </w:tr>
      <w:tr>
        <w:tc>
          <w:tcPr>
            <w:tcW w:type="dxa" w:w="2581"/>
            <w:shd w:fill="F6F2EC"/>
          </w:tcPr>
          <w:p>
            <w:r/>
            <w:r>
              <w:rPr>
                <w:rFonts w:ascii="NanumSquareOTF" w:hAnsi="NanumSquareOTF" w:eastAsia="NanumSquareOTF"/>
                <w:b w:val="0"/>
                <w:i w:val="0"/>
                <w:sz w:val="20"/>
              </w:rPr>
              <w:t>영업이익률</w:t>
            </w:r>
          </w:p>
        </w:tc>
        <w:tc>
          <w:tcPr>
            <w:tcW w:type="dxa" w:w="2581"/>
            <w:shd w:fill="F6F2EC"/>
          </w:tcPr>
          <w:p>
            <w:r/>
            <w:r>
              <w:rPr>
                <w:rFonts w:ascii="NanumSquareOTF" w:hAnsi="NanumSquareOTF" w:eastAsia="NanumSquareOTF"/>
                <w:b w:val="0"/>
                <w:i w:val="0"/>
                <w:sz w:val="20"/>
              </w:rPr>
              <w:t>48.59%</w:t>
            </w:r>
          </w:p>
        </w:tc>
        <w:tc>
          <w:tcPr>
            <w:tcW w:type="dxa" w:w="2581"/>
            <w:shd w:fill="F6F2EC"/>
          </w:tcPr>
          <w:p>
            <w:r/>
            <w:r>
              <w:rPr>
                <w:rFonts w:ascii="NanumSquareOTF" w:hAnsi="NanumSquareOTF" w:eastAsia="NanumSquareOTF"/>
                <w:b w:val="0"/>
                <w:i w:val="0"/>
                <w:sz w:val="20"/>
              </w:rPr>
              <w:t>순이익률</w:t>
            </w:r>
          </w:p>
        </w:tc>
        <w:tc>
          <w:tcPr>
            <w:tcW w:type="dxa" w:w="2581"/>
            <w:shd w:fill="F6F2EC"/>
          </w:tcPr>
          <w:p>
            <w:r/>
            <w:r>
              <w:rPr>
                <w:rFonts w:ascii="NanumSquareOTF" w:hAnsi="NanumSquareOTF" w:eastAsia="NanumSquareOTF"/>
                <w:b w:val="0"/>
                <w:i w:val="0"/>
                <w:sz w:val="20"/>
              </w:rPr>
              <w:t>44.21%</w:t>
            </w:r>
          </w:p>
        </w:tc>
      </w:tr>
      <w:tr>
        <w:tc>
          <w:tcPr>
            <w:tcW w:type="dxa" w:w="2581"/>
            <w:shd w:fill="FFFFFF"/>
          </w:tcPr>
          <w:p>
            <w:r/>
            <w:r>
              <w:rPr>
                <w:rFonts w:ascii="NanumSquareOTF" w:hAnsi="NanumSquareOTF" w:eastAsia="NanumSquareOTF"/>
                <w:b w:val="0"/>
                <w:i w:val="0"/>
                <w:sz w:val="20"/>
              </w:rPr>
              <w:t>시가총액</w:t>
            </w:r>
          </w:p>
        </w:tc>
        <w:tc>
          <w:tcPr>
            <w:tcW w:type="dxa" w:w="2581"/>
            <w:shd w:fill="FFFFFF"/>
          </w:tcPr>
          <w:p>
            <w:r/>
            <w:r>
              <w:rPr>
                <w:rFonts w:ascii="NanumSquareOTF" w:hAnsi="NanumSquareOTF" w:eastAsia="NanumSquareOTF"/>
                <w:b w:val="0"/>
                <w:i w:val="0"/>
                <w:sz w:val="20"/>
              </w:rPr>
              <w:t>1,595조 4,842억</w:t>
            </w:r>
          </w:p>
        </w:tc>
        <w:tc>
          <w:tcPr>
            <w:tcW w:type="dxa" w:w="2581"/>
            <w:shd w:fill="FFFFFF"/>
          </w:tcPr>
          <w:p>
            <w:r/>
            <w:r>
              <w:rPr>
                <w:rFonts w:ascii="NanumSquareOTF" w:hAnsi="NanumSquareOTF" w:eastAsia="NanumSquareOTF"/>
                <w:b w:val="0"/>
                <w:i w:val="0"/>
                <w:sz w:val="20"/>
              </w:rPr>
              <w:t>기업가치(EV)</w:t>
            </w:r>
          </w:p>
        </w:tc>
        <w:tc>
          <w:tcPr>
            <w:tcW w:type="dxa" w:w="2581"/>
            <w:shd w:fill="FFFFFF"/>
          </w:tcPr>
          <w:p>
            <w:r/>
            <w:r>
              <w:rPr>
                <w:rFonts w:ascii="NanumSquareOTF" w:hAnsi="NanumSquareOTF" w:eastAsia="NanumSquareOTF"/>
                <w:b w:val="0"/>
                <w:i w:val="0"/>
                <w:sz w:val="20"/>
              </w:rPr>
              <w:t>1,588조 7,222억</w:t>
            </w:r>
          </w:p>
        </w:tc>
      </w:tr>
      <w:tr>
        <w:tc>
          <w:tcPr>
            <w:tcW w:type="dxa" w:w="2581"/>
            <w:shd w:fill="F6F2EC"/>
          </w:tcPr>
          <w:p>
            <w:r/>
            <w:r>
              <w:rPr>
                <w:rFonts w:ascii="NanumSquareOTF" w:hAnsi="NanumSquareOTF" w:eastAsia="NanumSquareOTF"/>
                <w:b w:val="0"/>
                <w:i w:val="0"/>
                <w:sz w:val="20"/>
              </w:rPr>
              <w:t>발행주식수</w:t>
            </w:r>
          </w:p>
        </w:tc>
        <w:tc>
          <w:tcPr>
            <w:tcW w:type="dxa" w:w="2581"/>
            <w:shd w:fill="F6F2EC"/>
          </w:tcPr>
          <w:p>
            <w:r/>
            <w:r>
              <w:rPr>
                <w:rFonts w:ascii="NanumSquareOTF" w:hAnsi="NanumSquareOTF" w:eastAsia="NanumSquareOTF"/>
                <w:b w:val="0"/>
                <w:i w:val="0"/>
                <w:sz w:val="20"/>
              </w:rPr>
              <w:t>7.11억주</w:t>
            </w:r>
          </w:p>
        </w:tc>
        <w:tc>
          <w:tcPr>
            <w:tcW w:type="dxa" w:w="2581"/>
            <w:shd w:fill="F6F2EC"/>
          </w:tcPr>
          <w:p>
            <w:r/>
            <w:r>
              <w:rPr>
                <w:rFonts w:ascii="NanumSquareOTF" w:hAnsi="NanumSquareOTF" w:eastAsia="NanumSquareOTF"/>
                <w:b w:val="0"/>
                <w:i w:val="0"/>
                <w:sz w:val="20"/>
              </w:rPr>
            </w:r>
          </w:p>
        </w:tc>
        <w:tc>
          <w:tcPr>
            <w:tcW w:type="dxa" w:w="2581"/>
            <w:shd w:fill="F6F2EC"/>
          </w:tcPr>
          <w:p>
            <w:r/>
            <w:r>
              <w:rPr>
                <w:rFonts w:ascii="NanumSquareOTF" w:hAnsi="NanumSquareOTF" w:eastAsia="NanumSquareOTF"/>
                <w:b w:val="0"/>
                <w:i w:val="0"/>
                <w:sz w:val="20"/>
              </w:rPr>
            </w:r>
          </w:p>
        </w:tc>
      </w:tr>
    </w:tbl>
    <w:p>
      <w:r>
        <w:rPr>
          <w:rFonts w:ascii="NanumSquareOTF" w:hAnsi="NanumSquareOTF" w:eastAsia="NanumSquareOTF"/>
          <w:b w:val="0"/>
          <w:i/>
          <w:color w:val="6E6E6E"/>
          <w:sz w:val="18"/>
        </w:rPr>
        <w:t>재무 기준일: 2025-12-31 | 출처: OpenDART</w:t>
      </w:r>
    </w:p>
    <w:sectPr w:rsidR="00FC693F" w:rsidRPr="0006063C" w:rsidSect="00034616">
      <w:headerReference w:type="default" r:id="rId9"/>
      <w:pgSz w:w="11909" w:h="16834"/>
      <w:pgMar w:top="648" w:right="792" w:bottom="720" w:left="792" w:header="31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Pr>
    <w:tblGrid>
      <w:gridCol w:w="7776"/>
      <w:gridCol w:w="2592"/>
    </w:tblGrid>
    <w:tr>
      <w:tc>
        <w:tcPr>
          <w:tcW w:type="dxa" w:w="5162"/>
          <w:tcBorders>
            <w:top w:val="nil"/>
            <w:left w:val="nil"/>
            <w:bottom w:val="single" w:sz="12" w:color="1E7032"/>
            <w:right w:val="nil"/>
            <w:insideH w:val="nil"/>
            <w:insideV w:val="nil"/>
          </w:tcBorders>
          <w:tcMar>
            <w:top w:w="0" w:type="dxa"/>
            <w:bottom w:w="40" w:type="dxa"/>
            <w:start w:w="0" w:type="dxa"/>
            <w:end w:w="0" w:type="dxa"/>
          </w:tcMar>
        </w:tcPr>
        <w:p>
          <w:r/>
          <w:r>
            <w:rPr>
              <w:rFonts w:ascii="NanumSquareOTF" w:hAnsi="NanumSquareOTF" w:eastAsia="NanumSquareOTF"/>
              <w:b w:val="0"/>
              <w:i w:val="0"/>
              <w:color w:val="1D1D1B"/>
              <w:sz w:val="22"/>
            </w:rPr>
            <w:t>Research | 2026.05.27</w:t>
          </w:r>
        </w:p>
      </w:tc>
      <w:tc>
        <w:tcPr>
          <w:tcW w:type="dxa" w:w="5162"/>
          <w:tcBorders>
            <w:top w:val="nil"/>
            <w:left w:val="nil"/>
            <w:bottom w:val="single" w:sz="12" w:color="1E7032"/>
            <w:right w:val="nil"/>
            <w:insideH w:val="nil"/>
            <w:insideV w:val="nil"/>
          </w:tcBorders>
          <w:tcMar>
            <w:top w:w="0" w:type="dxa"/>
            <w:bottom w:w="40" w:type="dxa"/>
            <w:start w:w="0" w:type="dxa"/>
            <w:end w:w="0" w:type="dxa"/>
          </w:tcMar>
        </w:tcPr>
        <w:p>
          <w:pPr>
            <w:jc w:val="right"/>
          </w:pPr>
          <w:r/>
          <w:r>
            <w:rPr>
              <w:rFonts w:ascii="NanumSquareOTF" w:hAnsi="NanumSquareOTF" w:eastAsia="NanumSquareOTF"/>
              <w:b/>
              <w:i w:val="0"/>
              <w:color w:val="1E7032"/>
              <w:sz w:val="34"/>
            </w:rPr>
            <w:t>HAF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OTF" w:hAnsi="NanumSquareOTF" w:eastAsia="NanumSquareOT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