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325"/>
      </w:tblGrid>
      <w:tr>
        <w:tc>
          <w:tcPr>
            <w:tcW w:type="dxa" w:w="10325"/>
            <w:tcBorders>
              <w:top w:val="nil"/>
              <w:left w:val="nil"/>
              <w:bottom w:sz="12" w:color="1E7032" w:val="single"/>
              <w:right w:val="nil"/>
              <w:insideH w:val="nil"/>
              <w:insideV w:val="nil"/>
            </w:tcBorders>
            <w:tcMar>
              <w:top w:w="0" w:type="dxa"/>
              <w:bottom w:w="0" w:type="dxa"/>
              <w:start w:w="0" w:type="dxa"/>
              <w:end w:w="0" w:type="dxa"/>
            </w:tcMar>
          </w:tcPr>
          <w:p>
            <w:r/>
            <w:r>
              <w:rPr>
                <w:b w:val="0"/>
                <w:i w:val="0"/>
                <w:sz w:val="2"/>
              </w:rPr>
            </w:r>
          </w:p>
        </w:tc>
      </w:tr>
    </w:tbl>
    <w:p>
      <w:pPr>
        <w:spacing w:after="120"/>
      </w:pPr>
      <w:r>
        <w:rPr>
          <w:rFonts w:ascii="NanumSquareOTF" w:hAnsi="NanumSquareOTF" w:eastAsia="NanumSquareOTF"/>
          <w:b/>
          <w:i w:val="0"/>
          <w:color w:val="1D1D1B"/>
          <w:sz w:val="44"/>
        </w:rPr>
        <w:t>‘악명 높은 IT버블인데’ 그보다 심한 ‘798%’…삼전·하이닉스, 그래도 더 오른다? [투자360]</w:t>
      </w:r>
    </w:p>
    <w:tbl>
      <w:tblPr>
        <w:tblW w:type="auto" w:w="0"/>
        <w:jc w:val="center"/>
        <w:tblLayout w:type="fixed"/>
        <w:tblLook w:firstColumn="1" w:firstRow="1" w:lastColumn="0" w:lastRow="0" w:noHBand="0" w:noVBand="1" w:val="04A0"/>
      </w:tblPr>
      <w:tblGrid>
        <w:gridCol w:w="8352"/>
        <w:gridCol w:w="2880"/>
      </w:tblGrid>
      <w:tr>
        <w:tc>
          <w:tcPr>
            <w:tcW w:type="dxa" w:w="5162"/>
            <w:shd w:fill="1E7032"/>
            <w:tcBorders>
              <w:top w:val="nil"/>
              <w:left w:val="nil"/>
              <w:bottom w:val="nil"/>
              <w:right w:val="nil"/>
              <w:insideH w:val="nil"/>
              <w:insideV w:val="nil"/>
            </w:tcBorders>
            <w:tcMar>
              <w:top w:w="0" w:type="dxa"/>
              <w:bottom w:w="0" w:type="dxa"/>
              <w:start w:w="0" w:type="dxa"/>
              <w:end w:w="0" w:type="dxa"/>
            </w:tcMar>
          </w:tcPr>
          <w:p>
            <w:r/>
            <w:r>
              <w:rPr>
                <w:b w:val="0"/>
                <w:i w:val="0"/>
                <w:sz w:val="2"/>
              </w:rPr>
            </w:r>
          </w:p>
        </w:tc>
        <w:tc>
          <w:tcPr>
            <w:tcW w:type="dxa" w:w="5162"/>
            <w:shd w:fill="E1D601"/>
            <w:tcBorders>
              <w:top w:val="nil"/>
              <w:left w:val="nil"/>
              <w:bottom w:val="nil"/>
              <w:right w:val="nil"/>
              <w:insideH w:val="nil"/>
              <w:insideV w:val="nil"/>
            </w:tcBorders>
            <w:tcMar>
              <w:top w:w="0" w:type="dxa"/>
              <w:bottom w:w="0" w:type="dxa"/>
              <w:start w:w="0" w:type="dxa"/>
              <w:end w:w="0" w:type="dxa"/>
            </w:tcMar>
          </w:tcPr>
          <w:p>
            <w:r/>
            <w:r>
              <w:rPr>
                <w:b w:val="0"/>
                <w:i w:val="0"/>
                <w:sz w:val="2"/>
              </w:rPr>
            </w:r>
          </w:p>
        </w:tc>
      </w:tr>
    </w:tbl>
    <w:tbl>
      <w:tblPr>
        <w:tblW w:type="auto" w:w="0"/>
        <w:jc w:val="center"/>
        <w:tblLook w:firstColumn="1" w:firstRow="1" w:lastColumn="0" w:lastRow="0" w:noHBand="0" w:noVBand="1" w:val="04A0"/>
      </w:tblPr>
      <w:tblGrid>
        <w:gridCol w:w="10325"/>
      </w:tblGrid>
      <w:tr>
        <w:tc>
          <w:tcPr>
            <w:tcW w:type="dxa" w:w="10325"/>
            <w:shd w:fill="EFF5EC"/>
            <w:tcBorders>
              <w:top w:val="nil"/>
              <w:left w:val="nil"/>
              <w:bottom w:val="nil"/>
              <w:right w:val="nil"/>
              <w:insideH w:val="nil"/>
              <w:insideV w:val="nil"/>
            </w:tcBorders>
            <w:tcMar>
              <w:top w:w="180" w:type="dxa"/>
              <w:bottom w:w="180" w:type="dxa"/>
              <w:start w:w="220" w:type="dxa"/>
              <w:end w:w="220" w:type="dxa"/>
            </w:tcMar>
          </w:tcPr>
          <w:p>
            <w:r/>
            <w:r>
              <w:rPr>
                <w:rFonts w:ascii="NanumSquareOTF" w:hAnsi="NanumSquareOTF" w:eastAsia="NanumSquareOTF"/>
                <w:b/>
                <w:i w:val="0"/>
                <w:color w:val="255A1B"/>
                <w:sz w:val="36"/>
              </w:rPr>
              <w:t>KB 퀀트가 집계한 초강세장에서의 실적 기대와 밸류에이션 리스크: 모멘텀은 강하지만 과열 신호는 분명하다</w:t>
            </w:r>
          </w:p>
        </w:tc>
      </w:tr>
    </w:tbl>
    <w:tbl>
      <w:tblPr>
        <w:tblW w:type="auto" w:w="0"/>
        <w:jc w:val="center"/>
        <w:tblLayout w:type="fixed"/>
        <w:tblLook w:firstColumn="1" w:firstRow="1" w:lastColumn="0" w:lastRow="0" w:noHBand="0" w:noVBand="1" w:val="04A0"/>
      </w:tblPr>
      <w:tblGrid>
        <w:gridCol w:w="1475"/>
        <w:gridCol w:w="1475"/>
        <w:gridCol w:w="1475"/>
        <w:gridCol w:w="1475"/>
        <w:gridCol w:w="1475"/>
        <w:gridCol w:w="1475"/>
        <w:gridCol w:w="1475"/>
      </w:tblGrid>
      <w:tr>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종목명</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티커</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시장</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의견</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점수</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신뢰도</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위험도</w:t>
            </w:r>
          </w:p>
        </w:tc>
      </w:tr>
      <w:tr>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삼성전자</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005930</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KOSPI</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강력 매수</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13.00</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0.95</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높음</w:t>
            </w:r>
          </w:p>
        </w:tc>
      </w:tr>
      <w:tr>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SK하이닉스</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000660</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KOSPI</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강력 매수</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12.00</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0.95</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높음</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Summary</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KB증권의 퀀트 통계가 보여준 삼성전자·SK하이닉스 합산 500일 저점 대비 798% 상승은 단순한 수치 이상의 의미를 담고 있다. AI 인프라 투자 확대 기대가 수요·이익 전망을 개선시키며 두 종목의 주가를 강하게 끌어올렸고, 기술적 지표들은 현재를 명확한 상승 추세로 확인해 준다. 다만 주가 수준을 현재의 실적·수익성으로만 설명하기엔 밸류에이션이 상당히 고평가돼 있으며, 경기 둔화·금리 상승·자금조달 이슈 등 버블 붕괴 전조에 대한 경계가 필요하다. 본 리포트는 강한 모멘텀과 높은 밸류에이션 간의 균형을 평가하고, 투자자들이 주의 깊게 관찰해야 할 핵심 지표들을 중심으로 삼성전자(005930)와 SK하이닉스(000660)를 비교·해석한다. 최종 의견은 입력 데이터에 근거한 ‘강력 매수’이나, 예상 위험도는 높음으로 판단한다.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INDUSTRY</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현재 반도체 랠리는 AI 인프라라는 구조적 수요 전환 기대와 개인·수급의 동행으로 지속되고 있다. 기술적·수급 측면에서 삼성전자와 SK하이닉스는 명확한 트렌드 국면에 있으며, 증권사들의 이익 전망 상향 및 밸류에이션 재평가가 추가 상승을 지탱할 수 있다. 그러나 현재의 가격 수준에는 향후 실적의 지속성과 자금 조달 환경, 메모리 가격 변동 리스크가 상당한 전제가 깔려 있다. 따라서 투자전략은 모멘텀을 인정하되 포지션 크기와 리스크 모니터링을 엄격히 관리하는 방향이 합리적이다. KB증권 퀀트의 798% 상승 통계는 이번 랠리가 단순한 사이클 회복이 아니라 시장의 기대 재구성(re-rating)이라는 점을 시사한다. AI 서버와 데이터센터의 메모리·비메모리 수요가 증대될 것이라는 기대가 증권사들의 이익 추정치를 상향시키고, 이는 밸류에이션 프리미엄으로 연결됐다. 동시에 개인 투자자 중심의 강한 수급은 가격을 한층 더 끌어올려 전형적인 추세 장세를 형성했다. 그렇지만 이런 기대는 실수요로 전환되어 지속적으로 확인되어야 한다. 경기 둔화나 금리 상승, AI 기업들의 투자 환경 악화(자금조달 문제 포함) 등은 랠리의 가속력을 급속히 저하시킬 수 있는 대표적 리스크다. 따라서 지금 국면은 ‘기대 기반의 수익 재분배’가 현실로 확인될 때까지 높은 변동성을 동반할 가능성이 크다.</w:t>
            </w:r>
          </w:p>
        </w:tc>
      </w:tr>
    </w:tbl>
    <w:p>
      <w:pPr>
        <w:pageBreakBefore/>
        <w:spacing w:before="0" w:after="0"/>
      </w:pPr>
    </w:p>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Conclusion</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요약하면, 현재의 반도체 랠리는 AI 수요 기대와 강한 수급이 결합된 전형적인 기대 기반의 강세장이다. 삼성전자와 SK하이닉스는 모두 강한 기술적 추세와 증권사들의 이익 상향 기대 속에서 추가 상승 여지가 남아 있지만, 밸류에이션은 이미 상당 부분 미래 성과를 가격에 반영하고 있어 리스크는 높다. 입력된 기술적·재무적 신호를 종합하면 두 종목에 대한 의견은 ‘강력 매수’이지만, 이 평가는 높은 예상 위험도를 전제로 한다. 투자자는 포지션을 취하되 (1) 메모리 가격과 AI 서버 수요의 실질적 확인, (2) 금리 및 거시지표 변화, (3) 거래량·OBV 등 수급 신호의 분기별 변화를 면밀히 모니터링하면서 리스크 한도를 엄격히 관리해야 한다. 현재의 상승을 기회로 활용할 수 있으나, 그 기회는 동일한 크기의 리스크를 동반한다는 사실을 잊지 말아야 한다.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Key Factors</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삼성전자: 강력 매수 / score 13.00 / confidence 0.95</w:t>
              <w:br/>
              <w:t>SK하이닉스: 강력 매수 / score 12.00 / confidence 0.95</w:t>
              <w:br/>
              <w:t>공통 리스크: 현재 랠리의 주요 위험은 세 가지 축에서 요약된다. 첫째, 거시 리스크: 경기 둔화 및 금리 상승은 기술주 전반의 리레이팅을 뒤집을 수 있다. 둘째, 산업·수요 리스크: AI 인프라 투자 확대가 실제 수요로 전환되지 않거나 메모리 가격이 하락하면 SK하이닉스의 고수익성 구조가 급속히 약화될 수 있다. 셋째, 자금·수급 리스크: 개인·레버리지 중심의 과도한 수급이 붕괴될 경우 급격한 주가 조정으로 이어질 수 있다. 추가적으로 밸류에이션 수준 자체가 리스크라는 점을 반복해야 한다. 현재 가격은 향후 이익 개선의 상당 부분을 선반영하고 있으므로 실적 불확실성이 현실화되면 다소 큰 손실로 연결될 가능성이 높다.</w:t>
            </w:r>
          </w:p>
        </w:tc>
      </w:tr>
    </w:tbl>
    <w:p>
      <w:pPr>
        <w:pageBreakBefore/>
        <w:spacing w:before="0" w:after="0"/>
      </w:pPr>
    </w:p>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Financial / Valuation</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주요 재무지표는 랠리의 배경과 리스크를 동시에 설명한다. 삼성전자의 높은 PER와 상대적으로 낮은 ROE 조합은 ‘성장 기대가 선반영된 대형주의 전형’이다. SK하이닉스는 매우 높은 ROE와 마진으로 현재의 고평가를 정당화할 수 있는 요소를 갖추고 있으나 PBR 13.9배는 향후 이익 성장률을 실제로 달성해야만 유지될 수 있다. 두 회사 모두 현금배당수익률은 낮아 배당보다는 자본 이득의 기대가 주가 상승의 주된 동인이라는 점이 명확하다. 이 데이터를 바탕으로 한 해석은 다음과 같다. 첫째, 밸류에이션 프리미엄은 AI 인프라 확대에 대한 시장의 낙관을 반영한다. 둘째, 프리미엄 유지 여부는 실적 확인(매출·마진·서버 수요의 실제 증가)과 거시환경(금리·경기)의 안정성에 의해 좌우될 것이다. 셋째, 현재 수준에서는 작은 실적 미스프리싱이나 메모리 가격의 하락도 배수 하락으로 이어질 수 있는 취약성이 존재한다. 한편 주어진 데이터에 기반한 목표주가나 절대적 적정가 산정은 제공된 정보로는 제한적이므로, 추가적인 수익 추정 업데이트가 없이는 명확한 가격 목표를 제시하기 어렵다.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Technical / Momentum</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기술적 신호는 두 종목 모두에서 강한 상승추세를 지지한다. 삼성전자는 SMA20이 SMA50 위에 있고 EMA20 위의 종가, RSI 77 수준, ADX 36으로 강한 추세가 확인된다. MACD와 양의 히스토그램, OBV의 단기 평균 상회 등 수급 지표도 상승을 뒷받침하며, 거래량은 20% 이상 평균을 상회해 추세의 신뢰도를 높인다. SK하이닉스 역시 SMA20&gt;50, RSI 81, ADX 49 등으로 더욱 강한 추세를 보이며 MACD와 OBV도 상승세를 지지한다. 다만 RSI가 70 이상으로 과열 신호를 보이는 점과 ATR(변동성 지표)이 확대된 점은 조정 시 하방 변동폭이 클 수 있음을 경고한다. 이러한 기술적 환경은 두 가지 함의를 갖는다. 첫째, 모멘텀이 지속되는 한 추가 상승 여지가 존재하나 둘째, 과열 지표는 방향 전환 시 가속화된 하락을 초래할 수 있어 리스크 관리가 중요하다. 결론적으로 현재 국면은 '추세추종자의 손에 유리하나 리스크 관리 없는 추격은 위험한' 상황이다.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Risk Factors</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현재 랠리의 주요 위험은 세 가지 축에서 요약된다. 첫째, 거시 리스크: 경기 둔화 및 금리 상승은 기술주 전반의 리레이팅을 뒤집을 수 있다. 둘째, 산업·수요 리스크: AI 인프라 투자 확대가 실제 수요로 전환되지 않거나 메모리 가격이 하락하면 SK하이닉스의 고수익성 구조가 급속히 약화될 수 있다. 셋째, 자금·수급 리스크: 개인·레버리지 중심의 과도한 수급이 붕괴될 경우 급격한 주가 조정으로 이어질 수 있다. 추가적으로 밸류에이션 수준 자체가 리스크라는 점을 반복해야 한다. 현재 가격은 향후 이익 개선의 상당 부분을 선반영하고 있으므로 실적 불확실성이 현실화되면 다소 큰 손실로 연결될 가능성이 높다.</w:t>
            </w:r>
          </w:p>
        </w:tc>
      </w:tr>
    </w:tbl>
    <w:p>
      <w:pPr>
        <w:pageBreakBefore/>
        <w:spacing w:before="0" w:after="0"/>
      </w:pPr>
    </w:p>
    <w:tbl>
      <w:tblPr>
        <w:tblW w:type="auto" w:w="0"/>
        <w:jc w:val="center"/>
        <w:tblLayout w:type="fixed"/>
        <w:tblLook w:firstColumn="1" w:firstRow="1" w:lastColumn="0" w:lastRow="0" w:noHBand="0" w:noVBand="1" w:val="04A0"/>
      </w:tblPr>
      <w:tblGrid>
        <w:gridCol w:w="3312"/>
        <w:gridCol w:w="6912"/>
      </w:tblGrid>
      <w:tr>
        <w:tc>
          <w:tcPr>
            <w:tcW w:type="dxa" w:w="5162"/>
            <w:shd w:fill="1E7032"/>
            <w:tcBorders>
              <w:top w:val="nil"/>
              <w:left w:val="nil"/>
              <w:bottom w:val="nil"/>
              <w:right w:val="nil"/>
              <w:insideH w:val="nil"/>
              <w:insideV w:val="nil"/>
            </w:tcBorders>
            <w:tcMar>
              <w:top w:w="160" w:type="dxa"/>
              <w:bottom w:w="180" w:type="dxa"/>
              <w:start w:w="160" w:type="dxa"/>
              <w:end w:w="160" w:type="dxa"/>
            </w:tcMar>
            <w:vAlign w:val="top"/>
          </w:tcPr>
          <w:p>
            <w:r>
              <w:rPr>
                <w:rFonts w:ascii="NanumSquareOTF" w:hAnsi="NanumSquareOTF" w:eastAsia="NanumSquareOTF"/>
                <w:b/>
                <w:i w:val="0"/>
                <w:color w:val="FFFFFF"/>
                <w:sz w:val="36"/>
              </w:rPr>
              <w:t>삼성전자</w:t>
              <w:br/>
              <w:t>(005930)</w:t>
            </w:r>
          </w:p>
          <w:p>
            <w:r>
              <w:rPr>
                <w:rFonts w:ascii="NanumSquareOTF" w:hAnsi="NanumSquareOTF" w:eastAsia="NanumSquareOTF"/>
                <w:b w:val="0"/>
                <w:i w:val="0"/>
                <w:color w:val="FFFFFF"/>
                <w:sz w:val="19"/>
              </w:rPr>
              <w:t>KOSPI</w:t>
              <w:br/>
              <w:t>재무 기준일: 2025-12-31</w:t>
              <w:br/>
              <w:t>출처: OpenDART</w:t>
            </w:r>
          </w:p>
          <w:tbl>
            <w:tblPr>
              <w:tblW w:type="auto" w:w="0"/>
              <w:tblLook w:firstColumn="1" w:firstRow="1" w:lastColumn="0" w:lastRow="0" w:noHBand="0" w:noVBand="1" w:val="04A0"/>
            </w:tblPr>
            <w:tblGrid>
              <w:gridCol w:w="5162"/>
            </w:tblGrid>
            <w:tr>
              <w:tc>
                <w:tcPr>
                  <w:tcW w:type="dxa" w:w="5162"/>
                  <w:shd w:fill="FFFFFF"/>
                  <w:tcBorders>
                    <w:top w:val="nil"/>
                    <w:left w:val="nil"/>
                    <w:bottom w:val="nil"/>
                    <w:right w:val="nil"/>
                    <w:insideH w:val="nil"/>
                    <w:insideV w:val="nil"/>
                  </w:tcBorders>
                  <w:tcMar>
                    <w:top w:w="100" w:type="dxa"/>
                    <w:bottom w:w="100" w:type="dxa"/>
                    <w:start w:w="110" w:type="dxa"/>
                    <w:end w:w="110" w:type="dxa"/>
                  </w:tcMar>
                </w:tcPr>
                <w:p>
                  <w:r/>
                  <w:r>
                    <w:rPr>
                      <w:rFonts w:ascii="NanumSquareOTF" w:hAnsi="NanumSquareOTF" w:eastAsia="NanumSquareOTF"/>
                      <w:b w:val="0"/>
                      <w:i w:val="0"/>
                      <w:color w:val="1D1D1B"/>
                      <w:sz w:val="18"/>
                    </w:rPr>
                    <w:t>의견      강력 매수</w:t>
                    <w:br/>
                    <w:t>점수      13.00</w:t>
                    <w:br/>
                    <w:t>신뢰도    0.95</w:t>
                    <w:br/>
                    <w:t>종가      360,500.00</w:t>
                    <w:br/>
                    <w:t>PER       54.60</w:t>
                    <w:br/>
                    <w:t>PBR       5.66</w:t>
                    <w:br/>
                    <w:t>ROE       10.78%</w:t>
                  </w:r>
                </w:p>
              </w:tc>
            </w:tr>
          </w:tbl>
          <w:p/>
        </w:tc>
        <w:tc>
          <w:tcPr>
            <w:tcW w:type="dxa" w:w="5162"/>
            <w:tcBorders>
              <w:top w:val="nil"/>
              <w:left w:val="nil"/>
              <w:bottom w:val="nil"/>
              <w:right w:val="nil"/>
              <w:insideH w:val="nil"/>
              <w:insideV w:val="nil"/>
            </w:tcBorders>
            <w:tcMar>
              <w:top w:w="60" w:type="dxa"/>
              <w:bottom w:w="80" w:type="dxa"/>
              <w:start w:w="150" w:type="dxa"/>
              <w:end w:w="150" w:type="dxa"/>
            </w:tcMar>
            <w:vAlign w:val="top"/>
          </w:tcPr>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OPINION</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삼성전자와 SK하이닉스는 같은 산업 테마 안에서 유사한 외생 변수에 노출돼 있으나 재무 구조와 수익성 지표에서 차별성을 보인다. 삼성전자는 시가총액과 엔터프라이즈 가치 면에서 대형주 지위를 유지하면서도 현재 주가(종가 360,500원)에 반영된 PER 54.6배, PBR 5.66배는 과거 평균 대비 높은 수준으로 해석된다. 해석하자면 삼성전자는 포트폴리오(메모리·시스템·파운드리·디스플레이 등)의 안정성과 AI 관련 수요 확대라는 구조적 스토리를 기반으로 리레이팅이 진행되고 있으나, 현재 밸류에이션은 실적 개선의 지속성을 전제로 한 가격이라는 점에서 민감도가 높다. 두 기업은 동일한 테마 수혜주이지만, 삼성전자는 포트폴리오·규모의 안정성으로 리스크 완충 폭을 제공하는 반면 SK하이닉스는 현재 실적 레버리지가 더 크게 작용하는 구조다.</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Technical / Momentum</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현재 기술 국면은 추세장으로 분류되며, 종합 신호는 강력 매수(점수 13.00, 신뢰도 0.95)다. 최근 20일 평균가격과 50일 평균가격의 상대 위치로 중기 추세를 읽는 이동평균 지표에서, SMA20(290,500.00)이 SMA50(237,649.00) 위에 있어 중기 추세는 우상향으로 해석된다. 최근 가격 압력이 단기적으로 얼마나 강한지를 보여주는 EMA20 기준으로도 종가(360,500.00)가 EMA20(291,928.63) 위에 있어 단기 매수 압력이 우세하다. 단기·장기 이동평균의 간격 변화로 모멘텀 전환을 읽는 MACD 지표는 28020.94이며, 시그널선(22988.44) 위에 있어 상승 모멘텀이 우세하다고, 히스토그램도 양(+)의 구간(5032.51)에 있다. 추세의 세기 자체를 측정하는 ADX는 36.99 수준으로 강한 편이고, 방향성 지표에서는 +DI(44.90)가 -DI(13.54)보다 높아 상승 추세가 우세하다. 거래량이 가격 움직임을 얼마나 뒷받침하는지 보여주는 OBV 흐름도 단기 평균이 장기 평균 위에 있어 수급 측면의 뒷받침이 우호적이다. 가격의 상승·하락 압력이 얼마나 한쪽으로 쏠렸는지 보여주는 RSI 지표는 77.72로, 통상적 기준상 과매수(70 이상) 구간에 해당한다. 변동성 범위 대비 현재 가격 위치를 보여주는 볼린저밴드 기준으로는 주가가 상단을 웃돌아 단기 과열 부담이 있다. 주요 근거로는 SMA20이 SMA50 위에 있어 중기 상승 추세가 확인됩니다, MACD가 시그널선 위에 있어 상승 모멘텀이 나타납니다, 추세장에서 +DI가…</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RISK</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위험도는 높음 수준으로 판단된다. 첫째, PER이 54.60 수준으로 높아 기대가 이미 가격에 반영됐을 가능성이 있어 밸류에이션 조정 부담이 있다. 둘째, PBR이 5.66 수준으로 높아 실적 둔화 시 멀티플 축소 압력이 커질 수 있다. 셋째, RSI가 77.72로 과매수 구간에 있어 단기 차익실현 압력이 확대될 수 있다.</w:t>
                  </w:r>
                </w:p>
              </w:tc>
            </w:tr>
          </w:tbl>
          <w:p/>
        </w:tc>
      </w:tr>
    </w:tbl>
    <w:p>
      <w:pPr>
        <w:pageBreakBefore/>
        <w:spacing w:before="0" w:after="0"/>
      </w:pPr>
    </w:p>
    <w:p>
      <w:r>
        <w:rPr>
          <w:rFonts w:ascii="NanumSquareOTF" w:hAnsi="NanumSquareOTF" w:eastAsia="NanumSquareOTF"/>
          <w:b/>
          <w:i w:val="0"/>
          <w:color w:val="255A1B"/>
          <w:sz w:val="36"/>
        </w:rPr>
        <w:t>삼성전자 (005930)</w:t>
      </w:r>
    </w:p>
    <w:p>
      <w:r>
        <w:rPr>
          <w:rFonts w:ascii="NanumSquareOTF" w:hAnsi="NanumSquareOTF" w:eastAsia="NanumSquareOTF"/>
          <w:b w:val="0"/>
          <w:i w:val="0"/>
          <w:color w:val="1D1D1B"/>
          <w:sz w:val="20"/>
        </w:rPr>
        <w:t>KOSPI | 의견 강력 매수 | 점수 13.00 | 신뢰도 0.95</w:t>
      </w:r>
    </w:p>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삼성전자 3M Daily Price Trend</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2631043"/>
                  <wp:docPr id="1" name="Picture 1"/>
                  <wp:cNvGraphicFramePr>
                    <a:graphicFrameLocks noChangeAspect="1"/>
                  </wp:cNvGraphicFramePr>
                  <a:graphic>
                    <a:graphicData uri="http://schemas.openxmlformats.org/drawingml/2006/picture">
                      <pic:pic>
                        <pic:nvPicPr>
                          <pic:cNvPr id="0" name="005930_삼성전자_daily_3mo.png"/>
                          <pic:cNvPicPr/>
                        </pic:nvPicPr>
                        <pic:blipFill>
                          <a:blip r:embed="rId10"/>
                          <a:stretch>
                            <a:fillRect/>
                          </a:stretch>
                        </pic:blipFill>
                        <pic:spPr>
                          <a:xfrm>
                            <a:off x="0" y="0"/>
                            <a:ext cx="5806440" cy="2631043"/>
                          </a:xfrm>
                          <a:prstGeom prst="rect"/>
                        </pic:spPr>
                      </pic:pic>
                    </a:graphicData>
                  </a:graphic>
                </wp:inline>
              </w:drawing>
            </w:r>
          </w:p>
          <w:p>
            <w:pPr>
              <w:jc w:val="center"/>
            </w:pPr>
            <w:r>
              <w:rPr>
                <w:rFonts w:ascii="NanumSquareOTF" w:hAnsi="NanumSquareOTF" w:eastAsia="NanumSquareOTF"/>
                <w:b w:val="0"/>
                <w:i/>
                <w:color w:val="6E6E6E"/>
                <w:sz w:val="18"/>
              </w:rPr>
              <w:t>3개월 일봉 종가 흐름 (2026-03-03 ~ 2026-06-02) | Latest close 360,500.00</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LLM Technical Comment - 3M Daily</w:t>
            </w:r>
          </w:p>
        </w:tc>
      </w:tr>
      <w:tr>
        <w:tc>
          <w:tcPr>
            <w:tcW w:type="dxa" w:w="10325"/>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1) 추세 평가</w:t>
              <w:br/>
              <w:t>- 차트 상으로 최근 3개월간 가격은 4월 이후 명확한 상승 전환을 보이며 강한 상승 추세를 형성하고 있습니다. 특히 5월 초 이후 기울기가 가팔라지며 모멘텀이 가속화된 모습입니다.</w:t>
              <w:br/>
              <w:t>- 직전 며칠간은 급격한 상승(거의 포물선적 확장)을 보여 단기적으로 과열 신호가 있을 수 있습니다.</w:t>
              <w:br/>
              <w:br/>
              <w:t>2) 주요 지지·저항</w:t>
              <w:br/>
              <w:t>- 단기저항(최근 고점): 360,500원 부근(차트 우측 최종값).</w:t>
              <w:br/>
              <w:t>- 1차 저항/돌파 기준선(직전 박스권 상단): 약 300,000–320,000원 구간(이 구간 돌파 후 가파른 상승).</w:t>
              <w:br/>
              <w:t>- 단기지지: 약 270,000–285,000원(5월 중순 급락 후 지지받은 구간).</w:t>
              <w:br/>
              <w:t>- 중기지지: 약 230,000–250,000원(5월 초 이전 레인지 저점 영역).</w:t>
              <w:br/>
              <w:t>- 장기(차트 초반) 지지: 175,000–200,000원 구간.</w:t>
              <w:br/>
              <w:br/>
              <w:t>3) 상승(강세) 시나리오</w:t>
              <w:br/>
              <w:t>- 최근의 고점 돌파가 거래량으로 뒷받침되고(참고: 본 차트에는 거래량 표시 없음 — 반드시 확인 권고) 단기적으로 320k–330k 구간에서 재시험(retest) 후 지지를 회복하면 상승 모멘텀은 지속될 가능성이 큽니다.</w:t>
              <w:br/>
              <w:t>- 재차 상승이 이어질 경우 심리적·기술적 저항을 차례로 돌파하며 추가적인 고점 경신(예: 380k 수준 이상)으로 이어질 수 있습니다.</w:t>
              <w:br/>
              <w:br/>
              <w:t>4) 하락(약세) 시나리오</w:t>
              <w:br/>
              <w:t>- 급격한 상승 후 단기 과매수와 외부 충격으로 인해 360k 부근에서 즉각적인 이익실현 매물이 출회되면 300k대 전 구간(특히 300k–320k)을 지지로 회복 못하고 손실확대로 전환될 수 있습니다.</w:t>
              <w:br/>
              <w:t>- 최초 실질적 지지 실패 시 270k 전후(최근 급락 후 지지선)로 재하락, 더 약해지면 230k대까지 조정이 발생할 수 있습니다. 최근의 가파른 상승은 단기적 되돌림 확률을 높입니다.</w:t>
              <w:br/>
              <w:br/>
              <w:t>5) 제안된 트레이딩 바이어스</w:t>
              <w:br/>
              <w:t>- 단기적 관점: '매수 편향(long bias)'이나 리스크 관리(손절·포지션 축소)를 병행하는 전략 권고. 명확한 재시험 및 지지 확인 전에는 과도한 레버리지 확대는 신중할 필요가 있습니다.</w:t>
              <w:br/>
              <w:t>- 중기적 관점: '중립→긍정' 정도로 보수적 접근 권장. 추세가 지탱되는지(재시험 후 지지 확인, 거래량 확인)에 따라 비중 조정 권유.</w:t>
              <w:br/>
              <w:br/>
              <w:t>6) 주요 리스크 요인</w:t>
              <w:br/>
              <w:t>- 차트에는 거래량 데이터가 표시되지 않아 돌파의 신뢰성(체결 강도) 판단이 불가합니다. 거래량 확인 없이 돌파를 신뢰하는 것은 위험합니다.</w:t>
              <w:br/>
              <w:t>- 최근의 급격한 상승은 단기적 과매수·과열(피로 누적) 위험을 동반합니다. 갑작스런 이익실현이나 뉴스·시장변동성으로 빠른 되돌림이 발생할 수 있습니다.</w:t>
              <w:br/>
              <w:t>- 큰 폭의 상승 뒤에는 갭 리스크(장중·장전·장마감 사이 가격 변동)와 유동성 리스크가 존재합니다.</w:t>
              <w:br/>
              <w:t>- 기술적 저항 구간에서의 실패(페이크 아웃) 가능성 및 이전 박스권 상한(약 300k대) 부근에서의 진입 타이밍 리스크.</w:t>
              <w:br/>
              <w:br/>
              <w:t>추가 권고: 거래 결정을 위해 차트상의 가격 동작과 함께 거래량, 일간 캔들 팔로우(특히 장대 음봉/양봉 여부), 그리고 단기 리테스트 유무를 확인하는 것을 권합니다.</w:t>
            </w:r>
          </w:p>
        </w:tc>
      </w:tr>
    </w:tbl>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삼성전자 1M Intraday Price / Volume</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005930_삼성전자_intraday_1m.png"/>
                          <pic:cNvPicPr/>
                        </pic:nvPicPr>
                        <pic:blipFill>
                          <a:blip r:embed="rId11"/>
                          <a:stretch>
                            <a:fillRect/>
                          </a:stretch>
                        </pic:blipFill>
                        <pic:spPr>
                          <a:xfrm>
                            <a:off x="0" y="0"/>
                            <a:ext cx="5806440" cy="3266122"/>
                          </a:xfrm>
                          <a:prstGeom prst="rect"/>
                        </pic:spPr>
                      </pic:pic>
                    </a:graphicData>
                  </a:graphic>
                </wp:inline>
              </w:drawing>
            </w:r>
          </w:p>
          <w:p>
            <w:pPr>
              <w:jc w:val="center"/>
            </w:pPr>
            <w:r>
              <w:rPr>
                <w:rFonts w:ascii="NanumSquareOTF" w:hAnsi="NanumSquareOTF" w:eastAsia="NanumSquareOTF"/>
                <w:b w:val="0"/>
                <w:i/>
                <w:color w:val="6E6E6E"/>
                <w:sz w:val="18"/>
              </w:rPr>
              <w:t>1분봉 주가/거래량 (2026-06-02 13:40 ~ 2026-06-02 14:59) | Latest close 361,500.00</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LLM Technical Comment - 1M Intraday</w:t>
            </w:r>
          </w:p>
        </w:tc>
      </w:tr>
      <w:tr>
        <w:tc>
          <w:tcPr>
            <w:tcW w:type="dxa" w:w="10325"/>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1. 추세 평가</w:t>
              <w:br/>
              <w:t>- 단기(1분 차트) 기준으로 명확한 상승 추세가 관찰됩니다. 차트 초반 ~13:40 이후 저점(약 350.5k)에서 시작해 일관된 고저(higher highs, higher lows)를 형성하며 최고점(약 366k)까지 상승했습니다.</w:t>
              <w:br/>
              <w:t>- 상승은 14:30~14:50 구간에서 가속화되었고, 종가는 상승 구간 이후 일부 되돌림을 거친 361.5k에 위치합니다. 즉 최근에는 강한 업트렌드지만 막판의 단기 조정도 나타나고 있습니다.</w:t>
              <w:br/>
              <w:br/>
              <w:t>2. 주요 지지/저항</w:t>
              <w:br/>
              <w:t>- 즉각적 지지(단기): 약 360,000원 부근 — 14:50대 하락 시점에서 가격이 멈춘 레벨입니다.</w:t>
              <w:br/>
              <w:t>- 중간 지지: 약 356,000~357,000원 — 14:20 이전 횡보 구간 상단부로서 이전 레인지의 저항이었고 돌파 후 지지로 작용할 가능성이 있는 레벨입니다.</w:t>
              <w:br/>
              <w:t>- 강한 하방 안전판(당일 저점): 약 350,500원.</w:t>
              <w:br/>
              <w:t>- 단기 저항: 일중 최고점 약 366,000원(최근 고점).</w:t>
              <w:br/>
              <w:t>- 단기 관찰 레벨(심리/매매 참조): 약 362,000~364,000원 — 최고점 전후에서 매도 반응이 반복된 구간입니다.</w:t>
              <w:br/>
              <w:br/>
              <w:t>3. 강세 시나리오 (Bullish)</w:t>
              <w:br/>
              <w:t>- 가격이 현재 종가 수준(약 361.5k) 위에서 지지를 확인하고 거래량이 재차 증가하며 364k~366k 영역을 재돌파하면 단기적인 추가 상승이 예상됩니다.</w:t>
              <w:br/>
              <w:t>- 돌파 시 당일 최고점을 상향 확장하며 새로운 단기 고점 형성이 가능하며, 1분 차트 기준 모멘텀도 재가속화될 것으로 보입니다.</w:t>
              <w:br/>
              <w:t>- 진입전략 예: 360k 부근에서 기술적 지지 확인 후 거래량 동반 리테스트에서 분할 진입 및 손절은 356k 아래에 설정.</w:t>
              <w:br/>
              <w:br/>
              <w:t>4. 약세 시나리오 (Bearish)</w:t>
              <w:br/>
              <w:t>- 360k 지지 이탈 시 356k 부근으로 빠르게 후퇴할 가능성이 있으며, 그 아래로 추가 하락하면 당일 저점(약 350.5k)을 향한 압력이 커질 수 있습니다.</w:t>
              <w:br/>
              <w:t>- 특히 되돌림 구간에서 적지 않은 매도(붉은 봉) 거래량이 동반된다면 상승 피로(분출구간 이후 매물대 형성)로 단기 추세 전환 확률이 높아질 수 있습니다.</w:t>
              <w:br/>
              <w:t>- 단기 숏 전략은 360k 이탈과 동반된 거래량 증가, 또는 364–366k 부근에서 명확한 실패(rejection)가 나타날 때 고려할 수 있습니다.</w:t>
              <w:br/>
              <w:br/>
              <w:t>5. 권장 거래 성향</w:t>
              <w:br/>
              <w:t>- 단기적으론 중립에서 약간의 강세(neutral → mildly bullish)를 권합니다.</w:t>
              <w:br/>
              <w:t xml:space="preserve">  - 이유: 최근 강한 상승 모멘텀이 존재하나 막판에서의 뚜렷한 조정(고점부 매도)과 1분 차트의 잡음성 때문에 확실한 재가속 신호(가격·거래량 동반)가 필요합니다.</w:t>
              <w:br/>
              <w:t xml:space="preserve">  - 실무적 접근: 추세를 따르는 포지션(롱)을 선호하되, 지지(360k, 356k)를 기준으로 엄격한 손절과 분할 진입을 권합니다. 확인 신호(돌파 후 거래량 확대)를 기다린다면 리스크가 낮아질 가능성이 있습니다.</w:t>
              <w:br/>
              <w:br/>
              <w:t>6. 리스크 요인</w:t>
              <w:br/>
              <w:t>- 시간 프레임 리스크: 1분 차트는 노이즈가 크고 잦은 거짓 신호가 발생할 수 있습니다. 장기 추세와의 정합성이 확인되지 않은 점에 유의해야 합니다.</w:t>
              <w:br/>
              <w:t>- 거래량 신호 해석: 고점 부근에서의 거래량 증가는 전형적 피로 신호일 수 있습니다. 매도 거래량이 증가하면 급격한 되돌림 가능성이 커집니다.</w:t>
              <w:br/>
              <w:t>- 손절 미설정 위험: 급격한 변동(짧은 시간에 큰 폭 이동)이 발생할 수 있어 엄격한 리스크 관리가 필요합니다.</w:t>
              <w:br/>
              <w:t>- 모멘텀 소멸 가능성: 상승 가속 구간 이후 모멘텀이 약화될 경우 하루 중 반등이 무너지고 빠른 차익 실현 매물이 출회될 수 있습니다.</w:t>
              <w:br/>
              <w:t>- 외부 변수(차트에 보이지 않음): 뉴스·대외 변수는 본 차트에는 표시되지 않으므로, 실거래 시 추가 정보에 의한 급변에 유의해야 합니다.</w:t>
              <w:br/>
              <w:br/>
              <w:t>결론적으로, 현재 차트는 단기 상승 추세를 시사하나 최근 고점 부근의 매도 반응과 일부 거래량 패턴은 손익 관리 없는 공격적 롱 포지션에 대해 경계할 근거를 제공합니다. 확인 신호(지지 유지 + 거래량 동반 재돌파)를 우선 관찰하는 접근을 권합니다.</w:t>
            </w:r>
          </w:p>
        </w:tc>
      </w:tr>
    </w:tbl>
    <w:tbl>
      <w:tblPr>
        <w:tblW w:type="auto" w:w="0"/>
        <w:jc w:val="center"/>
        <w:tblLayout w:type="fixed"/>
        <w:tblLook w:firstColumn="1" w:firstRow="1" w:lastColumn="0" w:lastRow="0" w:noHBand="0" w:noVBand="1" w:val="04A0"/>
      </w:tblPr>
      <w:tblGrid>
        <w:gridCol w:w="2581"/>
        <w:gridCol w:w="2581"/>
        <w:gridCol w:w="2581"/>
        <w:gridCol w:w="2581"/>
      </w:tblGrid>
      <w:tr>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종가</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PER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PBR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ROE</w:t>
            </w:r>
          </w:p>
        </w:tc>
      </w:tr>
      <w:tr>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360,500.00</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54.60</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5.66</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10.78%</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Financial Snapshot</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재무 기준일은 2025-12-31이다. PER은 54.60, PBR은 5.66, ROE는 10.78% 수준이다. 시가총액은 2,468조 1,286억로 집계된다. 기술적 시장 국면은 추세장으로 분류된다.</w:t>
            </w:r>
          </w:p>
        </w:tc>
      </w:tr>
    </w:tbl>
    <w:p>
      <w:pPr>
        <w:spacing w:before="80"/>
      </w:pPr>
      <w:r>
        <w:rPr>
          <w:rFonts w:ascii="NanumSquareOTF" w:hAnsi="NanumSquareOTF" w:eastAsia="NanumSquareOTF"/>
          <w:b/>
          <w:i w:val="0"/>
          <w:color w:val="255A1B"/>
          <w:sz w:val="26"/>
        </w:rPr>
        <w:t>Financial Indicators</w:t>
      </w:r>
    </w:p>
    <w:tbl>
      <w:tblPr>
        <w:tblStyle w:val="TableGrid"/>
        <w:tblW w:type="auto" w:w="0"/>
        <w:jc w:val="center"/>
        <w:tblLook w:firstColumn="1" w:firstRow="1" w:lastColumn="0" w:lastRow="0" w:noHBand="0" w:noVBand="1" w:val="04A0"/>
      </w:tblPr>
      <w:tblGrid>
        <w:gridCol w:w="2581"/>
        <w:gridCol w:w="2581"/>
        <w:gridCol w:w="2581"/>
        <w:gridCol w:w="2581"/>
      </w:tblGrid>
      <w:tr>
        <w:tc>
          <w:tcPr>
            <w:tcW w:type="dxa" w:w="2581"/>
            <w:shd w:fill="111111"/>
          </w:tcPr>
          <w:p>
            <w:r/>
            <w:r>
              <w:rPr>
                <w:rFonts w:ascii="NanumSquareOTF" w:hAnsi="NanumSquareOTF" w:eastAsia="NanumSquareOTF"/>
                <w:b/>
                <w:i w:val="0"/>
                <w:color w:val="FFFFFF"/>
                <w:sz w:val="20"/>
              </w:rPr>
              <w:t>지표</w:t>
            </w:r>
          </w:p>
        </w:tc>
        <w:tc>
          <w:tcPr>
            <w:tcW w:type="dxa" w:w="2581"/>
            <w:shd w:fill="111111"/>
          </w:tcPr>
          <w:p>
            <w:r/>
            <w:r>
              <w:rPr>
                <w:rFonts w:ascii="NanumSquareOTF" w:hAnsi="NanumSquareOTF" w:eastAsia="NanumSquareOTF"/>
                <w:b/>
                <w:i w:val="0"/>
                <w:color w:val="FFFFFF"/>
                <w:sz w:val="20"/>
              </w:rPr>
              <w:t>값</w:t>
            </w:r>
          </w:p>
        </w:tc>
        <w:tc>
          <w:tcPr>
            <w:tcW w:type="dxa" w:w="2581"/>
            <w:shd w:fill="111111"/>
          </w:tcPr>
          <w:p>
            <w:r/>
            <w:r>
              <w:rPr>
                <w:rFonts w:ascii="NanumSquareOTF" w:hAnsi="NanumSquareOTF" w:eastAsia="NanumSquareOTF"/>
                <w:b/>
                <w:i w:val="0"/>
                <w:color w:val="FFFFFF"/>
                <w:sz w:val="20"/>
              </w:rPr>
              <w:t>지표</w:t>
            </w:r>
          </w:p>
        </w:tc>
        <w:tc>
          <w:tcPr>
            <w:tcW w:type="dxa" w:w="2581"/>
            <w:shd w:fill="111111"/>
          </w:tcPr>
          <w:p>
            <w:r/>
            <w:r>
              <w:rPr>
                <w:rFonts w:ascii="NanumSquareOTF" w:hAnsi="NanumSquareOTF" w:eastAsia="NanumSquareOTF"/>
                <w:b/>
                <w:i w:val="0"/>
                <w:color w:val="FFFFFF"/>
                <w:sz w:val="20"/>
              </w:rPr>
              <w:t>값</w:t>
            </w:r>
          </w:p>
        </w:tc>
      </w:tr>
      <w:tr>
        <w:tc>
          <w:tcPr>
            <w:tcW w:type="dxa" w:w="2581"/>
            <w:shd w:fill="F6F2EC"/>
          </w:tcPr>
          <w:p>
            <w:r/>
            <w:r>
              <w:rPr>
                <w:rFonts w:ascii="NanumSquareOTF" w:hAnsi="NanumSquareOTF" w:eastAsia="NanumSquareOTF"/>
                <w:b w:val="0"/>
                <w:i w:val="0"/>
                <w:sz w:val="20"/>
              </w:rPr>
              <w:t>PER</w:t>
            </w:r>
          </w:p>
        </w:tc>
        <w:tc>
          <w:tcPr>
            <w:tcW w:type="dxa" w:w="2581"/>
            <w:shd w:fill="F6F2EC"/>
          </w:tcPr>
          <w:p>
            <w:r/>
            <w:r>
              <w:rPr>
                <w:rFonts w:ascii="NanumSquareOTF" w:hAnsi="NanumSquareOTF" w:eastAsia="NanumSquareOTF"/>
                <w:b w:val="0"/>
                <w:i w:val="0"/>
                <w:sz w:val="20"/>
              </w:rPr>
              <w:t>54.60</w:t>
            </w:r>
          </w:p>
        </w:tc>
        <w:tc>
          <w:tcPr>
            <w:tcW w:type="dxa" w:w="2581"/>
            <w:shd w:fill="F6F2EC"/>
          </w:tcPr>
          <w:p>
            <w:r/>
            <w:r>
              <w:rPr>
                <w:rFonts w:ascii="NanumSquareOTF" w:hAnsi="NanumSquareOTF" w:eastAsia="NanumSquareOTF"/>
                <w:b w:val="0"/>
                <w:i w:val="0"/>
                <w:sz w:val="20"/>
              </w:rPr>
              <w:t>PBR</w:t>
            </w:r>
          </w:p>
        </w:tc>
        <w:tc>
          <w:tcPr>
            <w:tcW w:type="dxa" w:w="2581"/>
            <w:shd w:fill="F6F2EC"/>
          </w:tcPr>
          <w:p>
            <w:r/>
            <w:r>
              <w:rPr>
                <w:rFonts w:ascii="NanumSquareOTF" w:hAnsi="NanumSquareOTF" w:eastAsia="NanumSquareOTF"/>
                <w:b w:val="0"/>
                <w:i w:val="0"/>
                <w:sz w:val="20"/>
              </w:rPr>
              <w:t>5.66</w:t>
            </w:r>
          </w:p>
        </w:tc>
      </w:tr>
      <w:tr>
        <w:tc>
          <w:tcPr>
            <w:tcW w:type="dxa" w:w="2581"/>
            <w:shd w:fill="FFFFFF"/>
          </w:tcPr>
          <w:p>
            <w:r/>
            <w:r>
              <w:rPr>
                <w:rFonts w:ascii="NanumSquareOTF" w:hAnsi="NanumSquareOTF" w:eastAsia="NanumSquareOTF"/>
                <w:b w:val="0"/>
                <w:i w:val="0"/>
                <w:sz w:val="20"/>
              </w:rPr>
              <w:t>PCR</w:t>
            </w:r>
          </w:p>
        </w:tc>
        <w:tc>
          <w:tcPr>
            <w:tcW w:type="dxa" w:w="2581"/>
            <w:shd w:fill="FFFFFF"/>
          </w:tcPr>
          <w:p>
            <w:r/>
            <w:r>
              <w:rPr>
                <w:rFonts w:ascii="NanumSquareOTF" w:hAnsi="NanumSquareOTF" w:eastAsia="NanumSquareOTF"/>
                <w:b w:val="0"/>
                <w:i w:val="0"/>
                <w:sz w:val="20"/>
              </w:rPr>
              <w:t>28.93</w:t>
            </w:r>
          </w:p>
        </w:tc>
        <w:tc>
          <w:tcPr>
            <w:tcW w:type="dxa" w:w="2581"/>
            <w:shd w:fill="FFFFFF"/>
          </w:tcPr>
          <w:p>
            <w:r/>
            <w:r>
              <w:rPr>
                <w:rFonts w:ascii="NanumSquareOTF" w:hAnsi="NanumSquareOTF" w:eastAsia="NanumSquareOTF"/>
                <w:b w:val="0"/>
                <w:i w:val="0"/>
                <w:sz w:val="20"/>
              </w:rPr>
              <w:t>EV/EBITDA</w:t>
            </w:r>
          </w:p>
        </w:tc>
        <w:tc>
          <w:tcPr>
            <w:tcW w:type="dxa" w:w="2581"/>
            <w:shd w:fill="FFFFFF"/>
          </w:tcPr>
          <w:p>
            <w:r/>
            <w:r>
              <w:rPr>
                <w:rFonts w:ascii="NanumSquareOTF" w:hAnsi="NanumSquareOTF" w:eastAsia="NanumSquareOTF"/>
                <w:b w:val="0"/>
                <w:i w:val="0"/>
                <w:sz w:val="20"/>
              </w:rPr>
              <w:t>N/A</w:t>
            </w:r>
          </w:p>
        </w:tc>
      </w:tr>
      <w:tr>
        <w:tc>
          <w:tcPr>
            <w:tcW w:type="dxa" w:w="2581"/>
            <w:shd w:fill="F6F2EC"/>
          </w:tcPr>
          <w:p>
            <w:r/>
            <w:r>
              <w:rPr>
                <w:rFonts w:ascii="NanumSquareOTF" w:hAnsi="NanumSquareOTF" w:eastAsia="NanumSquareOTF"/>
                <w:b w:val="0"/>
                <w:i w:val="0"/>
                <w:sz w:val="20"/>
              </w:rPr>
              <w:t>EPS</w:t>
            </w:r>
          </w:p>
        </w:tc>
        <w:tc>
          <w:tcPr>
            <w:tcW w:type="dxa" w:w="2581"/>
            <w:shd w:fill="F6F2EC"/>
          </w:tcPr>
          <w:p>
            <w:r/>
            <w:r>
              <w:rPr>
                <w:rFonts w:ascii="NanumSquareOTF" w:hAnsi="NanumSquareOTF" w:eastAsia="NanumSquareOTF"/>
                <w:b w:val="0"/>
                <w:i w:val="0"/>
                <w:sz w:val="20"/>
              </w:rPr>
              <w:t>6,603.00</w:t>
            </w:r>
          </w:p>
        </w:tc>
        <w:tc>
          <w:tcPr>
            <w:tcW w:type="dxa" w:w="2581"/>
            <w:shd w:fill="F6F2EC"/>
          </w:tcPr>
          <w:p>
            <w:r/>
            <w:r>
              <w:rPr>
                <w:rFonts w:ascii="NanumSquareOTF" w:hAnsi="NanumSquareOTF" w:eastAsia="NanumSquareOTF"/>
                <w:b w:val="0"/>
                <w:i w:val="0"/>
                <w:sz w:val="20"/>
              </w:rPr>
              <w:t>BPS</w:t>
            </w:r>
          </w:p>
        </w:tc>
        <w:tc>
          <w:tcPr>
            <w:tcW w:type="dxa" w:w="2581"/>
            <w:shd w:fill="F6F2EC"/>
          </w:tcPr>
          <w:p>
            <w:r/>
            <w:r>
              <w:rPr>
                <w:rFonts w:ascii="NanumSquareOTF" w:hAnsi="NanumSquareOTF" w:eastAsia="NanumSquareOTF"/>
                <w:b w:val="0"/>
                <w:i w:val="0"/>
                <w:sz w:val="20"/>
              </w:rPr>
              <w:t>63,729.86</w:t>
            </w:r>
          </w:p>
        </w:tc>
      </w:tr>
      <w:tr>
        <w:tc>
          <w:tcPr>
            <w:tcW w:type="dxa" w:w="2581"/>
            <w:shd w:fill="FFFFFF"/>
          </w:tcPr>
          <w:p>
            <w:r/>
            <w:r>
              <w:rPr>
                <w:rFonts w:ascii="NanumSquareOTF" w:hAnsi="NanumSquareOTF" w:eastAsia="NanumSquareOTF"/>
                <w:b w:val="0"/>
                <w:i w:val="0"/>
                <w:sz w:val="20"/>
              </w:rPr>
              <w:t>EBITDA</w:t>
            </w:r>
          </w:p>
        </w:tc>
        <w:tc>
          <w:tcPr>
            <w:tcW w:type="dxa" w:w="2581"/>
            <w:shd w:fill="FFFFFF"/>
          </w:tcPr>
          <w:p>
            <w:r/>
            <w:r>
              <w:rPr>
                <w:rFonts w:ascii="NanumSquareOTF" w:hAnsi="NanumSquareOTF" w:eastAsia="NanumSquareOTF"/>
                <w:b w:val="0"/>
                <w:i w:val="0"/>
                <w:sz w:val="20"/>
              </w:rPr>
              <w:t>N/A</w:t>
            </w:r>
          </w:p>
        </w:tc>
        <w:tc>
          <w:tcPr>
            <w:tcW w:type="dxa" w:w="2581"/>
            <w:shd w:fill="FFFFFF"/>
          </w:tcPr>
          <w:p>
            <w:r/>
            <w:r>
              <w:rPr>
                <w:rFonts w:ascii="NanumSquareOTF" w:hAnsi="NanumSquareOTF" w:eastAsia="NanumSquareOTF"/>
                <w:b w:val="0"/>
                <w:i w:val="0"/>
                <w:sz w:val="20"/>
              </w:rPr>
              <w:t>CashDPS</w:t>
            </w:r>
          </w:p>
        </w:tc>
        <w:tc>
          <w:tcPr>
            <w:tcW w:type="dxa" w:w="2581"/>
            <w:shd w:fill="FFFFFF"/>
          </w:tcPr>
          <w:p>
            <w:r/>
            <w:r>
              <w:rPr>
                <w:rFonts w:ascii="NanumSquareOTF" w:hAnsi="NanumSquareOTF" w:eastAsia="NanumSquareOTF"/>
                <w:b w:val="0"/>
                <w:i w:val="0"/>
                <w:sz w:val="20"/>
              </w:rPr>
              <w:t>1,445.60</w:t>
            </w:r>
          </w:p>
        </w:tc>
      </w:tr>
      <w:tr>
        <w:tc>
          <w:tcPr>
            <w:tcW w:type="dxa" w:w="2581"/>
            <w:shd w:fill="F6F2EC"/>
          </w:tcPr>
          <w:p>
            <w:r/>
            <w:r>
              <w:rPr>
                <w:rFonts w:ascii="NanumSquareOTF" w:hAnsi="NanumSquareOTF" w:eastAsia="NanumSquareOTF"/>
                <w:b w:val="0"/>
                <w:i w:val="0"/>
                <w:sz w:val="20"/>
              </w:rPr>
              <w:t>Cash Dividend Yield</w:t>
            </w:r>
          </w:p>
        </w:tc>
        <w:tc>
          <w:tcPr>
            <w:tcW w:type="dxa" w:w="2581"/>
            <w:shd w:fill="F6F2EC"/>
          </w:tcPr>
          <w:p>
            <w:r/>
            <w:r>
              <w:rPr>
                <w:rFonts w:ascii="NanumSquareOTF" w:hAnsi="NanumSquareOTF" w:eastAsia="NanumSquareOTF"/>
                <w:b w:val="0"/>
                <w:i w:val="0"/>
                <w:sz w:val="20"/>
              </w:rPr>
              <w:t>0.40%</w:t>
            </w:r>
          </w:p>
        </w:tc>
        <w:tc>
          <w:tcPr>
            <w:tcW w:type="dxa" w:w="2581"/>
            <w:shd w:fill="F6F2EC"/>
          </w:tcPr>
          <w:p>
            <w:r/>
            <w:r>
              <w:rPr>
                <w:rFonts w:ascii="NanumSquareOTF" w:hAnsi="NanumSquareOTF" w:eastAsia="NanumSquareOTF"/>
                <w:b w:val="0"/>
                <w:i w:val="0"/>
                <w:sz w:val="20"/>
              </w:rPr>
              <w:t>ROE</w:t>
            </w:r>
          </w:p>
        </w:tc>
        <w:tc>
          <w:tcPr>
            <w:tcW w:type="dxa" w:w="2581"/>
            <w:shd w:fill="F6F2EC"/>
          </w:tcPr>
          <w:p>
            <w:r/>
            <w:r>
              <w:rPr>
                <w:rFonts w:ascii="NanumSquareOTF" w:hAnsi="NanumSquareOTF" w:eastAsia="NanumSquareOTF"/>
                <w:b w:val="0"/>
                <w:i w:val="0"/>
                <w:sz w:val="20"/>
              </w:rPr>
              <w:t>10.78%</w:t>
            </w:r>
          </w:p>
        </w:tc>
      </w:tr>
      <w:tr>
        <w:tc>
          <w:tcPr>
            <w:tcW w:type="dxa" w:w="2581"/>
            <w:shd w:fill="FFFFFF"/>
          </w:tcPr>
          <w:p>
            <w:r/>
            <w:r>
              <w:rPr>
                <w:rFonts w:ascii="NanumSquareOTF" w:hAnsi="NanumSquareOTF" w:eastAsia="NanumSquareOTF"/>
                <w:b w:val="0"/>
                <w:i w:val="0"/>
                <w:sz w:val="20"/>
              </w:rPr>
              <w:t>부채비율</w:t>
            </w:r>
          </w:p>
        </w:tc>
        <w:tc>
          <w:tcPr>
            <w:tcW w:type="dxa" w:w="2581"/>
            <w:shd w:fill="FFFFFF"/>
          </w:tcPr>
          <w:p>
            <w:r/>
            <w:r>
              <w:rPr>
                <w:rFonts w:ascii="NanumSquareOTF" w:hAnsi="NanumSquareOTF" w:eastAsia="NanumSquareOTF"/>
                <w:b w:val="0"/>
                <w:i w:val="0"/>
                <w:sz w:val="20"/>
              </w:rPr>
              <w:t>29.9370</w:t>
            </w:r>
          </w:p>
        </w:tc>
        <w:tc>
          <w:tcPr>
            <w:tcW w:type="dxa" w:w="2581"/>
            <w:shd w:fill="FFFFFF"/>
          </w:tcPr>
          <w:p>
            <w:r/>
            <w:r>
              <w:rPr>
                <w:rFonts w:ascii="NanumSquareOTF" w:hAnsi="NanumSquareOTF" w:eastAsia="NanumSquareOTF"/>
                <w:b w:val="0"/>
                <w:i w:val="0"/>
                <w:sz w:val="20"/>
              </w:rPr>
              <w:t>유동비율</w:t>
            </w:r>
          </w:p>
        </w:tc>
        <w:tc>
          <w:tcPr>
            <w:tcW w:type="dxa" w:w="2581"/>
            <w:shd w:fill="FFFFFF"/>
          </w:tcPr>
          <w:p>
            <w:r/>
            <w:r>
              <w:rPr>
                <w:rFonts w:ascii="NanumSquareOTF" w:hAnsi="NanumSquareOTF" w:eastAsia="NanumSquareOTF"/>
                <w:b w:val="0"/>
                <w:i w:val="0"/>
                <w:sz w:val="20"/>
              </w:rPr>
              <w:t>232.7610</w:t>
            </w:r>
          </w:p>
        </w:tc>
      </w:tr>
      <w:tr>
        <w:tc>
          <w:tcPr>
            <w:tcW w:type="dxa" w:w="2581"/>
            <w:shd w:fill="F6F2EC"/>
          </w:tcPr>
          <w:p>
            <w:r/>
            <w:r>
              <w:rPr>
                <w:rFonts w:ascii="NanumSquareOTF" w:hAnsi="NanumSquareOTF" w:eastAsia="NanumSquareOTF"/>
                <w:b w:val="0"/>
                <w:i w:val="0"/>
                <w:sz w:val="20"/>
              </w:rPr>
              <w:t>영업이익률</w:t>
            </w:r>
          </w:p>
        </w:tc>
        <w:tc>
          <w:tcPr>
            <w:tcW w:type="dxa" w:w="2581"/>
            <w:shd w:fill="F6F2EC"/>
          </w:tcPr>
          <w:p>
            <w:r/>
            <w:r>
              <w:rPr>
                <w:rFonts w:ascii="NanumSquareOTF" w:hAnsi="NanumSquareOTF" w:eastAsia="NanumSquareOTF"/>
                <w:b w:val="0"/>
                <w:i w:val="0"/>
                <w:sz w:val="20"/>
              </w:rPr>
              <w:t>13.07%</w:t>
            </w:r>
          </w:p>
        </w:tc>
        <w:tc>
          <w:tcPr>
            <w:tcW w:type="dxa" w:w="2581"/>
            <w:shd w:fill="F6F2EC"/>
          </w:tcPr>
          <w:p>
            <w:r/>
            <w:r>
              <w:rPr>
                <w:rFonts w:ascii="NanumSquareOTF" w:hAnsi="NanumSquareOTF" w:eastAsia="NanumSquareOTF"/>
                <w:b w:val="0"/>
                <w:i w:val="0"/>
                <w:sz w:val="20"/>
              </w:rPr>
              <w:t>순이익률</w:t>
            </w:r>
          </w:p>
        </w:tc>
        <w:tc>
          <w:tcPr>
            <w:tcW w:type="dxa" w:w="2581"/>
            <w:shd w:fill="F6F2EC"/>
          </w:tcPr>
          <w:p>
            <w:r/>
            <w:r>
              <w:rPr>
                <w:rFonts w:ascii="NanumSquareOTF" w:hAnsi="NanumSquareOTF" w:eastAsia="NanumSquareOTF"/>
                <w:b w:val="0"/>
                <w:i w:val="0"/>
                <w:sz w:val="20"/>
              </w:rPr>
              <w:t>13.55%</w:t>
            </w:r>
          </w:p>
        </w:tc>
      </w:tr>
      <w:tr>
        <w:tc>
          <w:tcPr>
            <w:tcW w:type="dxa" w:w="2581"/>
            <w:shd w:fill="FFFFFF"/>
          </w:tcPr>
          <w:p>
            <w:r/>
            <w:r>
              <w:rPr>
                <w:rFonts w:ascii="NanumSquareOTF" w:hAnsi="NanumSquareOTF" w:eastAsia="NanumSquareOTF"/>
                <w:b w:val="0"/>
                <w:i w:val="0"/>
                <w:sz w:val="20"/>
              </w:rPr>
              <w:t>시가총액</w:t>
            </w:r>
          </w:p>
        </w:tc>
        <w:tc>
          <w:tcPr>
            <w:tcW w:type="dxa" w:w="2581"/>
            <w:shd w:fill="FFFFFF"/>
          </w:tcPr>
          <w:p>
            <w:r/>
            <w:r>
              <w:rPr>
                <w:rFonts w:ascii="NanumSquareOTF" w:hAnsi="NanumSquareOTF" w:eastAsia="NanumSquareOTF"/>
                <w:b w:val="0"/>
                <w:i w:val="0"/>
                <w:sz w:val="20"/>
              </w:rPr>
              <w:t>2,468조 1,286억</w:t>
            </w:r>
          </w:p>
        </w:tc>
        <w:tc>
          <w:tcPr>
            <w:tcW w:type="dxa" w:w="2581"/>
            <w:shd w:fill="FFFFFF"/>
          </w:tcPr>
          <w:p>
            <w:r/>
            <w:r>
              <w:rPr>
                <w:rFonts w:ascii="NanumSquareOTF" w:hAnsi="NanumSquareOTF" w:eastAsia="NanumSquareOTF"/>
                <w:b w:val="0"/>
                <w:i w:val="0"/>
                <w:sz w:val="20"/>
              </w:rPr>
              <w:t>기업가치(EV)</w:t>
            </w:r>
          </w:p>
        </w:tc>
        <w:tc>
          <w:tcPr>
            <w:tcW w:type="dxa" w:w="2581"/>
            <w:shd w:fill="FFFFFF"/>
          </w:tcPr>
          <w:p>
            <w:r/>
            <w:r>
              <w:rPr>
                <w:rFonts w:ascii="NanumSquareOTF" w:hAnsi="NanumSquareOTF" w:eastAsia="NanumSquareOTF"/>
                <w:b w:val="0"/>
                <w:i w:val="0"/>
                <w:sz w:val="20"/>
              </w:rPr>
              <w:t>2,435조 5,114억</w:t>
            </w:r>
          </w:p>
        </w:tc>
      </w:tr>
      <w:tr>
        <w:tc>
          <w:tcPr>
            <w:tcW w:type="dxa" w:w="2581"/>
            <w:shd w:fill="F6F2EC"/>
          </w:tcPr>
          <w:p>
            <w:r/>
            <w:r>
              <w:rPr>
                <w:rFonts w:ascii="NanumSquareOTF" w:hAnsi="NanumSquareOTF" w:eastAsia="NanumSquareOTF"/>
                <w:b w:val="0"/>
                <w:i w:val="0"/>
                <w:sz w:val="20"/>
              </w:rPr>
              <w:t>발행주식수</w:t>
            </w:r>
          </w:p>
        </w:tc>
        <w:tc>
          <w:tcPr>
            <w:tcW w:type="dxa" w:w="2581"/>
            <w:shd w:fill="F6F2EC"/>
          </w:tcPr>
          <w:p>
            <w:r/>
            <w:r>
              <w:rPr>
                <w:rFonts w:ascii="NanumSquareOTF" w:hAnsi="NanumSquareOTF" w:eastAsia="NanumSquareOTF"/>
                <w:b w:val="0"/>
                <w:i w:val="0"/>
                <w:sz w:val="20"/>
              </w:rPr>
              <w:t>68.46억주</w:t>
            </w:r>
          </w:p>
        </w:tc>
        <w:tc>
          <w:tcPr>
            <w:tcW w:type="dxa" w:w="2581"/>
            <w:shd w:fill="F6F2EC"/>
          </w:tcPr>
          <w:p>
            <w:r/>
            <w:r>
              <w:rPr>
                <w:rFonts w:ascii="NanumSquareOTF" w:hAnsi="NanumSquareOTF" w:eastAsia="NanumSquareOTF"/>
                <w:b w:val="0"/>
                <w:i w:val="0"/>
                <w:sz w:val="20"/>
              </w:rPr>
            </w:r>
          </w:p>
        </w:tc>
        <w:tc>
          <w:tcPr>
            <w:tcW w:type="dxa" w:w="2581"/>
            <w:shd w:fill="F6F2EC"/>
          </w:tcPr>
          <w:p>
            <w:r/>
            <w:r>
              <w:rPr>
                <w:rFonts w:ascii="NanumSquareOTF" w:hAnsi="NanumSquareOTF" w:eastAsia="NanumSquareOTF"/>
                <w:b w:val="0"/>
                <w:i w:val="0"/>
                <w:sz w:val="20"/>
              </w:rPr>
            </w:r>
          </w:p>
        </w:tc>
      </w:tr>
    </w:tbl>
    <w:p>
      <w:r>
        <w:rPr>
          <w:rFonts w:ascii="NanumSquareOTF" w:hAnsi="NanumSquareOTF" w:eastAsia="NanumSquareOTF"/>
          <w:b w:val="0"/>
          <w:i/>
          <w:color w:val="6E6E6E"/>
          <w:sz w:val="18"/>
        </w:rPr>
        <w:t>재무 기준일: 2025-12-31 | 출처: OpenDART</w:t>
      </w:r>
    </w:p>
    <w:p>
      <w:pPr>
        <w:pageBreakBefore/>
        <w:spacing w:before="0" w:after="0"/>
      </w:pPr>
    </w:p>
    <w:tbl>
      <w:tblPr>
        <w:tblW w:type="auto" w:w="0"/>
        <w:jc w:val="center"/>
        <w:tblLayout w:type="fixed"/>
        <w:tblLook w:firstColumn="1" w:firstRow="1" w:lastColumn="0" w:lastRow="0" w:noHBand="0" w:noVBand="1" w:val="04A0"/>
      </w:tblPr>
      <w:tblGrid>
        <w:gridCol w:w="3312"/>
        <w:gridCol w:w="6912"/>
      </w:tblGrid>
      <w:tr>
        <w:tc>
          <w:tcPr>
            <w:tcW w:type="dxa" w:w="5162"/>
            <w:shd w:fill="1E7032"/>
            <w:tcBorders>
              <w:top w:val="nil"/>
              <w:left w:val="nil"/>
              <w:bottom w:val="nil"/>
              <w:right w:val="nil"/>
              <w:insideH w:val="nil"/>
              <w:insideV w:val="nil"/>
            </w:tcBorders>
            <w:tcMar>
              <w:top w:w="160" w:type="dxa"/>
              <w:bottom w:w="180" w:type="dxa"/>
              <w:start w:w="160" w:type="dxa"/>
              <w:end w:w="160" w:type="dxa"/>
            </w:tcMar>
            <w:vAlign w:val="top"/>
          </w:tcPr>
          <w:p>
            <w:r>
              <w:rPr>
                <w:rFonts w:ascii="NanumSquareOTF" w:hAnsi="NanumSquareOTF" w:eastAsia="NanumSquareOTF"/>
                <w:b/>
                <w:i w:val="0"/>
                <w:color w:val="FFFFFF"/>
                <w:sz w:val="36"/>
              </w:rPr>
              <w:t>SK하이닉스</w:t>
              <w:br/>
              <w:t>(000660)</w:t>
            </w:r>
          </w:p>
          <w:p>
            <w:r>
              <w:rPr>
                <w:rFonts w:ascii="NanumSquareOTF" w:hAnsi="NanumSquareOTF" w:eastAsia="NanumSquareOTF"/>
                <w:b w:val="0"/>
                <w:i w:val="0"/>
                <w:color w:val="FFFFFF"/>
                <w:sz w:val="19"/>
              </w:rPr>
              <w:t>KOSPI</w:t>
              <w:br/>
              <w:t>재무 기준일: 2025-12-31</w:t>
              <w:br/>
              <w:t>출처: OpenDART</w:t>
            </w:r>
          </w:p>
          <w:tbl>
            <w:tblPr>
              <w:tblW w:type="auto" w:w="0"/>
              <w:tblLook w:firstColumn="1" w:firstRow="1" w:lastColumn="0" w:lastRow="0" w:noHBand="0" w:noVBand="1" w:val="04A0"/>
            </w:tblPr>
            <w:tblGrid>
              <w:gridCol w:w="5162"/>
            </w:tblGrid>
            <w:tr>
              <w:tc>
                <w:tcPr>
                  <w:tcW w:type="dxa" w:w="5162"/>
                  <w:shd w:fill="FFFFFF"/>
                  <w:tcBorders>
                    <w:top w:val="nil"/>
                    <w:left w:val="nil"/>
                    <w:bottom w:val="nil"/>
                    <w:right w:val="nil"/>
                    <w:insideH w:val="nil"/>
                    <w:insideV w:val="nil"/>
                  </w:tcBorders>
                  <w:tcMar>
                    <w:top w:w="100" w:type="dxa"/>
                    <w:bottom w:w="100" w:type="dxa"/>
                    <w:start w:w="110" w:type="dxa"/>
                    <w:end w:w="110" w:type="dxa"/>
                  </w:tcMar>
                </w:tcPr>
                <w:p>
                  <w:r/>
                  <w:r>
                    <w:rPr>
                      <w:rFonts w:ascii="NanumSquareOTF" w:hAnsi="NanumSquareOTF" w:eastAsia="NanumSquareOTF"/>
                      <w:b w:val="0"/>
                      <w:i w:val="0"/>
                      <w:color w:val="1D1D1B"/>
                      <w:sz w:val="18"/>
                    </w:rPr>
                    <w:t>의견      강력 매수</w:t>
                    <w:br/>
                    <w:t>점수      12.00</w:t>
                    <w:br/>
                    <w:t>신뢰도    0.95</w:t>
                    <w:br/>
                    <w:t>종가      2,360,000.00</w:t>
                    <w:br/>
                    <w:t>PER       39.09</w:t>
                    <w:br/>
                    <w:t>PBR       13.91</w:t>
                    <w:br/>
                    <w:t>ROE       44.14%</w:t>
                  </w:r>
                </w:p>
              </w:tc>
            </w:tr>
          </w:tbl>
          <w:p/>
        </w:tc>
        <w:tc>
          <w:tcPr>
            <w:tcW w:type="dxa" w:w="5162"/>
            <w:tcBorders>
              <w:top w:val="nil"/>
              <w:left w:val="nil"/>
              <w:bottom w:val="nil"/>
              <w:right w:val="nil"/>
              <w:insideH w:val="nil"/>
              <w:insideV w:val="nil"/>
            </w:tcBorders>
            <w:tcMar>
              <w:top w:w="60" w:type="dxa"/>
              <w:bottom w:w="80" w:type="dxa"/>
              <w:start w:w="150" w:type="dxa"/>
              <w:end w:w="150" w:type="dxa"/>
            </w:tcMar>
            <w:vAlign w:val="top"/>
          </w:tcPr>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OPINION</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삼성전자와 SK하이닉스는 같은 산업 테마 안에서 유사한 외생 변수에 노출돼 있으나 재무 구조와 수익성 지표에서 차별성을 보인다. 영업이익률 13.07%, 순이익률 13.55%는 견조하지만, ROE는 10.78% 수준으로 SK하이닉스에 비해 상대적으로 낮다. SK하이닉스는 종가 2,360,000원에 PER 39.09배, PBR 13.91배로 높은 장부가 대비 시장 평가를 받고 있다. EPS와 BPS 수준에서도 SK하이닉스는 높은 수익성을 바탕으로 한 성장 기대를 시장이 반영하고 있다. 두 기업은 동일한 테마 수혜주이지만, 삼성전자는 포트폴리오·규모의 안정성으로 리스크 완충 폭을 제공하는 반면 SK하이닉스는 현재 실적 레버리지가 더 크게 작용하는 구조다.</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Technical / Momentum</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현재 기술 국면은 추세장으로 분류되며, 종합 신호는 강력 매수(점수 12.00, 신뢰도 0.95)다. 최근 20일 평균가격과 50일 평균가격의 상대 위치로 중기 추세를 읽는 이동평균 지표에서, SMA20(1,935,950.00)이 SMA50(1,408,840.00) 위에 있어 중기 추세는 우상향으로 해석된다. 최근 가격 압력이 단기적으로 얼마나 강한지를 보여주는 EMA20 기준으로도 종가(2,360,000.00)가 EMA20(1,944,423.14) 위에 있어 단기 매수 압력이 우세하다. 단기·장기 이동평균의 간격 변화로 모멘텀 전환을 읽는 MACD 지표는 266509.26이며, 시그널선(235551.63) 위에 있어 상승 모멘텀이 우세하다고, 히스토그램도 양(+)의 구간(30957.63)에 있다. 추세의 세기 자체를 측정하는 ADX는 49.82 수준으로 강한 편이고, 방향성 지표에서는 +DI(41.69)가 -DI(12.95)보다 높아 상승 추세가 우세하다. 거래량이 가격 움직임을 얼마나 뒷받침하는지 보여주는 OBV 흐름도 단기 평균이 장기 평균 위에 있어 수급 측면의 뒷받침이 우호적이다. 가격의 상승·하락 압력이 얼마나 한쪽으로 쏠렸는지 보여주는 RSI 지표는 81.64로, 통상적 기준상 과매수(70 이상) 구간에 해당한다. 주요 근거로는 SMA20이 SMA50 위에 있어 중기 상승 추세가 확인됩니다, MACD가 시그널선 위에 있어 상승 모멘텀이 나타납니다, 추세장에서 +DI가 -DI보다 높아 상승 추세가 우세합니다 등을 들 수 있다.</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RISK</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위험도는 높음 수준으로 판단된다. 첫째, 둘째, 산업·수요 리스크: AI 인프라 투자 확대가 실제 수요로 전환되지 않거나 메모리 가격이 하락하면 SK하이닉스의 고수익성 구조가 급속히 약화될 수 있다. 둘째, PER이 39.09 수준으로 높아 기대가 이미 가격에 반영됐을 가능성이 있어 밸류에이션 조정 부담이 있다. 셋째, PBR이 13.91 수준으로 높아 실적 둔화 시 멀티플 축소 압력이 커질 수 있다. 넷째, RSI가 81.64로 과매수 구간에 있어 단기 차익실현 압력이 확대될 수 있다.</w:t>
                  </w:r>
                </w:p>
              </w:tc>
            </w:tr>
          </w:tbl>
          <w:p/>
        </w:tc>
      </w:tr>
    </w:tbl>
    <w:p>
      <w:pPr>
        <w:pageBreakBefore/>
        <w:spacing w:before="0" w:after="0"/>
      </w:pPr>
    </w:p>
    <w:p>
      <w:r>
        <w:rPr>
          <w:rFonts w:ascii="NanumSquareOTF" w:hAnsi="NanumSquareOTF" w:eastAsia="NanumSquareOTF"/>
          <w:b/>
          <w:i w:val="0"/>
          <w:color w:val="255A1B"/>
          <w:sz w:val="36"/>
        </w:rPr>
        <w:t>SK하이닉스 (000660)</w:t>
      </w:r>
    </w:p>
    <w:p>
      <w:r>
        <w:rPr>
          <w:rFonts w:ascii="NanumSquareOTF" w:hAnsi="NanumSquareOTF" w:eastAsia="NanumSquareOTF"/>
          <w:b w:val="0"/>
          <w:i w:val="0"/>
          <w:color w:val="1D1D1B"/>
          <w:sz w:val="20"/>
        </w:rPr>
        <w:t>KOSPI | 의견 강력 매수 | 점수 12.00 | 신뢰도 0.95</w:t>
      </w:r>
    </w:p>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SK하이닉스 3M Daily Price Trend</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2631043"/>
                  <wp:docPr id="3" name="Picture 3"/>
                  <wp:cNvGraphicFramePr>
                    <a:graphicFrameLocks noChangeAspect="1"/>
                  </wp:cNvGraphicFramePr>
                  <a:graphic>
                    <a:graphicData uri="http://schemas.openxmlformats.org/drawingml/2006/picture">
                      <pic:pic>
                        <pic:nvPicPr>
                          <pic:cNvPr id="0" name="000660_SK하이닉스_daily_3mo.png"/>
                          <pic:cNvPicPr/>
                        </pic:nvPicPr>
                        <pic:blipFill>
                          <a:blip r:embed="rId12"/>
                          <a:stretch>
                            <a:fillRect/>
                          </a:stretch>
                        </pic:blipFill>
                        <pic:spPr>
                          <a:xfrm>
                            <a:off x="0" y="0"/>
                            <a:ext cx="5806440" cy="2631043"/>
                          </a:xfrm>
                          <a:prstGeom prst="rect"/>
                        </pic:spPr>
                      </pic:pic>
                    </a:graphicData>
                  </a:graphic>
                </wp:inline>
              </w:drawing>
            </w:r>
          </w:p>
          <w:p>
            <w:pPr>
              <w:jc w:val="center"/>
            </w:pPr>
            <w:r>
              <w:rPr>
                <w:rFonts w:ascii="NanumSquareOTF" w:hAnsi="NanumSquareOTF" w:eastAsia="NanumSquareOTF"/>
                <w:b w:val="0"/>
                <w:i/>
                <w:color w:val="6E6E6E"/>
                <w:sz w:val="18"/>
              </w:rPr>
              <w:t>3개월 일봉 종가 흐름 (2026-03-03 ~ 2026-06-02) | Latest close 2,360,000.00</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LLM Technical Comment - 3M Daily</w:t>
            </w:r>
          </w:p>
        </w:tc>
      </w:tr>
      <w:tr>
        <w:tc>
          <w:tcPr>
            <w:tcW w:type="dxa" w:w="10325"/>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1) 추세 평가</w:t>
              <w:br/>
              <w:t xml:space="preserve">- 차트상으로 지난 3개월 동안 전반적인 상승 추세가 명확합니다. 특히 4월 중순 이후 상승 가속이 뚜렷하고 5월 중순 이후 급격한 상승(경사도 증가)을 보였습니다. </w:t>
              <w:br/>
              <w:t>- 고점과 저점이 단계적으로 상향되는 구조(상승 임펄스 + 정상화 구간)가 유지되고 있어 단기~중기 관점에서는 강세 추세로 판단됩니다.</w:t>
              <w:br/>
              <w:br/>
              <w:t>2) 주요 지지/저항</w:t>
              <w:br/>
              <w:t>- 단기 저항: 현재 가격 수준 주변(레이블 표기) 약 2.36M 수준이 즉시 저항 구간으로 보입니다(차트 상단의 점선과 근접). 이 구간을 의미 있는 거래일 종가로 돌파해야 추가 상승 신호가 강화됩니다.</w:t>
              <w:br/>
              <w:t xml:space="preserve">- 단기 지지: 최근 조정 구간의 저점 근처 약 1.75M 수준이 첫 번째 실질적 지지로 확인됩니다(5월 중순 조정대). </w:t>
              <w:br/>
              <w:t>- 그 아래 지지대: 1.95–2.05M 부근(최근 상승 돌파 후 조정이 일어났던 레인지 상단/저항 전환 역할 가능), 추가로 1.55–1.60M 부근은 이전 상승 초입의 추세 지지 구간입니다.</w:t>
              <w:br/>
              <w:t>- 추세선 지지: 4월 초부터 그은 상승 추세선(차트의 전반적 상승 커브)에 근접한 영역들이 지지 역할을 해왔습니다.</w:t>
              <w:br/>
              <w:br/>
              <w:t>3) 강세 시나리오</w:t>
              <w:br/>
              <w:t>- 가격이 2.36M 부근의 저항을 거래일 종가 기준으로 명확히 돌파하고 그 수준 위에서 지지를 확인하면 단기~중기 추가 상승(상단 탐색 및 새로운 레인지 형성)이 가능해 보입니다.</w:t>
              <w:br/>
              <w:t>- 돌파 시 다음 목표는 점선 위쪽의 이전 매물대 또는 심리적 고점으로 연장될 가능성이 있으며, 상승 모멘텀이 유지되면 추세의 가속이 지속될 수 있습니다.</w:t>
              <w:br/>
              <w:t>- 매매전략 예시: 돌파 후 되돌림 시 2.36M 부근을 지지로 확인하면서 분할 매수.</w:t>
              <w:br/>
              <w:br/>
              <w:t>4) 약세 시나리오</w:t>
              <w:br/>
              <w:t>- 가격이 2.36M에서 실패한 뒤 1.95–2.05M 구간을 하향 이탈하거나, 보다 명확하게는 1.75M 지지선을 종가 기준으로 하회하면 단기 추세 전환 신호(조정 심화 또는 추세 약화)가 될 수 있습니다.</w:t>
              <w:br/>
              <w:t>- 특히 상승 추세선(4월~5월의 상승 경로)을 깨고 하방 이탈하면 더 깊은 조정(1.55–1.60M까지) 가능성이 높아집니다.</w:t>
              <w:br/>
              <w:t>- 매매전략 예시: 1.75M 이하 종가 발생 시 손절 또는 숏 관점 전환을 고려.</w:t>
              <w:br/>
              <w:br/>
              <w:t>5) 권장 트레이딩 바이어스</w:t>
              <w:br/>
              <w:t>- 중립-약간의 롱 편향(Neutral-to-Bullish). 현재 구조는 상승 추세가 유효하나 최근의 가파른 상승으로 단기 조정 위험도 높습니다.</w:t>
              <w:br/>
              <w:t>- 적극적 매수보다는 돌파 확인 또는 추세선/주요 지지에서의 확인 후 재진입을 권장합니다.</w:t>
              <w:br/>
              <w:br/>
              <w:t>6) 리스크 요인</w:t>
              <w:br/>
              <w:t>- 차트에 거래량 정보가 표시되어 있지 않아 상승세의 수반된 거래량(확실한 매수 동력) 여부를 확인할 수 없습니다. 볼륨 미확인은 추세 신뢰도 평가의 제한요인입니다.</w:t>
              <w:br/>
              <w:t>- 급등에 따른 단기 과매수·차익 실현 압력 가능성(단기 변동성 확대).</w:t>
              <w:br/>
              <w:t>- 중요 지지(1.75M) 이탈 시 추세 약화로 급락 가능성 존재.</w:t>
              <w:br/>
              <w:t>- 외부 이벤트·뉴스·섹터 변수(차트에 표시되지 않음)에 따른 갑작스런 방향 전환 가능성.</w:t>
              <w:br/>
              <w:t>- 기술적 관점에서 과열 신호 또는 불완전한 돌파(페이크아웃) 위험을 항상 고려해야 합니다.</w:t>
              <w:br/>
              <w:br/>
              <w:t>요약: 차트상으로는 현재 강한 상승 추세가 유지되고 있으나 가파른 상승으로 단기 조정 가능성도 커 보입니다. 추세를 따라가되, 2.36M 돌파 확인 및 1.75M 지지 유지를 거래 의사결정의 주요 분기점으로 삼는 것이 바람직해 보입니다.</w:t>
            </w:r>
          </w:p>
        </w:tc>
      </w:tr>
    </w:tbl>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SK하이닉스 1M Intraday Price / Volume</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3266122"/>
                  <wp:docPr id="4" name="Picture 4"/>
                  <wp:cNvGraphicFramePr>
                    <a:graphicFrameLocks noChangeAspect="1"/>
                  </wp:cNvGraphicFramePr>
                  <a:graphic>
                    <a:graphicData uri="http://schemas.openxmlformats.org/drawingml/2006/picture">
                      <pic:pic>
                        <pic:nvPicPr>
                          <pic:cNvPr id="0" name="000660_SK하이닉스_intraday_1m.png"/>
                          <pic:cNvPicPr/>
                        </pic:nvPicPr>
                        <pic:blipFill>
                          <a:blip r:embed="rId13"/>
                          <a:stretch>
                            <a:fillRect/>
                          </a:stretch>
                        </pic:blipFill>
                        <pic:spPr>
                          <a:xfrm>
                            <a:off x="0" y="0"/>
                            <a:ext cx="5806440" cy="3266122"/>
                          </a:xfrm>
                          <a:prstGeom prst="rect"/>
                        </pic:spPr>
                      </pic:pic>
                    </a:graphicData>
                  </a:graphic>
                </wp:inline>
              </w:drawing>
            </w:r>
          </w:p>
          <w:p>
            <w:pPr>
              <w:jc w:val="center"/>
            </w:pPr>
            <w:r>
              <w:rPr>
                <w:rFonts w:ascii="NanumSquareOTF" w:hAnsi="NanumSquareOTF" w:eastAsia="NanumSquareOTF"/>
                <w:b w:val="0"/>
                <w:i/>
                <w:color w:val="6E6E6E"/>
                <w:sz w:val="18"/>
              </w:rPr>
              <w:t>1분봉 주가/거래량 (2026-06-02 13:40 ~ 2026-06-02 14:59) | Latest close 2,342,000.00</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LLM Technical Comment - 1M Intraday</w:t>
            </w:r>
          </w:p>
        </w:tc>
      </w:tr>
      <w:tr>
        <w:tc>
          <w:tcPr>
            <w:tcW w:type="dxa" w:w="10325"/>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1) 추세 평가</w:t>
              <w:br/>
              <w:t>- 차트(1분봉) 상으로는 전반적인 단기 상승 추세가 뚜렷합니다. 좌측 저점(약 2,290k 부근)에서 우상향으로 고점·저점을 계속 높이며 상승 모멘텀을 유지했습니다.</w:t>
              <w:br/>
              <w:t>- 그러나 막판(약 14:45~14:50)에서 급등 후 급락 형태가 나타나며 단기적으로 모멘텀이 약화된 상태입니다. 따라서 전체적으로는 상승 추세 유지이지만 즉각적인 조정 위험이 존재합니다.</w:t>
              <w:br/>
              <w:br/>
              <w:t>2) 핵심 지지·저항 구간 (차트에 보이는 가격축 기준)</w:t>
              <w:br/>
              <w:t>- 주요 저항: 약 2,360,000 ~ 2,368,000 (최근 고점 및 피크 영역)</w:t>
              <w:br/>
              <w:t>- 단기 저항/관심값: 약 2,350,000 (고점 돌파 직전의 가격권)</w:t>
              <w:br/>
              <w:t>- 주요 지지: 약 2,340,000 (최근 종가 근처, 직전 횡보 레인지 상단)</w:t>
              <w:br/>
              <w:t>- 추가 하방 지지: 약 2,330,000 ~ 2,320,000 (이전 상승 시작 구간의 레인지 저항이 지지로 전환 가능한 영역)</w:t>
              <w:br/>
              <w:br/>
              <w:t>3) 강세 시나리오</w:t>
              <w:br/>
              <w:t>- 가격이 현재 수준(약 2,342k)에서 2,340k 부근 지지를 유지하고 거래량이 재증가(녹색 바 증가)하면서 2,350k를 돌파하면, 2,360k~2,368k 구간을 재도전할 가능성이 큽니다.</w:t>
              <w:br/>
              <w:t>- 특히 이전 상승 구간에서 확인된 상승 추세의 저점들이 유지되면 단기 모멘텀 재가속화로 추가 상승(추세 지속)이 기대됩니다.</w:t>
              <w:br/>
              <w:br/>
              <w:t>4) 약세 시나리오</w:t>
              <w:br/>
              <w:t>- 가격이 2,340k를 이탈해 2,330k 이하로 하락하면서 거래량이 증가(적색 바 동반)하면 단기 추세 전환 신호로 해석할 수 있고 2,320k 이하로의 더 깊은 조정으로 이어질 가능성이 커집니다.</w:t>
              <w:br/>
              <w:t>- 최근 고점(2,368k) 부근에서 나왔던 매도(빨간 거래량 스파이크)가 확장되면 강한 되돌림(단기 반전)이 진행될 위험이 있습니다.</w:t>
              <w:br/>
              <w:br/>
              <w:t>5) 권장 트레이딩 바이어스</w:t>
              <w:br/>
              <w:t>- 단기적 관점: 중립→조건부 롱. 즉, 현 수준에서는 지지(2,340k 부근) 유지 시 단기 매수(추세 추종)를 선호하되, 지지 이탈 시 포지션 축소 또는 숏 전환을 고려하는 전략이 적절해 보입니다.</w:t>
              <w:br/>
              <w:t>- 중립적 관점: 손절(지지 이탈)과 목표(직전 고점 또는 2,360k~2,368k 재돌파) 기준을 명확히 한 뒤 리스크 관리 하에서의 대응을 권합니다.</w:t>
              <w:br/>
              <w:br/>
              <w:t>6) 리스크 요인</w:t>
              <w:br/>
              <w:t>- 매우 짧은 시간 프레임(1분봉)으로 노이즈가 많아 위/아래 허위 돌파(false breakout)가 빈번합니다.</w:t>
              <w:br/>
              <w:t>- 최근 피크 구간에서의 매도량 증가(적색 바)로 인해 단기 변동성이 확대될 수 있으며, 빠른 손절·진입 타이밍 관리가 필요합니다.</w:t>
              <w:br/>
              <w:t>- 차트 외적(시장 전반·뉴스·주도업종 변동) 요인이 반영되지 않았으므로 단순 기술적 신호만으로는 과신을 피해야 합니다.</w:t>
              <w:br/>
              <w:t>- 지지·저항 영역이 근접해 있어 스프레드·체결 지연에 따른 슬리피지 리스크가 존재합니다.</w:t>
              <w:br/>
              <w:br/>
              <w:t>요약: 현재 1분 차트는 전반적 단기 상승 흐름이 유지되나, 최근 고점에서의 매도 유입으로 단기 조정 가능성이 커졌습니다. 2,340k 수준을 핵심 분기점으로 삼아 지지 유지 여부에 따라 매매 태도를 조절하는 것이 합리적입니다.</w:t>
            </w:r>
          </w:p>
        </w:tc>
      </w:tr>
    </w:tbl>
    <w:tbl>
      <w:tblPr>
        <w:tblW w:type="auto" w:w="0"/>
        <w:jc w:val="center"/>
        <w:tblLayout w:type="fixed"/>
        <w:tblLook w:firstColumn="1" w:firstRow="1" w:lastColumn="0" w:lastRow="0" w:noHBand="0" w:noVBand="1" w:val="04A0"/>
      </w:tblPr>
      <w:tblGrid>
        <w:gridCol w:w="2581"/>
        <w:gridCol w:w="2581"/>
        <w:gridCol w:w="2581"/>
        <w:gridCol w:w="2581"/>
      </w:tblGrid>
      <w:tr>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종가</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PER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PBR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ROE</w:t>
            </w:r>
          </w:p>
        </w:tc>
      </w:tr>
      <w:tr>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2,360,000.00</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39.09</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13.91</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44.14%</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Financial Snapshot</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재무 기준일은 2025-12-31이다. PER은 39.09, PBR은 13.91, ROE는 44.14% 수준이다. 시가총액은 1,678조 7,083억로 집계된다. 기술적 시장 국면은 추세장으로 분류된다.</w:t>
            </w:r>
          </w:p>
        </w:tc>
      </w:tr>
    </w:tbl>
    <w:p>
      <w:pPr>
        <w:spacing w:before="80"/>
      </w:pPr>
      <w:r>
        <w:rPr>
          <w:rFonts w:ascii="NanumSquareOTF" w:hAnsi="NanumSquareOTF" w:eastAsia="NanumSquareOTF"/>
          <w:b/>
          <w:i w:val="0"/>
          <w:color w:val="255A1B"/>
          <w:sz w:val="26"/>
        </w:rPr>
        <w:t>Financial Indicators</w:t>
      </w:r>
    </w:p>
    <w:tbl>
      <w:tblPr>
        <w:tblStyle w:val="TableGrid"/>
        <w:tblW w:type="auto" w:w="0"/>
        <w:jc w:val="center"/>
        <w:tblLook w:firstColumn="1" w:firstRow="1" w:lastColumn="0" w:lastRow="0" w:noHBand="0" w:noVBand="1" w:val="04A0"/>
      </w:tblPr>
      <w:tblGrid>
        <w:gridCol w:w="2581"/>
        <w:gridCol w:w="2581"/>
        <w:gridCol w:w="2581"/>
        <w:gridCol w:w="2581"/>
      </w:tblGrid>
      <w:tr>
        <w:tc>
          <w:tcPr>
            <w:tcW w:type="dxa" w:w="2581"/>
            <w:shd w:fill="111111"/>
          </w:tcPr>
          <w:p>
            <w:r/>
            <w:r>
              <w:rPr>
                <w:rFonts w:ascii="NanumSquareOTF" w:hAnsi="NanumSquareOTF" w:eastAsia="NanumSquareOTF"/>
                <w:b/>
                <w:i w:val="0"/>
                <w:color w:val="FFFFFF"/>
                <w:sz w:val="20"/>
              </w:rPr>
              <w:t>지표</w:t>
            </w:r>
          </w:p>
        </w:tc>
        <w:tc>
          <w:tcPr>
            <w:tcW w:type="dxa" w:w="2581"/>
            <w:shd w:fill="111111"/>
          </w:tcPr>
          <w:p>
            <w:r/>
            <w:r>
              <w:rPr>
                <w:rFonts w:ascii="NanumSquareOTF" w:hAnsi="NanumSquareOTF" w:eastAsia="NanumSquareOTF"/>
                <w:b/>
                <w:i w:val="0"/>
                <w:color w:val="FFFFFF"/>
                <w:sz w:val="20"/>
              </w:rPr>
              <w:t>값</w:t>
            </w:r>
          </w:p>
        </w:tc>
        <w:tc>
          <w:tcPr>
            <w:tcW w:type="dxa" w:w="2581"/>
            <w:shd w:fill="111111"/>
          </w:tcPr>
          <w:p>
            <w:r/>
            <w:r>
              <w:rPr>
                <w:rFonts w:ascii="NanumSquareOTF" w:hAnsi="NanumSquareOTF" w:eastAsia="NanumSquareOTF"/>
                <w:b/>
                <w:i w:val="0"/>
                <w:color w:val="FFFFFF"/>
                <w:sz w:val="20"/>
              </w:rPr>
              <w:t>지표</w:t>
            </w:r>
          </w:p>
        </w:tc>
        <w:tc>
          <w:tcPr>
            <w:tcW w:type="dxa" w:w="2581"/>
            <w:shd w:fill="111111"/>
          </w:tcPr>
          <w:p>
            <w:r/>
            <w:r>
              <w:rPr>
                <w:rFonts w:ascii="NanumSquareOTF" w:hAnsi="NanumSquareOTF" w:eastAsia="NanumSquareOTF"/>
                <w:b/>
                <w:i w:val="0"/>
                <w:color w:val="FFFFFF"/>
                <w:sz w:val="20"/>
              </w:rPr>
              <w:t>값</w:t>
            </w:r>
          </w:p>
        </w:tc>
      </w:tr>
      <w:tr>
        <w:tc>
          <w:tcPr>
            <w:tcW w:type="dxa" w:w="2581"/>
            <w:shd w:fill="F6F2EC"/>
          </w:tcPr>
          <w:p>
            <w:r/>
            <w:r>
              <w:rPr>
                <w:rFonts w:ascii="NanumSquareOTF" w:hAnsi="NanumSquareOTF" w:eastAsia="NanumSquareOTF"/>
                <w:b w:val="0"/>
                <w:i w:val="0"/>
                <w:sz w:val="20"/>
              </w:rPr>
              <w:t>PER</w:t>
            </w:r>
          </w:p>
        </w:tc>
        <w:tc>
          <w:tcPr>
            <w:tcW w:type="dxa" w:w="2581"/>
            <w:shd w:fill="F6F2EC"/>
          </w:tcPr>
          <w:p>
            <w:r/>
            <w:r>
              <w:rPr>
                <w:rFonts w:ascii="NanumSquareOTF" w:hAnsi="NanumSquareOTF" w:eastAsia="NanumSquareOTF"/>
                <w:b w:val="0"/>
                <w:i w:val="0"/>
                <w:sz w:val="20"/>
              </w:rPr>
              <w:t>39.09</w:t>
            </w:r>
          </w:p>
        </w:tc>
        <w:tc>
          <w:tcPr>
            <w:tcW w:type="dxa" w:w="2581"/>
            <w:shd w:fill="F6F2EC"/>
          </w:tcPr>
          <w:p>
            <w:r/>
            <w:r>
              <w:rPr>
                <w:rFonts w:ascii="NanumSquareOTF" w:hAnsi="NanumSquareOTF" w:eastAsia="NanumSquareOTF"/>
                <w:b w:val="0"/>
                <w:i w:val="0"/>
                <w:sz w:val="20"/>
              </w:rPr>
              <w:t>PBR</w:t>
            </w:r>
          </w:p>
        </w:tc>
        <w:tc>
          <w:tcPr>
            <w:tcW w:type="dxa" w:w="2581"/>
            <w:shd w:fill="F6F2EC"/>
          </w:tcPr>
          <w:p>
            <w:r/>
            <w:r>
              <w:rPr>
                <w:rFonts w:ascii="NanumSquareOTF" w:hAnsi="NanumSquareOTF" w:eastAsia="NanumSquareOTF"/>
                <w:b w:val="0"/>
                <w:i w:val="0"/>
                <w:sz w:val="20"/>
              </w:rPr>
              <w:t>13.91</w:t>
            </w:r>
          </w:p>
        </w:tc>
      </w:tr>
      <w:tr>
        <w:tc>
          <w:tcPr>
            <w:tcW w:type="dxa" w:w="2581"/>
            <w:shd w:fill="FFFFFF"/>
          </w:tcPr>
          <w:p>
            <w:r/>
            <w:r>
              <w:rPr>
                <w:rFonts w:ascii="NanumSquareOTF" w:hAnsi="NanumSquareOTF" w:eastAsia="NanumSquareOTF"/>
                <w:b w:val="0"/>
                <w:i w:val="0"/>
                <w:sz w:val="20"/>
              </w:rPr>
              <w:t>PCR</w:t>
            </w:r>
          </w:p>
        </w:tc>
        <w:tc>
          <w:tcPr>
            <w:tcW w:type="dxa" w:w="2581"/>
            <w:shd w:fill="FFFFFF"/>
          </w:tcPr>
          <w:p>
            <w:r/>
            <w:r>
              <w:rPr>
                <w:rFonts w:ascii="NanumSquareOTF" w:hAnsi="NanumSquareOTF" w:eastAsia="NanumSquareOTF"/>
                <w:b w:val="0"/>
                <w:i w:val="0"/>
                <w:sz w:val="20"/>
              </w:rPr>
              <w:t>31.45</w:t>
            </w:r>
          </w:p>
        </w:tc>
        <w:tc>
          <w:tcPr>
            <w:tcW w:type="dxa" w:w="2581"/>
            <w:shd w:fill="FFFFFF"/>
          </w:tcPr>
          <w:p>
            <w:r/>
            <w:r>
              <w:rPr>
                <w:rFonts w:ascii="NanumSquareOTF" w:hAnsi="NanumSquareOTF" w:eastAsia="NanumSquareOTF"/>
                <w:b w:val="0"/>
                <w:i w:val="0"/>
                <w:sz w:val="20"/>
              </w:rPr>
              <w:t>EV/EBITDA</w:t>
            </w:r>
          </w:p>
        </w:tc>
        <w:tc>
          <w:tcPr>
            <w:tcW w:type="dxa" w:w="2581"/>
            <w:shd w:fill="FFFFFF"/>
          </w:tcPr>
          <w:p>
            <w:r/>
            <w:r>
              <w:rPr>
                <w:rFonts w:ascii="NanumSquareOTF" w:hAnsi="NanumSquareOTF" w:eastAsia="NanumSquareOTF"/>
                <w:b w:val="0"/>
                <w:i w:val="0"/>
                <w:sz w:val="20"/>
              </w:rPr>
              <w:t>N/A</w:t>
            </w:r>
          </w:p>
        </w:tc>
      </w:tr>
      <w:tr>
        <w:tc>
          <w:tcPr>
            <w:tcW w:type="dxa" w:w="2581"/>
            <w:shd w:fill="F6F2EC"/>
          </w:tcPr>
          <w:p>
            <w:r/>
            <w:r>
              <w:rPr>
                <w:rFonts w:ascii="NanumSquareOTF" w:hAnsi="NanumSquareOTF" w:eastAsia="NanumSquareOTF"/>
                <w:b w:val="0"/>
                <w:i w:val="0"/>
                <w:sz w:val="20"/>
              </w:rPr>
              <w:t>EPS</w:t>
            </w:r>
          </w:p>
        </w:tc>
        <w:tc>
          <w:tcPr>
            <w:tcW w:type="dxa" w:w="2581"/>
            <w:shd w:fill="F6F2EC"/>
          </w:tcPr>
          <w:p>
            <w:r/>
            <w:r>
              <w:rPr>
                <w:rFonts w:ascii="NanumSquareOTF" w:hAnsi="NanumSquareOTF" w:eastAsia="NanumSquareOTF"/>
                <w:b w:val="0"/>
                <w:i w:val="0"/>
                <w:sz w:val="20"/>
              </w:rPr>
              <w:t>60,378.00</w:t>
            </w:r>
          </w:p>
        </w:tc>
        <w:tc>
          <w:tcPr>
            <w:tcW w:type="dxa" w:w="2581"/>
            <w:shd w:fill="F6F2EC"/>
          </w:tcPr>
          <w:p>
            <w:r/>
            <w:r>
              <w:rPr>
                <w:rFonts w:ascii="NanumSquareOTF" w:hAnsi="NanumSquareOTF" w:eastAsia="NanumSquareOTF"/>
                <w:b w:val="0"/>
                <w:i w:val="0"/>
                <w:sz w:val="20"/>
              </w:rPr>
              <w:t>BPS</w:t>
            </w:r>
          </w:p>
        </w:tc>
        <w:tc>
          <w:tcPr>
            <w:tcW w:type="dxa" w:w="2581"/>
            <w:shd w:fill="F6F2EC"/>
          </w:tcPr>
          <w:p>
            <w:r/>
            <w:r>
              <w:rPr>
                <w:rFonts w:ascii="NanumSquareOTF" w:hAnsi="NanumSquareOTF" w:eastAsia="NanumSquareOTF"/>
                <w:b w:val="0"/>
                <w:i w:val="0"/>
                <w:sz w:val="20"/>
              </w:rPr>
              <w:t>169,638.49</w:t>
            </w:r>
          </w:p>
        </w:tc>
      </w:tr>
      <w:tr>
        <w:tc>
          <w:tcPr>
            <w:tcW w:type="dxa" w:w="2581"/>
            <w:shd w:fill="FFFFFF"/>
          </w:tcPr>
          <w:p>
            <w:r/>
            <w:r>
              <w:rPr>
                <w:rFonts w:ascii="NanumSquareOTF" w:hAnsi="NanumSquareOTF" w:eastAsia="NanumSquareOTF"/>
                <w:b w:val="0"/>
                <w:i w:val="0"/>
                <w:sz w:val="20"/>
              </w:rPr>
              <w:t>EBITDA</w:t>
            </w:r>
          </w:p>
        </w:tc>
        <w:tc>
          <w:tcPr>
            <w:tcW w:type="dxa" w:w="2581"/>
            <w:shd w:fill="FFFFFF"/>
          </w:tcPr>
          <w:p>
            <w:r/>
            <w:r>
              <w:rPr>
                <w:rFonts w:ascii="NanumSquareOTF" w:hAnsi="NanumSquareOTF" w:eastAsia="NanumSquareOTF"/>
                <w:b w:val="0"/>
                <w:i w:val="0"/>
                <w:sz w:val="20"/>
              </w:rPr>
              <w:t>N/A</w:t>
            </w:r>
          </w:p>
        </w:tc>
        <w:tc>
          <w:tcPr>
            <w:tcW w:type="dxa" w:w="2581"/>
            <w:shd w:fill="FFFFFF"/>
          </w:tcPr>
          <w:p>
            <w:r/>
            <w:r>
              <w:rPr>
                <w:rFonts w:ascii="NanumSquareOTF" w:hAnsi="NanumSquareOTF" w:eastAsia="NanumSquareOTF"/>
                <w:b w:val="0"/>
                <w:i w:val="0"/>
                <w:sz w:val="20"/>
              </w:rPr>
              <w:t>CashDPS</w:t>
            </w:r>
          </w:p>
        </w:tc>
        <w:tc>
          <w:tcPr>
            <w:tcW w:type="dxa" w:w="2581"/>
            <w:shd w:fill="FFFFFF"/>
          </w:tcPr>
          <w:p>
            <w:r/>
            <w:r>
              <w:rPr>
                <w:rFonts w:ascii="NanumSquareOTF" w:hAnsi="NanumSquareOTF" w:eastAsia="NanumSquareOTF"/>
                <w:b w:val="0"/>
                <w:i w:val="0"/>
                <w:sz w:val="20"/>
              </w:rPr>
              <w:t>2,363.46</w:t>
            </w:r>
          </w:p>
        </w:tc>
      </w:tr>
      <w:tr>
        <w:tc>
          <w:tcPr>
            <w:tcW w:type="dxa" w:w="2581"/>
            <w:shd w:fill="F6F2EC"/>
          </w:tcPr>
          <w:p>
            <w:r/>
            <w:r>
              <w:rPr>
                <w:rFonts w:ascii="NanumSquareOTF" w:hAnsi="NanumSquareOTF" w:eastAsia="NanumSquareOTF"/>
                <w:b w:val="0"/>
                <w:i w:val="0"/>
                <w:sz w:val="20"/>
              </w:rPr>
              <w:t>Cash Dividend Yield</w:t>
            </w:r>
          </w:p>
        </w:tc>
        <w:tc>
          <w:tcPr>
            <w:tcW w:type="dxa" w:w="2581"/>
            <w:shd w:fill="F6F2EC"/>
          </w:tcPr>
          <w:p>
            <w:r/>
            <w:r>
              <w:rPr>
                <w:rFonts w:ascii="NanumSquareOTF" w:hAnsi="NanumSquareOTF" w:eastAsia="NanumSquareOTF"/>
                <w:b w:val="0"/>
                <w:i w:val="0"/>
                <w:sz w:val="20"/>
              </w:rPr>
              <w:t>0.10%</w:t>
            </w:r>
          </w:p>
        </w:tc>
        <w:tc>
          <w:tcPr>
            <w:tcW w:type="dxa" w:w="2581"/>
            <w:shd w:fill="F6F2EC"/>
          </w:tcPr>
          <w:p>
            <w:r/>
            <w:r>
              <w:rPr>
                <w:rFonts w:ascii="NanumSquareOTF" w:hAnsi="NanumSquareOTF" w:eastAsia="NanumSquareOTF"/>
                <w:b w:val="0"/>
                <w:i w:val="0"/>
                <w:sz w:val="20"/>
              </w:rPr>
              <w:t>ROE</w:t>
            </w:r>
          </w:p>
        </w:tc>
        <w:tc>
          <w:tcPr>
            <w:tcW w:type="dxa" w:w="2581"/>
            <w:shd w:fill="F6F2EC"/>
          </w:tcPr>
          <w:p>
            <w:r/>
            <w:r>
              <w:rPr>
                <w:rFonts w:ascii="NanumSquareOTF" w:hAnsi="NanumSquareOTF" w:eastAsia="NanumSquareOTF"/>
                <w:b w:val="0"/>
                <w:i w:val="0"/>
                <w:sz w:val="20"/>
              </w:rPr>
              <w:t>44.14%</w:t>
            </w:r>
          </w:p>
        </w:tc>
      </w:tr>
      <w:tr>
        <w:tc>
          <w:tcPr>
            <w:tcW w:type="dxa" w:w="2581"/>
            <w:shd w:fill="FFFFFF"/>
          </w:tcPr>
          <w:p>
            <w:r/>
            <w:r>
              <w:rPr>
                <w:rFonts w:ascii="NanumSquareOTF" w:hAnsi="NanumSquareOTF" w:eastAsia="NanumSquareOTF"/>
                <w:b w:val="0"/>
                <w:i w:val="0"/>
                <w:sz w:val="20"/>
              </w:rPr>
              <w:t>부채비율</w:t>
            </w:r>
          </w:p>
        </w:tc>
        <w:tc>
          <w:tcPr>
            <w:tcW w:type="dxa" w:w="2581"/>
            <w:shd w:fill="FFFFFF"/>
          </w:tcPr>
          <w:p>
            <w:r/>
            <w:r>
              <w:rPr>
                <w:rFonts w:ascii="NanumSquareOTF" w:hAnsi="NanumSquareOTF" w:eastAsia="NanumSquareOTF"/>
                <w:b w:val="0"/>
                <w:i w:val="0"/>
                <w:sz w:val="20"/>
              </w:rPr>
              <w:t>45.9450</w:t>
            </w:r>
          </w:p>
        </w:tc>
        <w:tc>
          <w:tcPr>
            <w:tcW w:type="dxa" w:w="2581"/>
            <w:shd w:fill="FFFFFF"/>
          </w:tcPr>
          <w:p>
            <w:r/>
            <w:r>
              <w:rPr>
                <w:rFonts w:ascii="NanumSquareOTF" w:hAnsi="NanumSquareOTF" w:eastAsia="NanumSquareOTF"/>
                <w:b w:val="0"/>
                <w:i w:val="0"/>
                <w:sz w:val="20"/>
              </w:rPr>
              <w:t>유동비율</w:t>
            </w:r>
          </w:p>
        </w:tc>
        <w:tc>
          <w:tcPr>
            <w:tcW w:type="dxa" w:w="2581"/>
            <w:shd w:fill="FFFFFF"/>
          </w:tcPr>
          <w:p>
            <w:r/>
            <w:r>
              <w:rPr>
                <w:rFonts w:ascii="NanumSquareOTF" w:hAnsi="NanumSquareOTF" w:eastAsia="NanumSquareOTF"/>
                <w:b w:val="0"/>
                <w:i w:val="0"/>
                <w:sz w:val="20"/>
              </w:rPr>
              <w:t>185.8210</w:t>
            </w:r>
          </w:p>
        </w:tc>
      </w:tr>
      <w:tr>
        <w:tc>
          <w:tcPr>
            <w:tcW w:type="dxa" w:w="2581"/>
            <w:shd w:fill="F6F2EC"/>
          </w:tcPr>
          <w:p>
            <w:r/>
            <w:r>
              <w:rPr>
                <w:rFonts w:ascii="NanumSquareOTF" w:hAnsi="NanumSquareOTF" w:eastAsia="NanumSquareOTF"/>
                <w:b w:val="0"/>
                <w:i w:val="0"/>
                <w:sz w:val="20"/>
              </w:rPr>
              <w:t>영업이익률</w:t>
            </w:r>
          </w:p>
        </w:tc>
        <w:tc>
          <w:tcPr>
            <w:tcW w:type="dxa" w:w="2581"/>
            <w:shd w:fill="F6F2EC"/>
          </w:tcPr>
          <w:p>
            <w:r/>
            <w:r>
              <w:rPr>
                <w:rFonts w:ascii="NanumSquareOTF" w:hAnsi="NanumSquareOTF" w:eastAsia="NanumSquareOTF"/>
                <w:b w:val="0"/>
                <w:i w:val="0"/>
                <w:sz w:val="20"/>
              </w:rPr>
              <w:t>48.59%</w:t>
            </w:r>
          </w:p>
        </w:tc>
        <w:tc>
          <w:tcPr>
            <w:tcW w:type="dxa" w:w="2581"/>
            <w:shd w:fill="F6F2EC"/>
          </w:tcPr>
          <w:p>
            <w:r/>
            <w:r>
              <w:rPr>
                <w:rFonts w:ascii="NanumSquareOTF" w:hAnsi="NanumSquareOTF" w:eastAsia="NanumSquareOTF"/>
                <w:b w:val="0"/>
                <w:i w:val="0"/>
                <w:sz w:val="20"/>
              </w:rPr>
              <w:t>순이익률</w:t>
            </w:r>
          </w:p>
        </w:tc>
        <w:tc>
          <w:tcPr>
            <w:tcW w:type="dxa" w:w="2581"/>
            <w:shd w:fill="F6F2EC"/>
          </w:tcPr>
          <w:p>
            <w:r/>
            <w:r>
              <w:rPr>
                <w:rFonts w:ascii="NanumSquareOTF" w:hAnsi="NanumSquareOTF" w:eastAsia="NanumSquareOTF"/>
                <w:b w:val="0"/>
                <w:i w:val="0"/>
                <w:sz w:val="20"/>
              </w:rPr>
              <w:t>44.21%</w:t>
            </w:r>
          </w:p>
        </w:tc>
      </w:tr>
      <w:tr>
        <w:tc>
          <w:tcPr>
            <w:tcW w:type="dxa" w:w="2581"/>
            <w:shd w:fill="FFFFFF"/>
          </w:tcPr>
          <w:p>
            <w:r/>
            <w:r>
              <w:rPr>
                <w:rFonts w:ascii="NanumSquareOTF" w:hAnsi="NanumSquareOTF" w:eastAsia="NanumSquareOTF"/>
                <w:b w:val="0"/>
                <w:i w:val="0"/>
                <w:sz w:val="20"/>
              </w:rPr>
              <w:t>시가총액</w:t>
            </w:r>
          </w:p>
        </w:tc>
        <w:tc>
          <w:tcPr>
            <w:tcW w:type="dxa" w:w="2581"/>
            <w:shd w:fill="FFFFFF"/>
          </w:tcPr>
          <w:p>
            <w:r/>
            <w:r>
              <w:rPr>
                <w:rFonts w:ascii="NanumSquareOTF" w:hAnsi="NanumSquareOTF" w:eastAsia="NanumSquareOTF"/>
                <w:b w:val="0"/>
                <w:i w:val="0"/>
                <w:sz w:val="20"/>
              </w:rPr>
              <w:t>1,678조 7,083억</w:t>
            </w:r>
          </w:p>
        </w:tc>
        <w:tc>
          <w:tcPr>
            <w:tcW w:type="dxa" w:w="2581"/>
            <w:shd w:fill="FFFFFF"/>
          </w:tcPr>
          <w:p>
            <w:r/>
            <w:r>
              <w:rPr>
                <w:rFonts w:ascii="NanumSquareOTF" w:hAnsi="NanumSquareOTF" w:eastAsia="NanumSquareOTF"/>
                <w:b w:val="0"/>
                <w:i w:val="0"/>
                <w:sz w:val="20"/>
              </w:rPr>
              <w:t>기업가치(EV)</w:t>
            </w:r>
          </w:p>
        </w:tc>
        <w:tc>
          <w:tcPr>
            <w:tcW w:type="dxa" w:w="2581"/>
            <w:shd w:fill="FFFFFF"/>
          </w:tcPr>
          <w:p>
            <w:r/>
            <w:r>
              <w:rPr>
                <w:rFonts w:ascii="NanumSquareOTF" w:hAnsi="NanumSquareOTF" w:eastAsia="NanumSquareOTF"/>
                <w:b w:val="0"/>
                <w:i w:val="0"/>
                <w:sz w:val="20"/>
              </w:rPr>
              <w:t>1,671조 9,463억</w:t>
            </w:r>
          </w:p>
        </w:tc>
      </w:tr>
      <w:tr>
        <w:tc>
          <w:tcPr>
            <w:tcW w:type="dxa" w:w="2581"/>
            <w:shd w:fill="F6F2EC"/>
          </w:tcPr>
          <w:p>
            <w:r/>
            <w:r>
              <w:rPr>
                <w:rFonts w:ascii="NanumSquareOTF" w:hAnsi="NanumSquareOTF" w:eastAsia="NanumSquareOTF"/>
                <w:b w:val="0"/>
                <w:i w:val="0"/>
                <w:sz w:val="20"/>
              </w:rPr>
              <w:t>발행주식수</w:t>
            </w:r>
          </w:p>
        </w:tc>
        <w:tc>
          <w:tcPr>
            <w:tcW w:type="dxa" w:w="2581"/>
            <w:shd w:fill="F6F2EC"/>
          </w:tcPr>
          <w:p>
            <w:r/>
            <w:r>
              <w:rPr>
                <w:rFonts w:ascii="NanumSquareOTF" w:hAnsi="NanumSquareOTF" w:eastAsia="NanumSquareOTF"/>
                <w:b w:val="0"/>
                <w:i w:val="0"/>
                <w:sz w:val="20"/>
              </w:rPr>
              <w:t>7.11억주</w:t>
            </w:r>
          </w:p>
        </w:tc>
        <w:tc>
          <w:tcPr>
            <w:tcW w:type="dxa" w:w="2581"/>
            <w:shd w:fill="F6F2EC"/>
          </w:tcPr>
          <w:p>
            <w:r/>
            <w:r>
              <w:rPr>
                <w:rFonts w:ascii="NanumSquareOTF" w:hAnsi="NanumSquareOTF" w:eastAsia="NanumSquareOTF"/>
                <w:b w:val="0"/>
                <w:i w:val="0"/>
                <w:sz w:val="20"/>
              </w:rPr>
            </w:r>
          </w:p>
        </w:tc>
        <w:tc>
          <w:tcPr>
            <w:tcW w:type="dxa" w:w="2581"/>
            <w:shd w:fill="F6F2EC"/>
          </w:tcPr>
          <w:p>
            <w:r/>
            <w:r>
              <w:rPr>
                <w:rFonts w:ascii="NanumSquareOTF" w:hAnsi="NanumSquareOTF" w:eastAsia="NanumSquareOTF"/>
                <w:b w:val="0"/>
                <w:i w:val="0"/>
                <w:sz w:val="20"/>
              </w:rPr>
            </w:r>
          </w:p>
        </w:tc>
      </w:tr>
    </w:tbl>
    <w:p>
      <w:r>
        <w:rPr>
          <w:rFonts w:ascii="NanumSquareOTF" w:hAnsi="NanumSquareOTF" w:eastAsia="NanumSquareOTF"/>
          <w:b w:val="0"/>
          <w:i/>
          <w:color w:val="6E6E6E"/>
          <w:sz w:val="18"/>
        </w:rPr>
        <w:t>재무 기준일: 2025-12-31 | 출처: OpenDART</w:t>
      </w:r>
    </w:p>
    <w:sectPr w:rsidR="00FC693F" w:rsidRPr="0006063C" w:rsidSect="00034616">
      <w:headerReference w:type="default" r:id="rId9"/>
      <w:pgSz w:w="11909" w:h="16834"/>
      <w:pgMar w:top="648" w:right="792" w:bottom="720" w:left="792" w:header="31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Pr>
    <w:tblGrid>
      <w:gridCol w:w="7776"/>
      <w:gridCol w:w="2592"/>
    </w:tblGrid>
    <w:tr>
      <w:tc>
        <w:tcPr>
          <w:tcW w:type="dxa" w:w="5162"/>
          <w:tcBorders>
            <w:top w:val="nil"/>
            <w:left w:val="nil"/>
            <w:bottom w:val="single" w:sz="12" w:color="1E7032"/>
            <w:right w:val="nil"/>
            <w:insideH w:val="nil"/>
            <w:insideV w:val="nil"/>
          </w:tcBorders>
          <w:tcMar>
            <w:top w:w="0" w:type="dxa"/>
            <w:bottom w:w="40" w:type="dxa"/>
            <w:start w:w="0" w:type="dxa"/>
            <w:end w:w="0" w:type="dxa"/>
          </w:tcMar>
        </w:tcPr>
        <w:p>
          <w:r/>
          <w:r>
            <w:rPr>
              <w:rFonts w:ascii="NanumSquareOTF" w:hAnsi="NanumSquareOTF" w:eastAsia="NanumSquareOTF"/>
              <w:b w:val="0"/>
              <w:i w:val="0"/>
              <w:color w:val="1D1D1B"/>
              <w:sz w:val="22"/>
            </w:rPr>
            <w:t>Research | 2026.06.03</w:t>
          </w:r>
        </w:p>
      </w:tc>
      <w:tc>
        <w:tcPr>
          <w:tcW w:type="dxa" w:w="5162"/>
          <w:tcBorders>
            <w:top w:val="nil"/>
            <w:left w:val="nil"/>
            <w:bottom w:val="single" w:sz="12" w:color="1E7032"/>
            <w:right w:val="nil"/>
            <w:insideH w:val="nil"/>
            <w:insideV w:val="nil"/>
          </w:tcBorders>
          <w:tcMar>
            <w:top w:w="0" w:type="dxa"/>
            <w:bottom w:w="40" w:type="dxa"/>
            <w:start w:w="0" w:type="dxa"/>
            <w:end w:w="0" w:type="dxa"/>
          </w:tcMar>
        </w:tcPr>
        <w:p>
          <w:pPr>
            <w:jc w:val="right"/>
          </w:pPr>
          <w:r/>
          <w:r>
            <w:rPr>
              <w:rFonts w:ascii="NanumSquareOTF" w:hAnsi="NanumSquareOTF" w:eastAsia="NanumSquareOTF"/>
              <w:b/>
              <w:i w:val="0"/>
              <w:color w:val="1E7032"/>
              <w:sz w:val="34"/>
            </w:rPr>
            <w:t>HAF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OTF" w:hAnsi="NanumSquareOTF" w:eastAsia="NanumSquareOT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