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left w:val="nil"/>
              <w:bottom w:sz="12" w:color="1E7032" w:val="single"/>
              <w:right w:val="nil"/>
              <w:insideH w:val="nil"/>
              <w:insideV w:val="nil"/>
            </w:tcBorders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  <w:r>
              <w:rPr>
                <w:b w:val="0"/>
                <w:i w:val="0"/>
                <w:sz w:val="2"/>
              </w:rPr>
            </w:r>
          </w:p>
        </w:tc>
      </w:tr>
    </w:tbl>
    <w:p>
      <w:pPr>
        <w:spacing w:after="120"/>
      </w:pPr>
      <w:r>
        <w:rPr>
          <w:rFonts w:ascii="NanumSquareOTF" w:hAnsi="NanumSquareOTF" w:eastAsia="NanumSquareOTF"/>
          <w:b/>
          <w:i w:val="0"/>
          <w:color w:val="1D1D1B"/>
          <w:sz w:val="44"/>
        </w:rPr>
        <w:t>Test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880"/>
      </w:tblGrid>
      <w:tr>
        <w:tc>
          <w:tcPr>
            <w:tcW w:type="dxa" w:w="5162"/>
            <w:shd w:fill="1E70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  <w:r>
              <w:rPr>
                <w:b w:val="0"/>
                <w:i w:val="0"/>
                <w:sz w:val="2"/>
              </w:rPr>
            </w:r>
          </w:p>
        </w:tc>
        <w:tc>
          <w:tcPr>
            <w:tcW w:type="dxa" w:w="5162"/>
            <w:shd w:fill="E1D6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  <w:r>
              <w:rPr>
                <w:b w:val="0"/>
                <w:i w:val="0"/>
                <w:sz w:val="2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6"/>
              </w:rPr>
              <w:t>Summary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종목명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티커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시장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의견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점수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신뢰도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위험도</w:t>
            </w:r>
          </w:p>
        </w:tc>
      </w:tr>
      <w:tr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삼성전자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005930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KOSPI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Hold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0.20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0.70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Medium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Summary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내용이 없습니다.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INDUSTRY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내용이 없습니다.</w:t>
            </w:r>
          </w:p>
        </w:tc>
      </w:tr>
    </w:tbl>
    <w:p>
      <w:pPr>
        <w:pageBreakBefore/>
        <w:spacing w:before="0"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Conclusion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결론입니다.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Key Factors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삼성전자: Hold / score 0.20 / confidence 0.70</w:t>
            </w:r>
          </w:p>
        </w:tc>
      </w:tr>
    </w:tbl>
    <w:p>
      <w:pPr>
        <w:pageBreakBefore/>
        <w:spacing w:before="0"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Financial / Valuation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내용이 없습니다.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Technical / Momentum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내용이 없습니다.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Risk Factors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내용이 없습니다.</w:t>
            </w:r>
          </w:p>
        </w:tc>
      </w:tr>
    </w:tbl>
    <w:p>
      <w:pPr>
        <w:pageBreakBefore/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c>
          <w:tcPr>
            <w:tcW w:type="dxa" w:w="5162"/>
            <w:shd w:fill="1E70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60" w:type="dxa"/>
              <w:bottom w:w="180" w:type="dxa"/>
              <w:start w:w="160" w:type="dxa"/>
              <w:end w:w="160" w:type="dxa"/>
            </w:tcMar>
            <w:vAlign w:val="top"/>
          </w:tcPr>
          <w:p>
            <w:r>
              <w:rPr>
                <w:rFonts w:ascii="NanumSquareOTF" w:hAnsi="NanumSquareOTF" w:eastAsia="NanumSquareOTF"/>
                <w:b/>
                <w:i w:val="0"/>
                <w:color w:val="FFFFFF"/>
                <w:sz w:val="36"/>
              </w:rPr>
              <w:t>삼성전자</w:t>
              <w:br/>
              <w:t>(005930)</w:t>
            </w:r>
          </w:p>
          <w:p>
            <w:r>
              <w:rPr>
                <w:rFonts w:ascii="NanumSquareOTF" w:hAnsi="NanumSquareOTF" w:eastAsia="NanumSquareOTF"/>
                <w:b w:val="0"/>
                <w:i w:val="0"/>
                <w:color w:val="FFFFFF"/>
                <w:sz w:val="19"/>
              </w:rPr>
              <w:t>KOSPI</w:t>
              <w:br/>
              <w:t>재무 기준일: 2025-12-31</w:t>
              <w:br/>
              <w:t>출처: OpenDART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100" w:type="dxa"/>
                    <w:bottom w:w="100" w:type="dxa"/>
                    <w:start w:w="110" w:type="dxa"/>
                    <w:end w:w="110" w:type="dxa"/>
                  </w:tcMar>
                </w:tcPr>
                <w:p>
                  <w:r/>
                  <w:r>
                    <w:rPr>
                      <w:rFonts w:ascii="NanumSquareOTF" w:hAnsi="NanumSquareOTF" w:eastAsia="NanumSquareOTF"/>
                      <w:b w:val="0"/>
                      <w:i w:val="0"/>
                      <w:color w:val="1D1D1B"/>
                      <w:sz w:val="18"/>
                    </w:rPr>
                    <w:t>의견      Hold</w:t>
                    <w:br/>
                    <w:t>점수      0.20</w:t>
                    <w:br/>
                    <w:t>신뢰도    0.70</w:t>
                    <w:br/>
                    <w:t>종가      70,000.00</w:t>
                    <w:br/>
                    <w:t>PER       12.30</w:t>
                    <w:br/>
                    <w:t>PBR       1.20</w:t>
                    <w:br/>
                    <w:t>ROE       9.80%</w:t>
                  </w:r>
                </w:p>
              </w:tc>
            </w:tr>
          </w:tbl>
          <w:p/>
        </w:tc>
        <w:tc>
          <w:tcPr>
            <w:tcW w:type="dxa" w:w="516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60" w:type="dxa"/>
              <w:bottom w:w="80" w:type="dxa"/>
              <w:start w:w="150" w:type="dxa"/>
              <w:end w:w="150" w:type="dxa"/>
            </w:tcMar>
            <w:vAlign w:val="top"/>
          </w:tcPr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NanumSquareOTF" w:hAnsi="NanumSquareOTF" w:eastAsia="NanumSquareOTF"/>
                      <w:b/>
                      <w:i w:val="0"/>
                      <w:color w:val="255A1B"/>
                      <w:sz w:val="26"/>
                    </w:rPr>
                    <w:t>OPINION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anumSquareOTF" w:hAnsi="NanumSquareOTF" w:eastAsia="NanumSquareOTF"/>
                      <w:b w:val="0"/>
                      <w:i w:val="0"/>
                      <w:color w:val="1D1D1B"/>
                      <w:sz w:val="20"/>
                    </w:rPr>
                    <w:t>최신 종가는 70,000.00이다.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NanumSquareOTF" w:hAnsi="NanumSquareOTF" w:eastAsia="NanumSquareOTF"/>
                      <w:b/>
                      <w:i w:val="0"/>
                      <w:color w:val="255A1B"/>
                      <w:sz w:val="26"/>
                    </w:rPr>
                    <w:t>Technical / Momentum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anumSquareOTF" w:hAnsi="NanumSquareOTF" w:eastAsia="NanumSquareOTF"/>
                      <w:b w:val="0"/>
                      <w:i w:val="0"/>
                      <w:color w:val="1D1D1B"/>
                      <w:sz w:val="20"/>
                    </w:rPr>
                    <w:t>기술적 해석에 필요한 지표가 충분하지 않습니다.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NanumSquareOTF" w:hAnsi="NanumSquareOTF" w:eastAsia="NanumSquareOTF"/>
                      <w:b/>
                      <w:i w:val="0"/>
                      <w:color w:val="255A1B"/>
                      <w:sz w:val="26"/>
                    </w:rPr>
                    <w:t>RISK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anumSquareOTF" w:hAnsi="NanumSquareOTF" w:eastAsia="NanumSquareOTF"/>
                      <w:b w:val="0"/>
                      <w:i w:val="0"/>
                      <w:color w:val="1D1D1B"/>
                      <w:sz w:val="20"/>
                    </w:rPr>
                    <w:t>위험도는 Medium 수준으로 판단된다. 첫째, 신뢰도가 0.70 수준으로 아주 높지는 않아 기술 신호의 일관성이 약해질 가능성도 염두에 둘 필요가 있다. 둘째, 테마 기대감이 빠르게 약해질 경우 수급 방향이 급격히 바뀔 수 있다. 셋째, 실적 확인 전까지는 뉴스 모멘텀에 따라 주가가 과민하게 반응할 가능성이 있다.</w:t>
                  </w:r>
                </w:p>
              </w:tc>
            </w:tr>
          </w:tbl>
          <w:p/>
        </w:tc>
      </w:tr>
    </w:tbl>
    <w:p>
      <w:pPr>
        <w:pageBreakBefore/>
        <w:spacing w:before="0" w:after="0"/>
      </w:pPr>
    </w:p>
    <w:p>
      <w:r>
        <w:rPr>
          <w:rFonts w:ascii="NanumSquareOTF" w:hAnsi="NanumSquareOTF" w:eastAsia="NanumSquareOTF"/>
          <w:b/>
          <w:i w:val="0"/>
          <w:color w:val="255A1B"/>
          <w:sz w:val="36"/>
        </w:rPr>
        <w:t>삼성전자 (005930)</w:t>
      </w:r>
    </w:p>
    <w:p>
      <w:r>
        <w:rPr>
          <w:rFonts w:ascii="NanumSquareOTF" w:hAnsi="NanumSquareOTF" w:eastAsia="NanumSquareOTF"/>
          <w:b w:val="0"/>
          <w:i w:val="0"/>
          <w:color w:val="1D1D1B"/>
          <w:sz w:val="20"/>
        </w:rPr>
        <w:t>KOSPI | 의견 Hold | 점수 0.20 | 신뢰도 0.70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종가</w:t>
            </w:r>
          </w:p>
        </w:tc>
        <w:tc>
          <w:tcPr>
            <w:tcW w:type="dxa" w:w="2581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PER</w:t>
            </w:r>
          </w:p>
        </w:tc>
        <w:tc>
          <w:tcPr>
            <w:tcW w:type="dxa" w:w="2581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PBR</w:t>
            </w:r>
          </w:p>
        </w:tc>
        <w:tc>
          <w:tcPr>
            <w:tcW w:type="dxa" w:w="2581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ROE</w:t>
            </w:r>
          </w:p>
        </w:tc>
      </w:tr>
      <w:tr>
        <w:tc>
          <w:tcPr>
            <w:tcW w:type="dxa" w:w="2581"/>
            <w:shd w:fill="EFF5EC"/>
            <w:tcMar>
              <w:top w:w="90" w:type="dxa"/>
              <w:bottom w:w="9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1"/>
              </w:rPr>
              <w:t>70,000.00</w:t>
            </w:r>
          </w:p>
        </w:tc>
        <w:tc>
          <w:tcPr>
            <w:tcW w:type="dxa" w:w="2581"/>
            <w:shd w:fill="EFF5EC"/>
            <w:tcMar>
              <w:top w:w="90" w:type="dxa"/>
              <w:bottom w:w="9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1"/>
              </w:rPr>
              <w:t>12.30</w:t>
            </w:r>
          </w:p>
        </w:tc>
        <w:tc>
          <w:tcPr>
            <w:tcW w:type="dxa" w:w="2581"/>
            <w:shd w:fill="EFF5EC"/>
            <w:tcMar>
              <w:top w:w="90" w:type="dxa"/>
              <w:bottom w:w="9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1"/>
              </w:rPr>
              <w:t>1.20</w:t>
            </w:r>
          </w:p>
        </w:tc>
        <w:tc>
          <w:tcPr>
            <w:tcW w:type="dxa" w:w="2581"/>
            <w:shd w:fill="EFF5EC"/>
            <w:tcMar>
              <w:top w:w="90" w:type="dxa"/>
              <w:bottom w:w="9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1"/>
              </w:rPr>
              <w:t>9.80%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Financial Snapshot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재무 기준일은 2025-12-31이다. PER은 12.30, PBR은 1.20, ROE는 9.80% 수준이다. 시가총액은 400,000,000,000,000로 집계된다.</w:t>
            </w:r>
          </w:p>
        </w:tc>
      </w:tr>
    </w:tbl>
    <w:p>
      <w:pPr>
        <w:spacing w:before="80"/>
      </w:pPr>
      <w:r>
        <w:rPr>
          <w:rFonts w:ascii="NanumSquareOTF" w:hAnsi="NanumSquareOTF" w:eastAsia="NanumSquareOTF"/>
          <w:b/>
          <w:i w:val="0"/>
          <w:color w:val="255A1B"/>
          <w:sz w:val="26"/>
        </w:rPr>
        <w:t>Financial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111111"/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지표</w:t>
            </w:r>
          </w:p>
        </w:tc>
        <w:tc>
          <w:tcPr>
            <w:tcW w:type="dxa" w:w="2581"/>
            <w:shd w:fill="111111"/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값</w:t>
            </w:r>
          </w:p>
        </w:tc>
        <w:tc>
          <w:tcPr>
            <w:tcW w:type="dxa" w:w="2581"/>
            <w:shd w:fill="111111"/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지표</w:t>
            </w:r>
          </w:p>
        </w:tc>
        <w:tc>
          <w:tcPr>
            <w:tcW w:type="dxa" w:w="2581"/>
            <w:shd w:fill="111111"/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PER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12.30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PBR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1.20</w:t>
            </w:r>
          </w:p>
        </w:tc>
      </w:tr>
      <w:tr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PCR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EV/EBITDA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6.70</w:t>
            </w:r>
          </w:p>
        </w:tc>
      </w:tr>
      <w:tr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EPS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5,600.00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BPS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58,000.00</w:t>
            </w:r>
          </w:p>
        </w:tc>
      </w:tr>
      <w:tr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EBITDA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CashDPS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</w:tr>
      <w:tr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Cash Dividend Yield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ROE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9.80%</w:t>
            </w:r>
          </w:p>
        </w:tc>
      </w:tr>
      <w:tr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부채비율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32.1000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유동비율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180.0000</w:t>
            </w:r>
          </w:p>
        </w:tc>
      </w:tr>
      <w:tr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영업이익률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순이익률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</w:tr>
      <w:tr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시가총액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400,000,000,000,000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기업가치(EV)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</w:tr>
      <w:tr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발행주식수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</w:r>
          </w:p>
        </w:tc>
      </w:tr>
    </w:tbl>
    <w:p>
      <w:r>
        <w:rPr>
          <w:rFonts w:ascii="NanumSquareOTF" w:hAnsi="NanumSquareOTF" w:eastAsia="NanumSquareOTF"/>
          <w:b w:val="0"/>
          <w:i/>
          <w:color w:val="6E6E6E"/>
          <w:sz w:val="18"/>
        </w:rPr>
        <w:t>재무 기준일: 2025-12-31 | 출처: OpenDART</w:t>
      </w:r>
    </w:p>
    <w:sectPr w:rsidR="00FC693F" w:rsidRPr="0006063C" w:rsidSect="00034616">
      <w:headerReference w:type="default" r:id="rId9"/>
      <w:pgSz w:w="11909" w:h="16834"/>
      <w:pgMar w:top="648" w:right="792" w:bottom="720" w:left="792" w:header="31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776"/>
      <w:gridCol w:w="2592"/>
    </w:tblGrid>
    <w:tr>
      <w:tc>
        <w:tcPr>
          <w:tcW w:type="dxa" w:w="5162"/>
          <w:tcBorders>
            <w:top w:val="nil"/>
            <w:left w:val="nil"/>
            <w:bottom w:val="single" w:sz="12" w:color="1E7032"/>
            <w:right w:val="nil"/>
            <w:insideH w:val="nil"/>
            <w:insideV w:val="nil"/>
          </w:tcBorders>
          <w:tcMar>
            <w:top w:w="0" w:type="dxa"/>
            <w:bottom w:w="40" w:type="dxa"/>
            <w:start w:w="0" w:type="dxa"/>
            <w:end w:w="0" w:type="dxa"/>
          </w:tcMar>
        </w:tcPr>
        <w:p>
          <w:r/>
          <w:r>
            <w:rPr>
              <w:rFonts w:ascii="NanumSquareOTF" w:hAnsi="NanumSquareOTF" w:eastAsia="NanumSquareOTF"/>
              <w:b w:val="0"/>
              <w:i w:val="0"/>
              <w:color w:val="1D1D1B"/>
              <w:sz w:val="22"/>
            </w:rPr>
            <w:t>Research | 2026.05.27</w:t>
          </w:r>
        </w:p>
      </w:tc>
      <w:tc>
        <w:tcPr>
          <w:tcW w:type="dxa" w:w="5162"/>
          <w:tcBorders>
            <w:top w:val="nil"/>
            <w:left w:val="nil"/>
            <w:bottom w:val="single" w:sz="12" w:color="1E7032"/>
            <w:right w:val="nil"/>
            <w:insideH w:val="nil"/>
            <w:insideV w:val="nil"/>
          </w:tcBorders>
          <w:tcMar>
            <w:top w:w="0" w:type="dxa"/>
            <w:bottom w:w="40" w:type="dxa"/>
            <w:start w:w="0" w:type="dxa"/>
            <w:end w:w="0" w:type="dxa"/>
          </w:tcMar>
        </w:tcPr>
        <w:p>
          <w:pPr>
            <w:jc w:val="right"/>
          </w:pPr>
          <w:r/>
          <w:r>
            <w:rPr>
              <w:rFonts w:ascii="NanumSquareOTF" w:hAnsi="NanumSquareOTF" w:eastAsia="NanumSquareOTF"/>
              <w:b/>
              <w:i w:val="0"/>
              <w:color w:val="1E7032"/>
              <w:sz w:val="34"/>
            </w:rPr>
            <w:t>HAF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OTF" w:hAnsi="NanumSquareOTF" w:eastAsia="NanumSquareOT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