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97" w:rsidRPr="002C4DB2" w:rsidRDefault="00DD0A97">
      <w:pPr>
        <w:pStyle w:val="Textoindependiente"/>
        <w:ind w:left="0"/>
        <w:rPr>
          <w:rFonts w:ascii="Verdana" w:hAnsi="Verdana"/>
          <w:sz w:val="20"/>
          <w:szCs w:val="20"/>
        </w:rPr>
      </w:pPr>
      <w:bookmarkStart w:id="0" w:name="_GoBack"/>
      <w:bookmarkEnd w:id="0"/>
    </w:p>
    <w:p w:rsidR="00DD0A97" w:rsidRPr="002C4DB2" w:rsidRDefault="00DD0A97">
      <w:pPr>
        <w:pStyle w:val="Textoindependiente"/>
        <w:spacing w:before="10"/>
        <w:ind w:left="0"/>
        <w:rPr>
          <w:rFonts w:ascii="Verdana" w:hAnsi="Verdana"/>
          <w:sz w:val="20"/>
          <w:szCs w:val="20"/>
        </w:rPr>
      </w:pPr>
    </w:p>
    <w:p w:rsidR="00F03784" w:rsidRPr="002C4DB2" w:rsidRDefault="00075793" w:rsidP="00F03784">
      <w:pPr>
        <w:pStyle w:val="Ttulo1"/>
        <w:spacing w:before="92" w:line="240" w:lineRule="auto"/>
        <w:ind w:left="2613" w:right="2087" w:hanging="441"/>
        <w:jc w:val="center"/>
        <w:rPr>
          <w:rFonts w:ascii="Verdana" w:hAnsi="Verdana"/>
          <w:sz w:val="20"/>
          <w:szCs w:val="20"/>
        </w:rPr>
      </w:pPr>
      <w:r w:rsidRPr="002C4DB2">
        <w:rPr>
          <w:rFonts w:ascii="Verdana" w:hAnsi="Verdana"/>
          <w:sz w:val="20"/>
          <w:szCs w:val="20"/>
        </w:rPr>
        <w:t>HOJA DE SEGURIDAD</w:t>
      </w:r>
    </w:p>
    <w:p w:rsidR="00DD0A97" w:rsidRPr="002C4DB2" w:rsidRDefault="00075793" w:rsidP="00F03784">
      <w:pPr>
        <w:pStyle w:val="Ttulo1"/>
        <w:spacing w:before="92" w:line="240" w:lineRule="auto"/>
        <w:ind w:left="2613" w:right="2087" w:hanging="441"/>
        <w:jc w:val="center"/>
        <w:rPr>
          <w:rFonts w:ascii="Verdana" w:hAnsi="Verdana"/>
          <w:sz w:val="20"/>
          <w:szCs w:val="20"/>
        </w:rPr>
      </w:pPr>
      <w:r w:rsidRPr="002C4DB2">
        <w:rPr>
          <w:rFonts w:ascii="Verdana" w:hAnsi="Verdana"/>
          <w:sz w:val="20"/>
          <w:szCs w:val="20"/>
        </w:rPr>
        <w:t>HIPOCLORITO DE SODIO 150 g/l</w:t>
      </w:r>
    </w:p>
    <w:p w:rsidR="00DD0A97" w:rsidRPr="002C4DB2" w:rsidRDefault="00DD0A97">
      <w:pPr>
        <w:pStyle w:val="Textoindependiente"/>
        <w:ind w:left="0"/>
        <w:rPr>
          <w:rFonts w:ascii="Verdana" w:hAnsi="Verdana"/>
          <w:b/>
          <w:sz w:val="20"/>
          <w:szCs w:val="20"/>
        </w:rPr>
      </w:pPr>
    </w:p>
    <w:p w:rsidR="00DD0A97" w:rsidRPr="002C4DB2" w:rsidRDefault="00075793">
      <w:pPr>
        <w:spacing w:before="92" w:line="275" w:lineRule="exact"/>
        <w:ind w:left="221"/>
        <w:rPr>
          <w:rFonts w:ascii="Verdana" w:hAnsi="Verdana"/>
          <w:b/>
          <w:sz w:val="20"/>
          <w:szCs w:val="20"/>
        </w:rPr>
      </w:pPr>
      <w:r w:rsidRPr="002C4DB2">
        <w:rPr>
          <w:rFonts w:ascii="Verdana" w:hAnsi="Verdana"/>
          <w:b/>
          <w:sz w:val="20"/>
          <w:szCs w:val="20"/>
        </w:rPr>
        <w:t>Identificación</w:t>
      </w:r>
    </w:p>
    <w:p w:rsidR="00DD0A97" w:rsidRPr="002C4DB2" w:rsidRDefault="00075793">
      <w:pPr>
        <w:pStyle w:val="Textoindependiente"/>
        <w:tabs>
          <w:tab w:val="left" w:pos="3169"/>
        </w:tabs>
        <w:spacing w:line="275" w:lineRule="exact"/>
        <w:ind w:left="1089"/>
        <w:rPr>
          <w:rFonts w:ascii="Verdana" w:hAnsi="Verdana"/>
          <w:sz w:val="20"/>
          <w:szCs w:val="20"/>
        </w:rPr>
      </w:pPr>
      <w:r w:rsidRPr="002C4DB2">
        <w:rPr>
          <w:rFonts w:ascii="Verdana" w:hAnsi="Verdana"/>
          <w:sz w:val="20"/>
          <w:szCs w:val="20"/>
        </w:rPr>
        <w:t>U.N.</w:t>
      </w:r>
      <w:r w:rsidRPr="002C4DB2">
        <w:rPr>
          <w:rFonts w:ascii="Verdana" w:hAnsi="Verdana"/>
          <w:sz w:val="20"/>
          <w:szCs w:val="20"/>
        </w:rPr>
        <w:tab/>
        <w:t>N.F.P.A.</w:t>
      </w:r>
    </w:p>
    <w:p w:rsidR="00DD0A97" w:rsidRPr="002C4DB2" w:rsidRDefault="00075793">
      <w:pPr>
        <w:pStyle w:val="Textoindependiente"/>
        <w:spacing w:after="4"/>
        <w:ind w:left="5885"/>
        <w:rPr>
          <w:rFonts w:ascii="Verdana" w:hAnsi="Verdana"/>
          <w:sz w:val="20"/>
          <w:szCs w:val="20"/>
        </w:rPr>
      </w:pPr>
      <w:r w:rsidRPr="002C4DB2">
        <w:rPr>
          <w:rFonts w:ascii="Verdana" w:hAnsi="Verdana"/>
          <w:sz w:val="20"/>
          <w:szCs w:val="20"/>
        </w:rPr>
        <w:t>Riesgos Secundarios:</w:t>
      </w:r>
    </w:p>
    <w:p w:rsidR="00DD0A97" w:rsidRPr="002C4DB2" w:rsidRDefault="00075793">
      <w:pPr>
        <w:pStyle w:val="Textoindependiente"/>
        <w:ind w:left="451"/>
        <w:rPr>
          <w:rFonts w:ascii="Verdana" w:hAnsi="Verdana"/>
          <w:sz w:val="20"/>
          <w:szCs w:val="20"/>
        </w:rPr>
      </w:pPr>
      <w:r w:rsidRPr="002C4DB2">
        <w:rPr>
          <w:rFonts w:ascii="Verdana" w:hAnsi="Verdana"/>
          <w:noProof/>
          <w:sz w:val="20"/>
          <w:szCs w:val="20"/>
          <w:lang w:val="es-CO" w:eastAsia="es-CO"/>
        </w:rPr>
        <w:drawing>
          <wp:inline distT="0" distB="0" distL="0" distR="0">
            <wp:extent cx="4933950" cy="164401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5103" cy="1644399"/>
                    </a:xfrm>
                    <a:prstGeom prst="rect">
                      <a:avLst/>
                    </a:prstGeom>
                  </pic:spPr>
                </pic:pic>
              </a:graphicData>
            </a:graphic>
          </wp:inline>
        </w:drawing>
      </w:r>
    </w:p>
    <w:p w:rsidR="00DD0A97" w:rsidRPr="002C4DB2" w:rsidRDefault="00DD0A97">
      <w:pPr>
        <w:pStyle w:val="Textoindependiente"/>
        <w:spacing w:before="11"/>
        <w:ind w:left="0"/>
        <w:rPr>
          <w:rFonts w:ascii="Verdana" w:hAnsi="Verdana"/>
          <w:sz w:val="20"/>
          <w:szCs w:val="20"/>
        </w:rPr>
      </w:pPr>
    </w:p>
    <w:p w:rsidR="00DD0A97" w:rsidRPr="002C4DB2" w:rsidRDefault="00075793" w:rsidP="00BE7603">
      <w:pPr>
        <w:pStyle w:val="Ttulo1"/>
        <w:spacing w:line="240" w:lineRule="auto"/>
        <w:jc w:val="center"/>
        <w:rPr>
          <w:rFonts w:ascii="Verdana" w:hAnsi="Verdana"/>
          <w:sz w:val="20"/>
          <w:szCs w:val="20"/>
        </w:rPr>
      </w:pPr>
      <w:r w:rsidRPr="002C4DB2">
        <w:rPr>
          <w:rFonts w:ascii="Verdana" w:hAnsi="Verdana"/>
          <w:sz w:val="20"/>
          <w:szCs w:val="20"/>
        </w:rPr>
        <w:t>SECCIÓN 1 – PRODUCTO QUÍMICO</w:t>
      </w:r>
    </w:p>
    <w:p w:rsidR="00DD0A97" w:rsidRPr="002C4DB2" w:rsidRDefault="00DD0A97">
      <w:pPr>
        <w:pStyle w:val="Textoindependiente"/>
        <w:ind w:left="0"/>
        <w:rPr>
          <w:rFonts w:ascii="Verdana" w:hAnsi="Verdana"/>
          <w:b/>
          <w:sz w:val="20"/>
          <w:szCs w:val="20"/>
        </w:rPr>
      </w:pPr>
    </w:p>
    <w:p w:rsidR="00DD0A97" w:rsidRPr="002C4DB2" w:rsidRDefault="00075793">
      <w:pPr>
        <w:pStyle w:val="Textoindependiente"/>
        <w:ind w:right="150"/>
        <w:rPr>
          <w:rFonts w:ascii="Verdana" w:hAnsi="Verdana"/>
          <w:sz w:val="20"/>
          <w:szCs w:val="20"/>
        </w:rPr>
      </w:pPr>
      <w:r w:rsidRPr="002C4DB2">
        <w:rPr>
          <w:rFonts w:ascii="Verdana" w:hAnsi="Verdana"/>
          <w:b/>
          <w:sz w:val="20"/>
          <w:szCs w:val="20"/>
        </w:rPr>
        <w:t xml:space="preserve">Nombre del Producto: </w:t>
      </w:r>
      <w:r w:rsidRPr="002C4DB2">
        <w:rPr>
          <w:rFonts w:ascii="Verdana" w:hAnsi="Verdana"/>
          <w:sz w:val="20"/>
          <w:szCs w:val="20"/>
        </w:rPr>
        <w:t xml:space="preserve">Hipoclorito de Sodio, solución a 150 g/L de NaOCl. </w:t>
      </w:r>
      <w:r w:rsidRPr="002C4DB2">
        <w:rPr>
          <w:rFonts w:ascii="Verdana" w:hAnsi="Verdana"/>
          <w:b/>
          <w:sz w:val="20"/>
          <w:szCs w:val="20"/>
        </w:rPr>
        <w:t xml:space="preserve">Sinónimas: </w:t>
      </w:r>
      <w:r w:rsidRPr="002C4DB2">
        <w:rPr>
          <w:rFonts w:ascii="Verdana" w:hAnsi="Verdana"/>
          <w:sz w:val="20"/>
          <w:szCs w:val="20"/>
        </w:rPr>
        <w:t>Solución de Hipoclorito de Sodio grado industrial, Blanqueador, Agua de Javel, Hiposodio.</w:t>
      </w:r>
    </w:p>
    <w:p w:rsidR="00DD0A97" w:rsidRPr="002C4DB2" w:rsidRDefault="00075793">
      <w:pPr>
        <w:ind w:left="221" w:right="3778"/>
        <w:rPr>
          <w:rFonts w:ascii="Verdana" w:hAnsi="Verdana"/>
          <w:sz w:val="20"/>
          <w:szCs w:val="20"/>
        </w:rPr>
      </w:pPr>
      <w:r w:rsidRPr="002C4DB2">
        <w:rPr>
          <w:rFonts w:ascii="Verdana" w:hAnsi="Verdana"/>
          <w:b/>
          <w:sz w:val="20"/>
          <w:szCs w:val="20"/>
        </w:rPr>
        <w:t xml:space="preserve">Formula Química: </w:t>
      </w:r>
      <w:r w:rsidRPr="002C4DB2">
        <w:rPr>
          <w:rFonts w:ascii="Verdana" w:hAnsi="Verdana"/>
          <w:sz w:val="20"/>
          <w:szCs w:val="20"/>
        </w:rPr>
        <w:t xml:space="preserve">NaOCl, solución en agua. </w:t>
      </w:r>
      <w:r w:rsidRPr="002C4DB2">
        <w:rPr>
          <w:rFonts w:ascii="Verdana" w:hAnsi="Verdana"/>
          <w:b/>
          <w:sz w:val="20"/>
          <w:szCs w:val="20"/>
        </w:rPr>
        <w:t xml:space="preserve">Número Naciones Unidas: </w:t>
      </w:r>
      <w:r w:rsidRPr="002C4DB2">
        <w:rPr>
          <w:rFonts w:ascii="Verdana" w:hAnsi="Verdana"/>
          <w:sz w:val="20"/>
          <w:szCs w:val="20"/>
        </w:rPr>
        <w:t xml:space="preserve">U.N. 1791 </w:t>
      </w:r>
      <w:r w:rsidRPr="002C4DB2">
        <w:rPr>
          <w:rFonts w:ascii="Verdana" w:hAnsi="Verdana"/>
          <w:b/>
          <w:sz w:val="20"/>
          <w:szCs w:val="20"/>
        </w:rPr>
        <w:t xml:space="preserve">Número </w:t>
      </w:r>
      <w:r w:rsidRPr="002C4DB2">
        <w:rPr>
          <w:rFonts w:ascii="Verdana" w:hAnsi="Verdana"/>
          <w:sz w:val="20"/>
          <w:szCs w:val="20"/>
        </w:rPr>
        <w:t>CAS 7681 – 52 – 9</w:t>
      </w:r>
    </w:p>
    <w:p w:rsidR="00DD0A97" w:rsidRPr="002C4DB2" w:rsidRDefault="00075793">
      <w:pPr>
        <w:pStyle w:val="Textoindependiente"/>
        <w:tabs>
          <w:tab w:val="left" w:pos="875"/>
          <w:tab w:val="left" w:pos="1445"/>
          <w:tab w:val="left" w:pos="2820"/>
          <w:tab w:val="left" w:pos="4426"/>
          <w:tab w:val="left" w:pos="6125"/>
          <w:tab w:val="left" w:pos="7560"/>
          <w:tab w:val="left" w:pos="8028"/>
        </w:tabs>
        <w:ind w:right="150"/>
        <w:rPr>
          <w:rFonts w:ascii="Verdana" w:hAnsi="Verdana"/>
          <w:sz w:val="20"/>
          <w:szCs w:val="20"/>
        </w:rPr>
      </w:pPr>
      <w:r w:rsidRPr="002C4DB2">
        <w:rPr>
          <w:rFonts w:ascii="Verdana" w:hAnsi="Verdana"/>
          <w:b/>
          <w:sz w:val="20"/>
          <w:szCs w:val="20"/>
        </w:rPr>
        <w:t>Uso</w:t>
      </w:r>
      <w:r w:rsidRPr="002C4DB2">
        <w:rPr>
          <w:rFonts w:ascii="Verdana" w:hAnsi="Verdana"/>
          <w:b/>
          <w:sz w:val="20"/>
          <w:szCs w:val="20"/>
        </w:rPr>
        <w:tab/>
        <w:t>del</w:t>
      </w:r>
      <w:r w:rsidRPr="002C4DB2">
        <w:rPr>
          <w:rFonts w:ascii="Verdana" w:hAnsi="Verdana"/>
          <w:b/>
          <w:sz w:val="20"/>
          <w:szCs w:val="20"/>
        </w:rPr>
        <w:tab/>
        <w:t>producto:</w:t>
      </w:r>
      <w:r w:rsidRPr="002C4DB2">
        <w:rPr>
          <w:rFonts w:ascii="Verdana" w:hAnsi="Verdana"/>
          <w:b/>
          <w:sz w:val="20"/>
          <w:szCs w:val="20"/>
        </w:rPr>
        <w:tab/>
      </w:r>
      <w:r w:rsidRPr="002C4DB2">
        <w:rPr>
          <w:rFonts w:ascii="Verdana" w:hAnsi="Verdana"/>
          <w:sz w:val="20"/>
          <w:szCs w:val="20"/>
        </w:rPr>
        <w:t>Blanqueador,</w:t>
      </w:r>
      <w:r w:rsidRPr="002C4DB2">
        <w:rPr>
          <w:rFonts w:ascii="Verdana" w:hAnsi="Verdana"/>
          <w:sz w:val="20"/>
          <w:szCs w:val="20"/>
        </w:rPr>
        <w:tab/>
        <w:t>desinfectante,</w:t>
      </w:r>
      <w:r w:rsidRPr="002C4DB2">
        <w:rPr>
          <w:rFonts w:ascii="Verdana" w:hAnsi="Verdana"/>
          <w:sz w:val="20"/>
          <w:szCs w:val="20"/>
        </w:rPr>
        <w:tab/>
        <w:t>tratamiento</w:t>
      </w:r>
      <w:r w:rsidRPr="002C4DB2">
        <w:rPr>
          <w:rFonts w:ascii="Verdana" w:hAnsi="Verdana"/>
          <w:sz w:val="20"/>
          <w:szCs w:val="20"/>
        </w:rPr>
        <w:tab/>
        <w:t>de</w:t>
      </w:r>
      <w:r w:rsidRPr="002C4DB2">
        <w:rPr>
          <w:rFonts w:ascii="Verdana" w:hAnsi="Verdana"/>
          <w:sz w:val="20"/>
          <w:szCs w:val="20"/>
        </w:rPr>
        <w:tab/>
        <w:t>aguas, sanitización en diferentes</w:t>
      </w:r>
      <w:r w:rsidRPr="002C4DB2">
        <w:rPr>
          <w:rFonts w:ascii="Verdana" w:hAnsi="Verdana"/>
          <w:spacing w:val="-1"/>
          <w:sz w:val="20"/>
          <w:szCs w:val="20"/>
        </w:rPr>
        <w:t xml:space="preserve"> </w:t>
      </w:r>
      <w:r w:rsidRPr="002C4DB2">
        <w:rPr>
          <w:rFonts w:ascii="Verdana" w:hAnsi="Verdana"/>
          <w:sz w:val="20"/>
          <w:szCs w:val="20"/>
        </w:rPr>
        <w:t>industrias.</w:t>
      </w: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ind w:left="0"/>
        <w:rPr>
          <w:rFonts w:ascii="Verdana" w:hAnsi="Verdana"/>
          <w:sz w:val="20"/>
          <w:szCs w:val="20"/>
        </w:rPr>
      </w:pPr>
    </w:p>
    <w:p w:rsidR="00DD0A97" w:rsidRPr="002C4DB2" w:rsidRDefault="00075793" w:rsidP="00BE7603">
      <w:pPr>
        <w:pStyle w:val="Ttulo1"/>
        <w:spacing w:line="240" w:lineRule="auto"/>
        <w:jc w:val="center"/>
        <w:rPr>
          <w:rFonts w:ascii="Verdana" w:hAnsi="Verdana"/>
          <w:sz w:val="20"/>
          <w:szCs w:val="20"/>
        </w:rPr>
      </w:pPr>
      <w:r w:rsidRPr="002C4DB2">
        <w:rPr>
          <w:rFonts w:ascii="Verdana" w:hAnsi="Verdana"/>
          <w:sz w:val="20"/>
          <w:szCs w:val="20"/>
        </w:rPr>
        <w:t>SECCIÓN 2 – COMPOSICIÓN/ INFORMACIÓN SOBRE INGREDIENTES</w:t>
      </w:r>
    </w:p>
    <w:p w:rsidR="00DD0A97" w:rsidRPr="002C4DB2" w:rsidRDefault="00DD0A97">
      <w:pPr>
        <w:pStyle w:val="Textoindependiente"/>
        <w:ind w:left="0"/>
        <w:rPr>
          <w:rFonts w:ascii="Verdana" w:hAnsi="Verdana"/>
          <w:b/>
          <w:sz w:val="20"/>
          <w:szCs w:val="20"/>
        </w:rPr>
      </w:pPr>
    </w:p>
    <w:tbl>
      <w:tblPr>
        <w:tblStyle w:val="TableNormal"/>
        <w:tblW w:w="0" w:type="auto"/>
        <w:tblInd w:w="171" w:type="dxa"/>
        <w:tblLayout w:type="fixed"/>
        <w:tblLook w:val="01E0" w:firstRow="1" w:lastRow="1" w:firstColumn="1" w:lastColumn="1" w:noHBand="0" w:noVBand="0"/>
      </w:tblPr>
      <w:tblGrid>
        <w:gridCol w:w="3335"/>
        <w:gridCol w:w="1464"/>
        <w:gridCol w:w="1933"/>
        <w:gridCol w:w="1862"/>
      </w:tblGrid>
      <w:tr w:rsidR="00DD0A97" w:rsidRPr="002C4DB2">
        <w:trPr>
          <w:trHeight w:val="434"/>
        </w:trPr>
        <w:tc>
          <w:tcPr>
            <w:tcW w:w="3335" w:type="dxa"/>
          </w:tcPr>
          <w:p w:rsidR="00DD0A97" w:rsidRPr="002C4DB2" w:rsidRDefault="00DD0A97">
            <w:pPr>
              <w:pStyle w:val="TableParagraph"/>
              <w:spacing w:line="240" w:lineRule="auto"/>
              <w:ind w:left="50"/>
              <w:rPr>
                <w:rFonts w:ascii="Verdana" w:hAnsi="Verdana"/>
                <w:b/>
                <w:sz w:val="20"/>
                <w:szCs w:val="20"/>
              </w:rPr>
            </w:pPr>
          </w:p>
        </w:tc>
        <w:tc>
          <w:tcPr>
            <w:tcW w:w="5259" w:type="dxa"/>
            <w:gridSpan w:val="3"/>
          </w:tcPr>
          <w:p w:rsidR="00DD0A97" w:rsidRPr="002C4DB2" w:rsidRDefault="00DD0A97">
            <w:pPr>
              <w:pStyle w:val="TableParagraph"/>
              <w:spacing w:line="240" w:lineRule="auto"/>
              <w:ind w:left="0"/>
              <w:rPr>
                <w:rFonts w:ascii="Verdana" w:hAnsi="Verdana"/>
                <w:sz w:val="20"/>
                <w:szCs w:val="20"/>
              </w:rPr>
            </w:pPr>
          </w:p>
        </w:tc>
      </w:tr>
      <w:tr w:rsidR="00DD0A97" w:rsidRPr="002C4DB2">
        <w:trPr>
          <w:trHeight w:val="434"/>
        </w:trPr>
        <w:tc>
          <w:tcPr>
            <w:tcW w:w="3335" w:type="dxa"/>
          </w:tcPr>
          <w:p w:rsidR="00DD0A97" w:rsidRPr="002C4DB2" w:rsidRDefault="00075793">
            <w:pPr>
              <w:pStyle w:val="TableParagraph"/>
              <w:spacing w:before="144"/>
              <w:ind w:left="50"/>
              <w:rPr>
                <w:rFonts w:ascii="Verdana" w:hAnsi="Verdana"/>
                <w:b/>
                <w:sz w:val="20"/>
                <w:szCs w:val="20"/>
              </w:rPr>
            </w:pPr>
            <w:r w:rsidRPr="002C4DB2">
              <w:rPr>
                <w:rFonts w:ascii="Verdana" w:hAnsi="Verdana"/>
                <w:b/>
                <w:sz w:val="20"/>
                <w:szCs w:val="20"/>
              </w:rPr>
              <w:t>Ingredientes Peligrosos:</w:t>
            </w:r>
          </w:p>
        </w:tc>
        <w:tc>
          <w:tcPr>
            <w:tcW w:w="1464" w:type="dxa"/>
          </w:tcPr>
          <w:p w:rsidR="00DD0A97" w:rsidRPr="002C4DB2" w:rsidRDefault="00075793">
            <w:pPr>
              <w:pStyle w:val="TableParagraph"/>
              <w:spacing w:before="144"/>
              <w:ind w:left="253"/>
              <w:rPr>
                <w:rFonts w:ascii="Verdana" w:hAnsi="Verdana"/>
                <w:b/>
                <w:sz w:val="20"/>
                <w:szCs w:val="20"/>
              </w:rPr>
            </w:pPr>
            <w:r w:rsidRPr="002C4DB2">
              <w:rPr>
                <w:rFonts w:ascii="Verdana" w:hAnsi="Verdana"/>
                <w:b/>
                <w:sz w:val="20"/>
                <w:szCs w:val="20"/>
              </w:rPr>
              <w:t>% (p/v)</w:t>
            </w:r>
          </w:p>
        </w:tc>
        <w:tc>
          <w:tcPr>
            <w:tcW w:w="1933" w:type="dxa"/>
          </w:tcPr>
          <w:p w:rsidR="00DD0A97" w:rsidRPr="002C4DB2" w:rsidRDefault="00075793">
            <w:pPr>
              <w:pStyle w:val="TableParagraph"/>
              <w:spacing w:before="144"/>
              <w:ind w:left="207"/>
              <w:rPr>
                <w:rFonts w:ascii="Verdana" w:hAnsi="Verdana"/>
                <w:b/>
                <w:sz w:val="20"/>
                <w:szCs w:val="20"/>
              </w:rPr>
            </w:pPr>
            <w:r w:rsidRPr="002C4DB2">
              <w:rPr>
                <w:rFonts w:ascii="Verdana" w:hAnsi="Verdana"/>
                <w:b/>
                <w:sz w:val="20"/>
                <w:szCs w:val="20"/>
              </w:rPr>
              <w:t>ACGIH</w:t>
            </w:r>
          </w:p>
        </w:tc>
        <w:tc>
          <w:tcPr>
            <w:tcW w:w="1862" w:type="dxa"/>
          </w:tcPr>
          <w:p w:rsidR="00DD0A97" w:rsidRPr="002C4DB2" w:rsidRDefault="00075793">
            <w:pPr>
              <w:pStyle w:val="TableParagraph"/>
              <w:spacing w:before="144"/>
              <w:ind w:left="183"/>
              <w:rPr>
                <w:rFonts w:ascii="Verdana" w:hAnsi="Verdana"/>
                <w:b/>
                <w:sz w:val="20"/>
                <w:szCs w:val="20"/>
              </w:rPr>
            </w:pPr>
            <w:r w:rsidRPr="002C4DB2">
              <w:rPr>
                <w:rFonts w:ascii="Verdana" w:hAnsi="Verdana"/>
                <w:b/>
                <w:sz w:val="20"/>
                <w:szCs w:val="20"/>
              </w:rPr>
              <w:t>NUMERO CAS</w:t>
            </w:r>
          </w:p>
        </w:tc>
      </w:tr>
      <w:tr w:rsidR="00DD0A97" w:rsidRPr="002C4DB2">
        <w:trPr>
          <w:trHeight w:val="290"/>
        </w:trPr>
        <w:tc>
          <w:tcPr>
            <w:tcW w:w="3335" w:type="dxa"/>
          </w:tcPr>
          <w:p w:rsidR="00DD0A97" w:rsidRPr="002C4DB2" w:rsidRDefault="00075793">
            <w:pPr>
              <w:pStyle w:val="TableParagraph"/>
              <w:ind w:left="50"/>
              <w:rPr>
                <w:rFonts w:ascii="Verdana" w:hAnsi="Verdana"/>
                <w:sz w:val="20"/>
                <w:szCs w:val="20"/>
              </w:rPr>
            </w:pPr>
            <w:r w:rsidRPr="002C4DB2">
              <w:rPr>
                <w:rFonts w:ascii="Verdana" w:hAnsi="Verdana"/>
                <w:sz w:val="20"/>
                <w:szCs w:val="20"/>
              </w:rPr>
              <w:t>Hipoclorito de Sodio (NaOCl)</w:t>
            </w:r>
          </w:p>
        </w:tc>
        <w:tc>
          <w:tcPr>
            <w:tcW w:w="1464" w:type="dxa"/>
          </w:tcPr>
          <w:p w:rsidR="00DD0A97" w:rsidRPr="002C4DB2" w:rsidRDefault="00075793">
            <w:pPr>
              <w:pStyle w:val="TableParagraph"/>
              <w:ind w:left="255"/>
              <w:rPr>
                <w:rFonts w:ascii="Verdana" w:hAnsi="Verdana"/>
                <w:sz w:val="20"/>
                <w:szCs w:val="20"/>
              </w:rPr>
            </w:pPr>
            <w:r w:rsidRPr="002C4DB2">
              <w:rPr>
                <w:rFonts w:ascii="Verdana" w:hAnsi="Verdana"/>
                <w:sz w:val="20"/>
                <w:szCs w:val="20"/>
              </w:rPr>
              <w:t>11 – 17</w:t>
            </w:r>
          </w:p>
        </w:tc>
        <w:tc>
          <w:tcPr>
            <w:tcW w:w="1933" w:type="dxa"/>
          </w:tcPr>
          <w:p w:rsidR="00DD0A97" w:rsidRPr="002C4DB2" w:rsidRDefault="00075793">
            <w:pPr>
              <w:pStyle w:val="TableParagraph"/>
              <w:ind w:left="207"/>
              <w:rPr>
                <w:rFonts w:ascii="Verdana" w:hAnsi="Verdana"/>
                <w:sz w:val="20"/>
                <w:szCs w:val="20"/>
              </w:rPr>
            </w:pPr>
            <w:r w:rsidRPr="002C4DB2">
              <w:rPr>
                <w:rFonts w:ascii="Verdana" w:hAnsi="Verdana"/>
                <w:sz w:val="20"/>
                <w:szCs w:val="20"/>
              </w:rPr>
              <w:t>No establecido</w:t>
            </w:r>
          </w:p>
        </w:tc>
        <w:tc>
          <w:tcPr>
            <w:tcW w:w="1862" w:type="dxa"/>
          </w:tcPr>
          <w:p w:rsidR="00DD0A97" w:rsidRPr="002C4DB2" w:rsidRDefault="00075793">
            <w:pPr>
              <w:pStyle w:val="TableParagraph"/>
              <w:ind w:left="196"/>
              <w:rPr>
                <w:rFonts w:ascii="Verdana" w:hAnsi="Verdana"/>
                <w:sz w:val="20"/>
                <w:szCs w:val="20"/>
              </w:rPr>
            </w:pPr>
            <w:r w:rsidRPr="002C4DB2">
              <w:rPr>
                <w:rFonts w:ascii="Verdana" w:hAnsi="Verdana"/>
                <w:sz w:val="20"/>
                <w:szCs w:val="20"/>
              </w:rPr>
              <w:t>7681 – 52 – 9</w:t>
            </w:r>
          </w:p>
        </w:tc>
      </w:tr>
    </w:tbl>
    <w:p w:rsidR="00DD0A97" w:rsidRPr="002C4DB2" w:rsidRDefault="00075793">
      <w:pPr>
        <w:pStyle w:val="Textoindependiente"/>
        <w:ind w:left="5177"/>
        <w:rPr>
          <w:rFonts w:ascii="Verdana" w:hAnsi="Verdana"/>
          <w:sz w:val="20"/>
          <w:szCs w:val="20"/>
        </w:rPr>
      </w:pPr>
      <w:r w:rsidRPr="002C4DB2">
        <w:rPr>
          <w:rFonts w:ascii="Verdana" w:hAnsi="Verdana"/>
          <w:sz w:val="20"/>
          <w:szCs w:val="20"/>
        </w:rPr>
        <w:t>(0.5 ppm como Cloro)</w:t>
      </w:r>
    </w:p>
    <w:p w:rsidR="00DD0A97" w:rsidRPr="002C4DB2" w:rsidRDefault="00075793">
      <w:pPr>
        <w:pStyle w:val="Textoindependiente"/>
        <w:tabs>
          <w:tab w:val="left" w:pos="3759"/>
          <w:tab w:val="left" w:pos="5178"/>
        </w:tabs>
        <w:rPr>
          <w:rFonts w:ascii="Verdana" w:hAnsi="Verdana"/>
          <w:sz w:val="20"/>
          <w:szCs w:val="20"/>
        </w:rPr>
      </w:pPr>
      <w:r w:rsidRPr="002C4DB2">
        <w:rPr>
          <w:rFonts w:ascii="Verdana" w:hAnsi="Verdana"/>
          <w:sz w:val="20"/>
          <w:szCs w:val="20"/>
        </w:rPr>
        <w:t>Hidróxido de</w:t>
      </w:r>
      <w:r w:rsidRPr="002C4DB2">
        <w:rPr>
          <w:rFonts w:ascii="Verdana" w:hAnsi="Verdana"/>
          <w:spacing w:val="-6"/>
          <w:sz w:val="20"/>
          <w:szCs w:val="20"/>
        </w:rPr>
        <w:t xml:space="preserve"> </w:t>
      </w:r>
      <w:r w:rsidRPr="002C4DB2">
        <w:rPr>
          <w:rFonts w:ascii="Verdana" w:hAnsi="Verdana"/>
          <w:sz w:val="20"/>
          <w:szCs w:val="20"/>
        </w:rPr>
        <w:t>Sodio</w:t>
      </w:r>
      <w:r w:rsidRPr="002C4DB2">
        <w:rPr>
          <w:rFonts w:ascii="Verdana" w:hAnsi="Verdana"/>
          <w:spacing w:val="-3"/>
          <w:sz w:val="20"/>
          <w:szCs w:val="20"/>
        </w:rPr>
        <w:t xml:space="preserve"> </w:t>
      </w:r>
      <w:r w:rsidRPr="002C4DB2">
        <w:rPr>
          <w:rFonts w:ascii="Verdana" w:hAnsi="Verdana"/>
          <w:sz w:val="20"/>
          <w:szCs w:val="20"/>
        </w:rPr>
        <w:t>(NaOH)</w:t>
      </w:r>
      <w:r w:rsidRPr="002C4DB2">
        <w:rPr>
          <w:rFonts w:ascii="Verdana" w:hAnsi="Verdana"/>
          <w:sz w:val="20"/>
          <w:szCs w:val="20"/>
        </w:rPr>
        <w:tab/>
        <w:t>2 %</w:t>
      </w:r>
      <w:r w:rsidRPr="002C4DB2">
        <w:rPr>
          <w:rFonts w:ascii="Verdana" w:hAnsi="Verdana"/>
          <w:spacing w:val="2"/>
          <w:sz w:val="20"/>
          <w:szCs w:val="20"/>
        </w:rPr>
        <w:t xml:space="preserve"> </w:t>
      </w:r>
      <w:r w:rsidRPr="002C4DB2">
        <w:rPr>
          <w:rFonts w:ascii="Verdana" w:hAnsi="Verdana"/>
          <w:sz w:val="20"/>
          <w:szCs w:val="20"/>
        </w:rPr>
        <w:t>Max.</w:t>
      </w:r>
      <w:r w:rsidRPr="002C4DB2">
        <w:rPr>
          <w:rFonts w:ascii="Verdana" w:hAnsi="Verdana"/>
          <w:sz w:val="20"/>
          <w:szCs w:val="20"/>
        </w:rPr>
        <w:tab/>
        <w:t>2 mg/m3 (TLV-C) 1310 – 73 –</w:t>
      </w:r>
      <w:r w:rsidRPr="002C4DB2">
        <w:rPr>
          <w:rFonts w:ascii="Verdana" w:hAnsi="Verdana"/>
          <w:spacing w:val="-9"/>
          <w:sz w:val="20"/>
          <w:szCs w:val="20"/>
        </w:rPr>
        <w:t xml:space="preserve"> </w:t>
      </w:r>
      <w:r w:rsidRPr="002C4DB2">
        <w:rPr>
          <w:rFonts w:ascii="Verdana" w:hAnsi="Verdana"/>
          <w:sz w:val="20"/>
          <w:szCs w:val="20"/>
        </w:rPr>
        <w:t>2</w:t>
      </w:r>
    </w:p>
    <w:p w:rsidR="00DD0A97" w:rsidRPr="002C4DB2" w:rsidRDefault="00DD0A97">
      <w:pPr>
        <w:rPr>
          <w:rFonts w:ascii="Verdana" w:hAnsi="Verdana"/>
          <w:sz w:val="20"/>
          <w:szCs w:val="20"/>
        </w:rPr>
        <w:sectPr w:rsidR="00DD0A97" w:rsidRPr="002C4DB2">
          <w:headerReference w:type="default" r:id="rId9"/>
          <w:type w:val="continuous"/>
          <w:pgSz w:w="11900" w:h="16840"/>
          <w:pgMar w:top="1700" w:right="1540" w:bottom="280" w:left="1480" w:header="404" w:footer="72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ind w:left="0"/>
        <w:rPr>
          <w:rFonts w:ascii="Verdana" w:hAnsi="Verdana"/>
          <w:sz w:val="20"/>
          <w:szCs w:val="20"/>
        </w:rPr>
      </w:pPr>
    </w:p>
    <w:p w:rsidR="00DD0A97" w:rsidRPr="002C4DB2" w:rsidRDefault="00075793" w:rsidP="002C4DB2">
      <w:pPr>
        <w:pStyle w:val="Ttulo1"/>
        <w:spacing w:before="100" w:line="240" w:lineRule="auto"/>
        <w:jc w:val="center"/>
        <w:rPr>
          <w:rFonts w:ascii="Verdana" w:hAnsi="Verdana"/>
          <w:sz w:val="20"/>
          <w:szCs w:val="20"/>
        </w:rPr>
      </w:pPr>
      <w:r w:rsidRPr="002C4DB2">
        <w:rPr>
          <w:rFonts w:ascii="Verdana" w:hAnsi="Verdana"/>
          <w:sz w:val="20"/>
          <w:szCs w:val="20"/>
        </w:rPr>
        <w:t>SECCIÓN 3 – IDENTIFICACIÓN DE PELIGROS</w:t>
      </w:r>
    </w:p>
    <w:p w:rsidR="00DD0A97" w:rsidRPr="002C4DB2" w:rsidRDefault="00DD0A97">
      <w:pPr>
        <w:pStyle w:val="Textoindependiente"/>
        <w:spacing w:before="11"/>
        <w:ind w:left="0"/>
        <w:rPr>
          <w:rFonts w:ascii="Verdana" w:hAnsi="Verdana"/>
          <w:b/>
          <w:sz w:val="20"/>
          <w:szCs w:val="20"/>
        </w:rPr>
      </w:pPr>
    </w:p>
    <w:p w:rsidR="00F03784" w:rsidRPr="002C4DB2" w:rsidRDefault="00F03784">
      <w:pPr>
        <w:spacing w:before="1"/>
        <w:ind w:left="2553"/>
        <w:rPr>
          <w:rFonts w:ascii="Verdana" w:hAnsi="Verdana"/>
          <w:b/>
          <w:color w:val="FF0000"/>
          <w:sz w:val="20"/>
          <w:szCs w:val="20"/>
        </w:rPr>
      </w:pPr>
    </w:p>
    <w:p w:rsidR="00DD0A97" w:rsidRPr="002C4DB2" w:rsidRDefault="00075793">
      <w:pPr>
        <w:spacing w:before="1"/>
        <w:ind w:left="2553"/>
        <w:rPr>
          <w:rFonts w:ascii="Verdana" w:hAnsi="Verdana"/>
          <w:b/>
          <w:sz w:val="20"/>
          <w:szCs w:val="20"/>
        </w:rPr>
      </w:pPr>
      <w:r w:rsidRPr="002C4DB2">
        <w:rPr>
          <w:rFonts w:ascii="Verdana" w:hAnsi="Verdana"/>
          <w:b/>
          <w:sz w:val="20"/>
          <w:szCs w:val="20"/>
        </w:rPr>
        <w:t>RESUMEN DE EMERGENCIA</w:t>
      </w:r>
    </w:p>
    <w:p w:rsidR="00F03784" w:rsidRPr="002C4DB2" w:rsidRDefault="00F03784">
      <w:pPr>
        <w:spacing w:before="1"/>
        <w:ind w:left="2553"/>
        <w:rPr>
          <w:rFonts w:ascii="Verdana" w:hAnsi="Verdana"/>
          <w:b/>
          <w:sz w:val="20"/>
          <w:szCs w:val="20"/>
        </w:rPr>
      </w:pPr>
    </w:p>
    <w:p w:rsidR="00DD0A97" w:rsidRPr="002C4DB2" w:rsidRDefault="00075793">
      <w:pPr>
        <w:pStyle w:val="Textoindependiente"/>
        <w:ind w:right="149"/>
        <w:jc w:val="both"/>
        <w:rPr>
          <w:rFonts w:ascii="Verdana" w:hAnsi="Verdana"/>
          <w:sz w:val="20"/>
          <w:szCs w:val="20"/>
        </w:rPr>
      </w:pPr>
      <w:r w:rsidRPr="002C4DB2">
        <w:rPr>
          <w:rFonts w:ascii="Verdana" w:hAnsi="Verdana"/>
          <w:b/>
          <w:sz w:val="20"/>
          <w:szCs w:val="20"/>
        </w:rPr>
        <w:t xml:space="preserve">¡CORROSIVO! </w:t>
      </w:r>
      <w:r w:rsidRPr="002C4DB2">
        <w:rPr>
          <w:rFonts w:ascii="Verdana" w:hAnsi="Verdana"/>
          <w:sz w:val="20"/>
          <w:szCs w:val="20"/>
        </w:rPr>
        <w:t>El contacto con ácidos libera gas de cloro tóxico. Causa quemaduras en la piel, ojos, tracto respiratorio y membranas mucosas. Dañino o fatal si se ingiere. Puede provocar sensibilización por contacto con la piel. Tóxico para organismos acuáticos. Para una información con mayor detalle lea toda la Hoja de</w:t>
      </w:r>
      <w:r w:rsidRPr="002C4DB2">
        <w:rPr>
          <w:rFonts w:ascii="Verdana" w:hAnsi="Verdana"/>
          <w:spacing w:val="1"/>
          <w:sz w:val="20"/>
          <w:szCs w:val="20"/>
        </w:rPr>
        <w:t xml:space="preserve"> </w:t>
      </w:r>
      <w:r w:rsidRPr="002C4DB2">
        <w:rPr>
          <w:rFonts w:ascii="Verdana" w:hAnsi="Verdana"/>
          <w:sz w:val="20"/>
          <w:szCs w:val="20"/>
        </w:rPr>
        <w:t>Seguridad.</w:t>
      </w:r>
    </w:p>
    <w:p w:rsidR="00DD0A97" w:rsidRPr="002C4DB2" w:rsidRDefault="00DD0A97">
      <w:pPr>
        <w:pStyle w:val="Textoindependiente"/>
        <w:spacing w:before="12"/>
        <w:ind w:left="0"/>
        <w:rPr>
          <w:rFonts w:ascii="Verdana" w:hAnsi="Verdana"/>
          <w:sz w:val="20"/>
          <w:szCs w:val="20"/>
        </w:rPr>
      </w:pPr>
    </w:p>
    <w:p w:rsidR="00DD0A97" w:rsidRPr="002C4DB2" w:rsidRDefault="00075793">
      <w:pPr>
        <w:pStyle w:val="Ttulo1"/>
        <w:spacing w:line="240" w:lineRule="auto"/>
        <w:jc w:val="both"/>
        <w:rPr>
          <w:rFonts w:ascii="Verdana" w:hAnsi="Verdana"/>
          <w:sz w:val="20"/>
          <w:szCs w:val="20"/>
        </w:rPr>
      </w:pPr>
      <w:r w:rsidRPr="002C4DB2">
        <w:rPr>
          <w:rFonts w:ascii="Verdana" w:hAnsi="Verdana"/>
          <w:sz w:val="20"/>
          <w:szCs w:val="20"/>
        </w:rPr>
        <w:t>EFECTOS POTENCIALES SOBRE LA SALUD:</w:t>
      </w:r>
    </w:p>
    <w:p w:rsidR="00F03784" w:rsidRPr="002C4DB2" w:rsidRDefault="00F03784">
      <w:pPr>
        <w:pStyle w:val="Textoindependiente"/>
        <w:ind w:right="182"/>
        <w:rPr>
          <w:rFonts w:ascii="Verdana" w:hAnsi="Verdana"/>
          <w:b/>
          <w:sz w:val="20"/>
          <w:szCs w:val="20"/>
        </w:rPr>
      </w:pPr>
    </w:p>
    <w:p w:rsidR="00DD0A97" w:rsidRPr="002C4DB2" w:rsidRDefault="00075793">
      <w:pPr>
        <w:pStyle w:val="Textoindependiente"/>
        <w:ind w:right="182"/>
        <w:rPr>
          <w:rFonts w:ascii="Verdana" w:hAnsi="Verdana"/>
          <w:sz w:val="20"/>
          <w:szCs w:val="20"/>
        </w:rPr>
      </w:pPr>
      <w:r w:rsidRPr="002C4DB2">
        <w:rPr>
          <w:rFonts w:ascii="Verdana" w:hAnsi="Verdana"/>
          <w:b/>
          <w:sz w:val="20"/>
          <w:szCs w:val="20"/>
        </w:rPr>
        <w:t xml:space="preserve">General: </w:t>
      </w:r>
      <w:r w:rsidRPr="002C4DB2">
        <w:rPr>
          <w:rFonts w:ascii="Verdana" w:hAnsi="Verdana"/>
          <w:sz w:val="20"/>
          <w:szCs w:val="20"/>
        </w:rPr>
        <w:t xml:space="preserve">El Hipoclorito de Sodio en estado natural es una sal inestable, por esta razón se comercializa como solución en agua. Las rutas más importantes de exposición son la inhalación de sus gases y el contacto directo con la piel y los ojos. Su severidad depende de la concentración y del tiempo de exposición. </w:t>
      </w:r>
      <w:r w:rsidRPr="002C4DB2">
        <w:rPr>
          <w:rFonts w:ascii="Verdana" w:hAnsi="Verdana"/>
          <w:b/>
          <w:sz w:val="20"/>
          <w:szCs w:val="20"/>
        </w:rPr>
        <w:t xml:space="preserve">Inhalación: </w:t>
      </w:r>
      <w:r w:rsidRPr="002C4DB2">
        <w:rPr>
          <w:rFonts w:ascii="Verdana" w:hAnsi="Verdana"/>
          <w:sz w:val="20"/>
          <w:szCs w:val="20"/>
        </w:rPr>
        <w:t>El rocío puede irritar la nariz y la garganta. Si se mezcla con ácidos, las soluciones de hipoclorito pueden liberar grandes cantidades de gas de cloro. Este gas puede causar irritación severa de nariz y</w:t>
      </w:r>
      <w:r w:rsidRPr="002C4DB2">
        <w:rPr>
          <w:rFonts w:ascii="Verdana" w:hAnsi="Verdana"/>
          <w:spacing w:val="-12"/>
          <w:sz w:val="20"/>
          <w:szCs w:val="20"/>
        </w:rPr>
        <w:t xml:space="preserve"> </w:t>
      </w:r>
      <w:r w:rsidRPr="002C4DB2">
        <w:rPr>
          <w:rFonts w:ascii="Verdana" w:hAnsi="Verdana"/>
          <w:sz w:val="20"/>
          <w:szCs w:val="20"/>
        </w:rPr>
        <w:t>garganta.</w:t>
      </w:r>
    </w:p>
    <w:p w:rsidR="00DD0A97" w:rsidRPr="002C4DB2" w:rsidRDefault="00075793">
      <w:pPr>
        <w:pStyle w:val="Textoindependiente"/>
        <w:spacing w:before="1"/>
        <w:ind w:right="155"/>
        <w:jc w:val="both"/>
        <w:rPr>
          <w:rFonts w:ascii="Verdana" w:hAnsi="Verdana"/>
          <w:sz w:val="20"/>
          <w:szCs w:val="20"/>
        </w:rPr>
      </w:pPr>
      <w:r w:rsidRPr="002C4DB2">
        <w:rPr>
          <w:rFonts w:ascii="Verdana" w:hAnsi="Verdana"/>
          <w:sz w:val="20"/>
          <w:szCs w:val="20"/>
        </w:rPr>
        <w:t>La exposición a niveles elevados de gas de cloro puede dar como resultado un daño pulmonar severo o la muerte.</w:t>
      </w:r>
    </w:p>
    <w:p w:rsidR="00DD0A97" w:rsidRPr="002C4DB2" w:rsidRDefault="00075793">
      <w:pPr>
        <w:pStyle w:val="Textoindependiente"/>
        <w:ind w:right="148"/>
        <w:jc w:val="both"/>
        <w:rPr>
          <w:rFonts w:ascii="Verdana" w:hAnsi="Verdana"/>
          <w:sz w:val="20"/>
          <w:szCs w:val="20"/>
        </w:rPr>
      </w:pPr>
      <w:r w:rsidRPr="002C4DB2">
        <w:rPr>
          <w:rFonts w:ascii="Verdana" w:hAnsi="Verdana"/>
          <w:b/>
          <w:sz w:val="20"/>
          <w:szCs w:val="20"/>
        </w:rPr>
        <w:t xml:space="preserve">Contacto con la piel: </w:t>
      </w:r>
      <w:r w:rsidRPr="002C4DB2">
        <w:rPr>
          <w:rFonts w:ascii="Verdana" w:hAnsi="Verdana"/>
          <w:sz w:val="20"/>
          <w:szCs w:val="20"/>
        </w:rPr>
        <w:t>¡CORROSIVO! El rocío y las soluciones de hipoclorito de sodio pueden causar irritación en la piel. Los casos severos pueden resultar en quemaduras químicas, dependiendo de la concentración y del tiempo de exposición.</w:t>
      </w:r>
    </w:p>
    <w:p w:rsidR="00DD0A97" w:rsidRPr="002C4DB2" w:rsidRDefault="00075793">
      <w:pPr>
        <w:ind w:left="221" w:right="154"/>
        <w:jc w:val="both"/>
        <w:rPr>
          <w:rFonts w:ascii="Verdana" w:hAnsi="Verdana"/>
          <w:sz w:val="20"/>
          <w:szCs w:val="20"/>
        </w:rPr>
      </w:pPr>
      <w:r w:rsidRPr="002C4DB2">
        <w:rPr>
          <w:rFonts w:ascii="Verdana" w:hAnsi="Verdana"/>
          <w:b/>
          <w:sz w:val="20"/>
          <w:szCs w:val="20"/>
        </w:rPr>
        <w:t xml:space="preserve">Contacto con los ojos: ¡EXTREMADAMENTE CORROSIVO! </w:t>
      </w:r>
      <w:r w:rsidRPr="002C4DB2">
        <w:rPr>
          <w:rFonts w:ascii="Verdana" w:hAnsi="Verdana"/>
          <w:sz w:val="20"/>
          <w:szCs w:val="20"/>
        </w:rPr>
        <w:t>Puede causar quemaduras severas y daños en los ojos, lo cual puede resultar en ceguera permanente, dependiendo de la concentración y del tiempo de exposición.</w:t>
      </w:r>
    </w:p>
    <w:p w:rsidR="00DD0A97" w:rsidRPr="002C4DB2" w:rsidRDefault="00075793">
      <w:pPr>
        <w:pStyle w:val="Textoindependiente"/>
        <w:ind w:right="149"/>
        <w:jc w:val="both"/>
        <w:rPr>
          <w:rFonts w:ascii="Verdana" w:hAnsi="Verdana"/>
          <w:sz w:val="20"/>
          <w:szCs w:val="20"/>
        </w:rPr>
      </w:pPr>
      <w:r w:rsidRPr="002C4DB2">
        <w:rPr>
          <w:rFonts w:ascii="Verdana" w:hAnsi="Verdana"/>
          <w:b/>
          <w:sz w:val="20"/>
          <w:szCs w:val="20"/>
        </w:rPr>
        <w:t xml:space="preserve">Ingestión: </w:t>
      </w:r>
      <w:r w:rsidRPr="002C4DB2">
        <w:rPr>
          <w:rFonts w:ascii="Verdana" w:hAnsi="Verdana"/>
          <w:sz w:val="20"/>
          <w:szCs w:val="20"/>
        </w:rPr>
        <w:t>Puede causar irritación y dolor, inflamación y corrosión de las membranas mucosas, boca y estómago, vómito y edema de la faringe y laringe; puede ocurrir una disminución de la presión sanguínea, delirio, coma, y en casos severos hasta la muerte. Puede causar perforación del esófago y del estómago.</w:t>
      </w:r>
    </w:p>
    <w:p w:rsidR="00DD0A97" w:rsidRPr="002C4DB2" w:rsidRDefault="00075793">
      <w:pPr>
        <w:ind w:left="221" w:right="152"/>
        <w:jc w:val="both"/>
        <w:rPr>
          <w:rFonts w:ascii="Verdana" w:hAnsi="Verdana"/>
          <w:sz w:val="20"/>
          <w:szCs w:val="20"/>
        </w:rPr>
      </w:pPr>
      <w:r w:rsidRPr="002C4DB2">
        <w:rPr>
          <w:rFonts w:ascii="Verdana" w:hAnsi="Verdana"/>
          <w:b/>
          <w:sz w:val="20"/>
          <w:szCs w:val="20"/>
        </w:rPr>
        <w:t xml:space="preserve">Condiciones médicas existentes que posiblemente se agraven por la exposición: </w:t>
      </w:r>
      <w:r w:rsidRPr="002C4DB2">
        <w:rPr>
          <w:rFonts w:ascii="Verdana" w:hAnsi="Verdana"/>
          <w:sz w:val="20"/>
          <w:szCs w:val="20"/>
        </w:rPr>
        <w:t>La irritación de la piel puede agravarse en personas con lesiones existentes en la piel. Respirar los vapores o rocíos puede agravar el asma agudo o crónico y las enfermedades pulmonares crónicas, como el enfisema y la bronquitis.</w:t>
      </w:r>
    </w:p>
    <w:p w:rsidR="00DD0A97" w:rsidRPr="002C4DB2" w:rsidRDefault="00075793">
      <w:pPr>
        <w:pStyle w:val="Textoindependiente"/>
        <w:ind w:right="146"/>
        <w:jc w:val="both"/>
        <w:rPr>
          <w:rFonts w:ascii="Verdana" w:hAnsi="Verdana"/>
          <w:sz w:val="20"/>
          <w:szCs w:val="20"/>
        </w:rPr>
      </w:pPr>
      <w:r w:rsidRPr="002C4DB2">
        <w:rPr>
          <w:rFonts w:ascii="Verdana" w:hAnsi="Verdana"/>
          <w:b/>
          <w:sz w:val="20"/>
          <w:szCs w:val="20"/>
        </w:rPr>
        <w:t xml:space="preserve">Efectos crónicos: </w:t>
      </w:r>
      <w:r w:rsidRPr="002C4DB2">
        <w:rPr>
          <w:rFonts w:ascii="Verdana" w:hAnsi="Verdana"/>
          <w:sz w:val="20"/>
          <w:szCs w:val="20"/>
        </w:rPr>
        <w:t>El contacto prolongado o repetido de la piel con soluciones tan diluidas como un 4 a 6% de hipoclorito de sodio puede provocar una dermatitis alérgica al contacto. Los síntomas incluyen eczema crónico que produce comezón. La gente sensibilizada puede reaccionar a soluciones muy diluidas (0.04-0.06% NaOCI) en contacto con la piel. Riesgo de ulceración de la piel. La inhalación repetida puede causar irritación de la garganta con dolor, sangrado de la nariz, bronquitis crónica o neumonitis química.</w:t>
      </w:r>
    </w:p>
    <w:p w:rsidR="00DD0A97" w:rsidRPr="002C4DB2" w:rsidRDefault="00DD0A97">
      <w:pPr>
        <w:jc w:val="both"/>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pPr>
        <w:pStyle w:val="Textoindependiente"/>
        <w:spacing w:before="100"/>
        <w:ind w:right="146"/>
        <w:jc w:val="both"/>
        <w:rPr>
          <w:rFonts w:ascii="Verdana" w:hAnsi="Verdana"/>
          <w:sz w:val="20"/>
          <w:szCs w:val="20"/>
        </w:rPr>
      </w:pPr>
      <w:r w:rsidRPr="002C4DB2">
        <w:rPr>
          <w:rFonts w:ascii="Verdana" w:hAnsi="Verdana"/>
          <w:b/>
          <w:sz w:val="20"/>
          <w:szCs w:val="20"/>
        </w:rPr>
        <w:t xml:space="preserve">Carcinogenicidad: </w:t>
      </w:r>
      <w:r w:rsidRPr="002C4DB2">
        <w:rPr>
          <w:rFonts w:ascii="Verdana" w:hAnsi="Verdana"/>
          <w:sz w:val="20"/>
          <w:szCs w:val="20"/>
        </w:rPr>
        <w:t>El hipoclorito de sodio no está clasificado como carcinógeno en la ACGIH (Conferencia americana de higienistas industriales gubernamentales) o la IARC (Agencia internacional de investigación sobre el cáncer), no está regulado como carcinógeno por OSHA (Administración de seguridad y salud ocupacional) y no está enlistado como carcinógeno por el NTP (Programa Nacional de</w:t>
      </w:r>
      <w:r w:rsidRPr="002C4DB2">
        <w:rPr>
          <w:rFonts w:ascii="Verdana" w:hAnsi="Verdana"/>
          <w:spacing w:val="-1"/>
          <w:sz w:val="20"/>
          <w:szCs w:val="20"/>
        </w:rPr>
        <w:t xml:space="preserve"> </w:t>
      </w:r>
      <w:r w:rsidRPr="002C4DB2">
        <w:rPr>
          <w:rFonts w:ascii="Verdana" w:hAnsi="Verdana"/>
          <w:sz w:val="20"/>
          <w:szCs w:val="20"/>
        </w:rPr>
        <w:t>Toxicología).</w:t>
      </w:r>
    </w:p>
    <w:p w:rsidR="00DD0A97" w:rsidRPr="002C4DB2" w:rsidRDefault="00DD0A97">
      <w:pPr>
        <w:pStyle w:val="Textoindependiente"/>
        <w:ind w:left="0"/>
        <w:rPr>
          <w:rFonts w:ascii="Verdana" w:hAnsi="Verdana"/>
          <w:sz w:val="20"/>
          <w:szCs w:val="20"/>
        </w:rPr>
      </w:pPr>
    </w:p>
    <w:p w:rsidR="00DD0A97" w:rsidRPr="002C4DB2" w:rsidRDefault="00075793" w:rsidP="00F03784">
      <w:pPr>
        <w:pStyle w:val="Ttulo1"/>
        <w:jc w:val="center"/>
        <w:rPr>
          <w:rFonts w:ascii="Verdana" w:hAnsi="Verdana"/>
          <w:sz w:val="20"/>
          <w:szCs w:val="20"/>
        </w:rPr>
      </w:pPr>
      <w:r w:rsidRPr="002C4DB2">
        <w:rPr>
          <w:rFonts w:ascii="Verdana" w:hAnsi="Verdana"/>
          <w:sz w:val="20"/>
          <w:szCs w:val="20"/>
        </w:rPr>
        <w:t>SECCIÓN 4 – MEDIDAS DE PRIMEROS AUXILIOS</w:t>
      </w:r>
    </w:p>
    <w:p w:rsidR="00F03784" w:rsidRPr="002C4DB2" w:rsidRDefault="00F03784">
      <w:pPr>
        <w:pStyle w:val="Textoindependiente"/>
        <w:ind w:right="150"/>
        <w:jc w:val="both"/>
        <w:rPr>
          <w:rFonts w:ascii="Verdana" w:hAnsi="Verdana"/>
          <w:b/>
          <w:sz w:val="20"/>
          <w:szCs w:val="20"/>
        </w:rPr>
      </w:pPr>
    </w:p>
    <w:p w:rsidR="00DD0A97" w:rsidRPr="002C4DB2" w:rsidRDefault="00075793">
      <w:pPr>
        <w:pStyle w:val="Textoindependiente"/>
        <w:ind w:right="150"/>
        <w:jc w:val="both"/>
        <w:rPr>
          <w:rFonts w:ascii="Verdana" w:hAnsi="Verdana"/>
          <w:sz w:val="20"/>
          <w:szCs w:val="20"/>
        </w:rPr>
      </w:pPr>
      <w:r w:rsidRPr="002C4DB2">
        <w:rPr>
          <w:rFonts w:ascii="Verdana" w:hAnsi="Verdana"/>
          <w:b/>
          <w:sz w:val="20"/>
          <w:szCs w:val="20"/>
        </w:rPr>
        <w:t xml:space="preserve">General: </w:t>
      </w:r>
      <w:r w:rsidRPr="002C4DB2">
        <w:rPr>
          <w:rFonts w:ascii="Verdana" w:hAnsi="Verdana"/>
          <w:sz w:val="20"/>
          <w:szCs w:val="20"/>
        </w:rPr>
        <w:t>Si no se siente bien busque atención médica (si es posible muestre la Hoja de Seguridad). Sustancia corrosiva a los tejidos por contacto, inhalación o ingestión.</w:t>
      </w:r>
    </w:p>
    <w:p w:rsidR="00DD0A97" w:rsidRPr="002C4DB2" w:rsidRDefault="00075793">
      <w:pPr>
        <w:pStyle w:val="Textoindependiente"/>
        <w:ind w:right="151"/>
        <w:jc w:val="both"/>
        <w:rPr>
          <w:rFonts w:ascii="Verdana" w:hAnsi="Verdana"/>
          <w:sz w:val="20"/>
          <w:szCs w:val="20"/>
        </w:rPr>
      </w:pPr>
      <w:r w:rsidRPr="002C4DB2">
        <w:rPr>
          <w:rFonts w:ascii="Verdana" w:hAnsi="Verdana"/>
          <w:b/>
          <w:sz w:val="20"/>
          <w:szCs w:val="20"/>
        </w:rPr>
        <w:t xml:space="preserve">Inhalación: </w:t>
      </w:r>
      <w:r w:rsidRPr="002C4DB2">
        <w:rPr>
          <w:rFonts w:ascii="Verdana" w:hAnsi="Verdana"/>
          <w:sz w:val="20"/>
          <w:szCs w:val="20"/>
        </w:rPr>
        <w:t>Llevar al aire libre. Proporcione respiración artificial SOLAMENTE si la respiración ha cesado. No utilice el método de boca a boca si la victima ingirió o inhaló la sustancia: induzca la respiración artificial con ayuda de un instrumento respiratorio médico adecuado. Proporcione Resucitación Cardiopulmonar (RCP solamente si no hay pulso ni respiración. Busque atención médica INMEDIATAMENTE.</w:t>
      </w:r>
    </w:p>
    <w:p w:rsidR="00DD0A97" w:rsidRPr="002C4DB2" w:rsidRDefault="00075793">
      <w:pPr>
        <w:pStyle w:val="Textoindependiente"/>
        <w:ind w:right="146"/>
        <w:jc w:val="both"/>
        <w:rPr>
          <w:rFonts w:ascii="Verdana" w:hAnsi="Verdana"/>
          <w:sz w:val="20"/>
          <w:szCs w:val="20"/>
        </w:rPr>
      </w:pPr>
      <w:r w:rsidRPr="002C4DB2">
        <w:rPr>
          <w:rFonts w:ascii="Verdana" w:hAnsi="Verdana"/>
          <w:b/>
          <w:sz w:val="20"/>
          <w:szCs w:val="20"/>
        </w:rPr>
        <w:t xml:space="preserve">Contacto con la piel: </w:t>
      </w:r>
      <w:r w:rsidRPr="002C4DB2">
        <w:rPr>
          <w:rFonts w:ascii="Verdana" w:hAnsi="Verdana"/>
          <w:sz w:val="20"/>
          <w:szCs w:val="20"/>
        </w:rPr>
        <w:t>: Inmediatamente enjuague la piel con una corriente de agua durante un mínimo de 15 a 20 minutos. Quite la ropa contaminada, joyas y zapatos bajo el agua. Si persiste la irritación, repita el</w:t>
      </w:r>
      <w:r w:rsidRPr="002C4DB2">
        <w:rPr>
          <w:rFonts w:ascii="Verdana" w:hAnsi="Verdana"/>
          <w:spacing w:val="-13"/>
          <w:sz w:val="20"/>
          <w:szCs w:val="20"/>
        </w:rPr>
        <w:t xml:space="preserve"> </w:t>
      </w:r>
      <w:r w:rsidRPr="002C4DB2">
        <w:rPr>
          <w:rFonts w:ascii="Verdana" w:hAnsi="Verdana"/>
          <w:sz w:val="20"/>
          <w:szCs w:val="20"/>
        </w:rPr>
        <w:t>enjuague.</w:t>
      </w:r>
    </w:p>
    <w:p w:rsidR="00DD0A97" w:rsidRPr="002C4DB2" w:rsidRDefault="00075793">
      <w:pPr>
        <w:pStyle w:val="Textoindependiente"/>
        <w:ind w:right="149"/>
        <w:jc w:val="both"/>
        <w:rPr>
          <w:rFonts w:ascii="Verdana" w:hAnsi="Verdana"/>
          <w:sz w:val="20"/>
          <w:szCs w:val="20"/>
        </w:rPr>
      </w:pPr>
      <w:r w:rsidRPr="002C4DB2">
        <w:rPr>
          <w:rFonts w:ascii="Verdana" w:hAnsi="Verdana"/>
          <w:sz w:val="20"/>
          <w:szCs w:val="20"/>
        </w:rPr>
        <w:t>Para quemaduras consiga atención médica. Deseche la ropa y los zapatos altamente contaminados de forma que limite una mayor exposición. De lo contrario, lave la ropa por separado antes de volver a utilizarla.</w:t>
      </w:r>
    </w:p>
    <w:p w:rsidR="00DD0A97" w:rsidRPr="002C4DB2" w:rsidRDefault="00075793">
      <w:pPr>
        <w:pStyle w:val="Textoindependiente"/>
        <w:ind w:right="149"/>
        <w:jc w:val="both"/>
        <w:rPr>
          <w:rFonts w:ascii="Verdana" w:hAnsi="Verdana"/>
          <w:sz w:val="20"/>
          <w:szCs w:val="20"/>
        </w:rPr>
      </w:pPr>
      <w:r w:rsidRPr="002C4DB2">
        <w:rPr>
          <w:rFonts w:ascii="Verdana" w:hAnsi="Verdana"/>
          <w:b/>
          <w:sz w:val="20"/>
          <w:szCs w:val="20"/>
        </w:rPr>
        <w:t xml:space="preserve">Contacto con los ojos: </w:t>
      </w:r>
      <w:r w:rsidRPr="002C4DB2">
        <w:rPr>
          <w:rFonts w:ascii="Verdana" w:hAnsi="Verdana"/>
          <w:sz w:val="20"/>
          <w:szCs w:val="20"/>
        </w:rPr>
        <w:t>: Enjuague los ojos inmediatamente con agua por un mínimo de 15 minutos. Mantenga los párpados abiertos durante el enjuague. Si persiste la irritación, repita el enjuague. Busque atención médica INMEDIATAMENTE. No transporte a la victima hasta que el periodo de enjuague recomendado haya terminado, a menos que pueda continuar el enjuague durante el</w:t>
      </w:r>
      <w:r w:rsidRPr="002C4DB2">
        <w:rPr>
          <w:rFonts w:ascii="Verdana" w:hAnsi="Verdana"/>
          <w:spacing w:val="-1"/>
          <w:sz w:val="20"/>
          <w:szCs w:val="20"/>
        </w:rPr>
        <w:t xml:space="preserve"> </w:t>
      </w:r>
      <w:r w:rsidRPr="002C4DB2">
        <w:rPr>
          <w:rFonts w:ascii="Verdana" w:hAnsi="Verdana"/>
          <w:sz w:val="20"/>
          <w:szCs w:val="20"/>
        </w:rPr>
        <w:t>transporte.</w:t>
      </w:r>
    </w:p>
    <w:p w:rsidR="00DD0A97" w:rsidRPr="002C4DB2" w:rsidRDefault="00075793">
      <w:pPr>
        <w:pStyle w:val="Textoindependiente"/>
        <w:spacing w:before="1"/>
        <w:ind w:right="149"/>
        <w:jc w:val="both"/>
        <w:rPr>
          <w:rFonts w:ascii="Verdana" w:hAnsi="Verdana"/>
          <w:sz w:val="20"/>
          <w:szCs w:val="20"/>
        </w:rPr>
      </w:pPr>
      <w:r w:rsidRPr="002C4DB2">
        <w:rPr>
          <w:rFonts w:ascii="Verdana" w:hAnsi="Verdana"/>
          <w:b/>
          <w:sz w:val="20"/>
          <w:szCs w:val="20"/>
        </w:rPr>
        <w:t xml:space="preserve">Ingestión: </w:t>
      </w:r>
      <w:r w:rsidRPr="002C4DB2">
        <w:rPr>
          <w:rFonts w:ascii="Verdana" w:hAnsi="Verdana"/>
          <w:sz w:val="20"/>
          <w:szCs w:val="20"/>
        </w:rPr>
        <w:t>NO INDUZCA AL VÓMITO. Si la victima está alerta y no está convulsionando, enjuáguele la boca y proporciónele tanta agua como sea posible para diluir el producto. Si ocurre un vómito espontáneo, haga que la víctima se incline hacia adelante con la cabeza hacia abajo para evitar que aspire el vómito, enjuáguele la boca y adminístrele más agua. Transporte a la víctima INMEDIATAMENTE a un médico.</w:t>
      </w:r>
    </w:p>
    <w:p w:rsidR="00DD0A97" w:rsidRPr="002C4DB2" w:rsidRDefault="00075793">
      <w:pPr>
        <w:pStyle w:val="Textoindependiente"/>
        <w:ind w:right="139"/>
        <w:rPr>
          <w:rFonts w:ascii="Verdana" w:hAnsi="Verdana"/>
          <w:sz w:val="20"/>
          <w:szCs w:val="20"/>
        </w:rPr>
      </w:pPr>
      <w:r w:rsidRPr="002C4DB2">
        <w:rPr>
          <w:rFonts w:ascii="Verdana" w:hAnsi="Verdana"/>
          <w:b/>
          <w:sz w:val="20"/>
          <w:szCs w:val="20"/>
        </w:rPr>
        <w:t xml:space="preserve">Nota para los médicos: </w:t>
      </w:r>
      <w:r w:rsidRPr="002C4DB2">
        <w:rPr>
          <w:rFonts w:ascii="Verdana" w:hAnsi="Verdana"/>
          <w:sz w:val="20"/>
          <w:szCs w:val="20"/>
        </w:rPr>
        <w:t>Sintomático. Tratamiento y terapia de apoyo como se indica. NO PROPORCIONE antídotos ácidos como jugos, refrescos, vinagre, etc. Este producto contiene materiales que pueden causar neumonía severa si se aspira. Algunos tratamientos exitosos encontrados en las referencias fueron los siguientes, sin embargo siga siempre su criterio .Si la ingestión ocurrió hace menos de 2 horas, realice un lavado gástrico cuidadoso (riesgo de perforación); utilice un tubo endotraqueal si está disponible para evitar la aspiración. Vigile que el paciente no tenga dificultad respiratoria debida a una neumonitis por aspiración.</w:t>
      </w:r>
    </w:p>
    <w:p w:rsidR="00DD0A97" w:rsidRPr="002C4DB2" w:rsidRDefault="00DD0A97">
      <w:pPr>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pPr>
        <w:pStyle w:val="Textoindependiente"/>
        <w:spacing w:before="100"/>
        <w:ind w:right="147"/>
        <w:jc w:val="both"/>
        <w:rPr>
          <w:rFonts w:ascii="Verdana" w:hAnsi="Verdana"/>
          <w:sz w:val="20"/>
          <w:szCs w:val="20"/>
        </w:rPr>
      </w:pPr>
      <w:r w:rsidRPr="002C4DB2">
        <w:rPr>
          <w:rFonts w:ascii="Verdana" w:hAnsi="Verdana"/>
          <w:sz w:val="20"/>
          <w:szCs w:val="20"/>
        </w:rPr>
        <w:t>Proporcione resucitación artificial y una quimioterapia adecuada si se deprime la respiración. Después de la exposición, el paciente debe permanecer bajo supervisión médica durante un mínimo de 48 horas ya que puede ocurrir una neumonitis tardía. Es probable que se cause un edema pulmonar y sus efectos pueden ser retrasados. Si se proporciona a tiempo, la terapia con esteroides puede ser efectiva para prevenir o aliviar el edema.</w:t>
      </w:r>
    </w:p>
    <w:p w:rsidR="00DD0A97" w:rsidRPr="002C4DB2" w:rsidRDefault="00DD0A97">
      <w:pPr>
        <w:pStyle w:val="Textoindependiente"/>
        <w:ind w:left="0"/>
        <w:rPr>
          <w:rFonts w:ascii="Verdana" w:hAnsi="Verdana"/>
          <w:sz w:val="20"/>
          <w:szCs w:val="20"/>
        </w:rPr>
      </w:pPr>
    </w:p>
    <w:p w:rsidR="00DD0A97" w:rsidRPr="002C4DB2" w:rsidRDefault="00075793" w:rsidP="00F03784">
      <w:pPr>
        <w:pStyle w:val="Ttulo1"/>
        <w:spacing w:line="240" w:lineRule="auto"/>
        <w:jc w:val="center"/>
        <w:rPr>
          <w:rFonts w:ascii="Verdana" w:hAnsi="Verdana"/>
          <w:sz w:val="20"/>
          <w:szCs w:val="20"/>
        </w:rPr>
      </w:pPr>
      <w:r w:rsidRPr="002C4DB2">
        <w:rPr>
          <w:rFonts w:ascii="Verdana" w:hAnsi="Verdana"/>
          <w:sz w:val="20"/>
          <w:szCs w:val="20"/>
        </w:rPr>
        <w:t>SECCIÓN 5 – MEDIDAS CONTRA INCENDIOS</w:t>
      </w:r>
    </w:p>
    <w:p w:rsidR="00DD0A97" w:rsidRPr="002C4DB2" w:rsidRDefault="00DD0A97">
      <w:pPr>
        <w:pStyle w:val="Textoindependiente"/>
        <w:ind w:left="0"/>
        <w:rPr>
          <w:rFonts w:ascii="Verdana" w:hAnsi="Verdana"/>
          <w:b/>
          <w:sz w:val="20"/>
          <w:szCs w:val="20"/>
        </w:rPr>
      </w:pPr>
    </w:p>
    <w:p w:rsidR="00DD0A97" w:rsidRPr="002C4DB2" w:rsidRDefault="00075793">
      <w:pPr>
        <w:pStyle w:val="Textoindependiente"/>
        <w:ind w:right="3203"/>
        <w:rPr>
          <w:rFonts w:ascii="Verdana" w:hAnsi="Verdana"/>
          <w:sz w:val="20"/>
          <w:szCs w:val="20"/>
        </w:rPr>
      </w:pPr>
      <w:r w:rsidRPr="002C4DB2">
        <w:rPr>
          <w:rFonts w:ascii="Verdana" w:hAnsi="Verdana"/>
          <w:sz w:val="20"/>
          <w:szCs w:val="20"/>
        </w:rPr>
        <w:t>Punto de Inflamación No aplica, no es combustible. Límites de Inflamabilidad (Inferiores) No aplica Límites de Inflamabilidad (Superiores) No aplica Temperatura de auto-ignición No aplica Temperatura de descomposición No disponible</w:t>
      </w:r>
    </w:p>
    <w:p w:rsidR="00DD0A97" w:rsidRPr="002C4DB2" w:rsidRDefault="00075793">
      <w:pPr>
        <w:pStyle w:val="Textoindependiente"/>
        <w:ind w:right="2832"/>
        <w:rPr>
          <w:rFonts w:ascii="Verdana" w:hAnsi="Verdana"/>
          <w:sz w:val="20"/>
          <w:szCs w:val="20"/>
        </w:rPr>
      </w:pPr>
      <w:r w:rsidRPr="002C4DB2">
        <w:rPr>
          <w:rFonts w:ascii="Verdana" w:hAnsi="Verdana"/>
          <w:sz w:val="20"/>
          <w:szCs w:val="20"/>
        </w:rPr>
        <w:t>Productos de descomposición térmica o de combustión peligrosos para la salud</w:t>
      </w:r>
    </w:p>
    <w:p w:rsidR="00DD0A97" w:rsidRPr="002C4DB2" w:rsidRDefault="00075793">
      <w:pPr>
        <w:pStyle w:val="Textoindependiente"/>
        <w:ind w:right="5073"/>
        <w:rPr>
          <w:rFonts w:ascii="Verdana" w:hAnsi="Verdana"/>
          <w:sz w:val="20"/>
          <w:szCs w:val="20"/>
        </w:rPr>
      </w:pPr>
      <w:r w:rsidRPr="002C4DB2">
        <w:rPr>
          <w:rFonts w:ascii="Verdana" w:hAnsi="Verdana"/>
          <w:sz w:val="20"/>
          <w:szCs w:val="20"/>
        </w:rPr>
        <w:t>Cloro, óxido de sodio, oxígeno. Índice de inflamabilidad No aplica Poder explosivo No aplica</w:t>
      </w:r>
    </w:p>
    <w:p w:rsidR="00DD0A97" w:rsidRPr="002C4DB2" w:rsidRDefault="00075793">
      <w:pPr>
        <w:pStyle w:val="Textoindependiente"/>
        <w:spacing w:line="289" w:lineRule="exact"/>
        <w:rPr>
          <w:rFonts w:ascii="Verdana" w:hAnsi="Verdana"/>
          <w:sz w:val="20"/>
          <w:szCs w:val="20"/>
        </w:rPr>
      </w:pPr>
      <w:r w:rsidRPr="002C4DB2">
        <w:rPr>
          <w:rFonts w:ascii="Verdana" w:hAnsi="Verdana"/>
          <w:sz w:val="20"/>
          <w:szCs w:val="20"/>
        </w:rPr>
        <w:t>Sensibilidad al impacto mecánico No aplica</w:t>
      </w:r>
    </w:p>
    <w:p w:rsidR="00F03784" w:rsidRPr="002C4DB2" w:rsidRDefault="00F03784">
      <w:pPr>
        <w:pStyle w:val="Textoindependiente"/>
        <w:ind w:right="149"/>
        <w:jc w:val="both"/>
        <w:rPr>
          <w:rFonts w:ascii="Verdana" w:hAnsi="Verdana"/>
          <w:b/>
          <w:sz w:val="20"/>
          <w:szCs w:val="20"/>
        </w:rPr>
      </w:pPr>
    </w:p>
    <w:p w:rsidR="00DD0A97" w:rsidRPr="002C4DB2" w:rsidRDefault="00075793">
      <w:pPr>
        <w:pStyle w:val="Textoindependiente"/>
        <w:ind w:right="149"/>
        <w:jc w:val="both"/>
        <w:rPr>
          <w:rFonts w:ascii="Verdana" w:hAnsi="Verdana"/>
          <w:sz w:val="20"/>
          <w:szCs w:val="20"/>
        </w:rPr>
      </w:pPr>
      <w:r w:rsidRPr="002C4DB2">
        <w:rPr>
          <w:rFonts w:ascii="Verdana" w:hAnsi="Verdana"/>
          <w:b/>
          <w:sz w:val="20"/>
          <w:szCs w:val="20"/>
        </w:rPr>
        <w:t xml:space="preserve">Riesgo de fuego y explosión: </w:t>
      </w:r>
      <w:r w:rsidRPr="002C4DB2">
        <w:rPr>
          <w:rFonts w:ascii="Verdana" w:hAnsi="Verdana"/>
          <w:sz w:val="20"/>
          <w:szCs w:val="20"/>
        </w:rPr>
        <w:t>El hipoclorito de sodio es un fuerte oxidante químico, pero las soluciones no apoyan la combustión. La reacción con compuestos de nitrógeno, compuestos clororgánicos o compuestos fácilmente oxidables (agentes reductores) puede ser explosiva. Este material no es inflamable pero se descompone con el calor y la luz, causando una acumulación de presión que puede causar una explosión.</w:t>
      </w:r>
    </w:p>
    <w:p w:rsidR="00DD0A97" w:rsidRPr="002C4DB2" w:rsidRDefault="00DD0A97">
      <w:pPr>
        <w:pStyle w:val="Textoindependiente"/>
        <w:ind w:left="0"/>
        <w:rPr>
          <w:rFonts w:ascii="Verdana" w:hAnsi="Verdana"/>
          <w:sz w:val="20"/>
          <w:szCs w:val="20"/>
        </w:rPr>
      </w:pPr>
    </w:p>
    <w:p w:rsidR="00DD0A97" w:rsidRPr="002C4DB2" w:rsidRDefault="00075793">
      <w:pPr>
        <w:pStyle w:val="Textoindependiente"/>
        <w:ind w:right="151"/>
        <w:jc w:val="both"/>
        <w:rPr>
          <w:rFonts w:ascii="Verdana" w:hAnsi="Verdana"/>
          <w:sz w:val="20"/>
          <w:szCs w:val="20"/>
        </w:rPr>
      </w:pPr>
      <w:r w:rsidRPr="002C4DB2">
        <w:rPr>
          <w:rFonts w:ascii="Verdana" w:hAnsi="Verdana"/>
          <w:sz w:val="20"/>
          <w:szCs w:val="20"/>
        </w:rPr>
        <w:t>Cuando se calienta, puede liberar gas de cloro. Una fuerte reacción con materiales oxidantes u orgánicos puede dar como resultado un incendio. Vea la Sección 10.</w:t>
      </w:r>
    </w:p>
    <w:p w:rsidR="00DD0A97" w:rsidRPr="002C4DB2" w:rsidRDefault="00DD0A97">
      <w:pPr>
        <w:pStyle w:val="Textoindependiente"/>
        <w:spacing w:before="1"/>
        <w:ind w:left="0"/>
        <w:rPr>
          <w:rFonts w:ascii="Verdana" w:hAnsi="Verdana"/>
          <w:sz w:val="20"/>
          <w:szCs w:val="20"/>
        </w:rPr>
      </w:pPr>
    </w:p>
    <w:p w:rsidR="00DD0A97" w:rsidRPr="002C4DB2" w:rsidRDefault="00075793">
      <w:pPr>
        <w:pStyle w:val="Textoindependiente"/>
        <w:ind w:right="148"/>
        <w:jc w:val="both"/>
        <w:rPr>
          <w:rFonts w:ascii="Verdana" w:hAnsi="Verdana"/>
          <w:sz w:val="20"/>
          <w:szCs w:val="20"/>
        </w:rPr>
      </w:pPr>
      <w:r w:rsidRPr="002C4DB2">
        <w:rPr>
          <w:rFonts w:ascii="Verdana" w:hAnsi="Verdana"/>
          <w:b/>
          <w:sz w:val="20"/>
          <w:szCs w:val="20"/>
        </w:rPr>
        <w:t xml:space="preserve">Medio extintor: </w:t>
      </w:r>
      <w:r w:rsidRPr="002C4DB2">
        <w:rPr>
          <w:rFonts w:ascii="Verdana" w:hAnsi="Verdana"/>
          <w:sz w:val="20"/>
          <w:szCs w:val="20"/>
        </w:rPr>
        <w:t>Para incendios grandes utilice una espuma de expansión media resistente al alcohol tipo AFFF para todo uso, de acuerdo con las técnicas recomendadas por el fabricante de la espuma. Debe consultarse al proveedor de la espuma para obtener recomendaciones respecto a los tipos de espuma y la velocidad de dispersión en aplicaciones específicas. Utilice bióxido de carbono o medios químicos secos para incendios pequeños. Si solamente hay disponibilidad de agua, utilícela en forma de</w:t>
      </w:r>
      <w:r w:rsidRPr="002C4DB2">
        <w:rPr>
          <w:rFonts w:ascii="Verdana" w:hAnsi="Verdana"/>
          <w:spacing w:val="-2"/>
          <w:sz w:val="20"/>
          <w:szCs w:val="20"/>
        </w:rPr>
        <w:t xml:space="preserve"> </w:t>
      </w:r>
      <w:r w:rsidRPr="002C4DB2">
        <w:rPr>
          <w:rFonts w:ascii="Verdana" w:hAnsi="Verdana"/>
          <w:sz w:val="20"/>
          <w:szCs w:val="20"/>
        </w:rPr>
        <w:t>niebla.</w:t>
      </w:r>
    </w:p>
    <w:p w:rsidR="00F03784" w:rsidRPr="002C4DB2" w:rsidRDefault="00F03784">
      <w:pPr>
        <w:pStyle w:val="Textoindependiente"/>
        <w:ind w:right="146"/>
        <w:jc w:val="both"/>
        <w:rPr>
          <w:rFonts w:ascii="Verdana" w:hAnsi="Verdana"/>
          <w:b/>
          <w:sz w:val="20"/>
          <w:szCs w:val="20"/>
        </w:rPr>
      </w:pPr>
    </w:p>
    <w:p w:rsidR="00DD0A97" w:rsidRPr="002C4DB2" w:rsidRDefault="00075793">
      <w:pPr>
        <w:pStyle w:val="Textoindependiente"/>
        <w:ind w:right="146"/>
        <w:jc w:val="both"/>
        <w:rPr>
          <w:rFonts w:ascii="Verdana" w:hAnsi="Verdana"/>
          <w:sz w:val="20"/>
          <w:szCs w:val="20"/>
        </w:rPr>
      </w:pPr>
      <w:r w:rsidRPr="002C4DB2">
        <w:rPr>
          <w:rFonts w:ascii="Verdana" w:hAnsi="Verdana"/>
          <w:b/>
          <w:sz w:val="20"/>
          <w:szCs w:val="20"/>
        </w:rPr>
        <w:t xml:space="preserve">Procedimientos especiales para bomberos: </w:t>
      </w:r>
      <w:r w:rsidRPr="002C4DB2">
        <w:rPr>
          <w:rFonts w:ascii="Verdana" w:hAnsi="Verdana"/>
          <w:sz w:val="20"/>
          <w:szCs w:val="20"/>
        </w:rPr>
        <w:t>Puede usarse agua para enfriar los recipientes de solución de hipoclorito expuestos al calor de un incendio. Esto debe hacerse desde una distancia segura debido a que los recipientes se pueden romper. Los bomberos deben usar equipo de protección y algún aparato autónomo de respiración con una mascarilla de cara completa de presión positiva. Retire los recipientes del área del incendio si lo puede hacer sin riesgo. Haga un dique para el agua que controle el incendio para</w:t>
      </w:r>
      <w:r w:rsidRPr="002C4DB2">
        <w:rPr>
          <w:rFonts w:ascii="Verdana" w:hAnsi="Verdana"/>
          <w:spacing w:val="17"/>
          <w:sz w:val="20"/>
          <w:szCs w:val="20"/>
        </w:rPr>
        <w:t xml:space="preserve"> </w:t>
      </w:r>
      <w:r w:rsidRPr="002C4DB2">
        <w:rPr>
          <w:rFonts w:ascii="Verdana" w:hAnsi="Verdana"/>
          <w:sz w:val="20"/>
          <w:szCs w:val="20"/>
        </w:rPr>
        <w:t>su</w:t>
      </w:r>
    </w:p>
    <w:p w:rsidR="00DD0A97" w:rsidRPr="002C4DB2" w:rsidRDefault="00DD0A97">
      <w:pPr>
        <w:jc w:val="both"/>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pPr>
        <w:pStyle w:val="Textoindependiente"/>
        <w:spacing w:before="100"/>
        <w:ind w:right="150"/>
        <w:jc w:val="both"/>
        <w:rPr>
          <w:rFonts w:ascii="Verdana" w:hAnsi="Verdana"/>
          <w:sz w:val="20"/>
          <w:szCs w:val="20"/>
        </w:rPr>
      </w:pPr>
      <w:r w:rsidRPr="002C4DB2">
        <w:rPr>
          <w:rFonts w:ascii="Verdana" w:hAnsi="Verdana"/>
          <w:sz w:val="20"/>
          <w:szCs w:val="20"/>
        </w:rPr>
        <w:t>disposición posterior en el caso que este en contacto con producto; no disperse el material. Incendio durante cargas de tanques o pipas:</w:t>
      </w:r>
    </w:p>
    <w:p w:rsidR="00DD0A97" w:rsidRPr="002C4DB2" w:rsidRDefault="00075793">
      <w:pPr>
        <w:pStyle w:val="Textoindependiente"/>
        <w:ind w:right="148"/>
        <w:jc w:val="both"/>
        <w:rPr>
          <w:rFonts w:ascii="Verdana" w:hAnsi="Verdana"/>
          <w:sz w:val="20"/>
          <w:szCs w:val="20"/>
        </w:rPr>
      </w:pPr>
      <w:r w:rsidRPr="002C4DB2">
        <w:rPr>
          <w:rFonts w:ascii="Verdana" w:hAnsi="Verdana"/>
          <w:sz w:val="20"/>
          <w:szCs w:val="20"/>
        </w:rPr>
        <w:t>Controle el incendio desde una distancia máxima o use sujetadores automáticos para las mangueras o boquillas con monitor. No introduzca agua a los recipientes. Enfríe los recipientes con cantidades de agua que inunden hasta cuando el incendio haya sido apagado.</w:t>
      </w:r>
    </w:p>
    <w:p w:rsidR="00DD0A97" w:rsidRPr="002C4DB2" w:rsidRDefault="00075793">
      <w:pPr>
        <w:pStyle w:val="Textoindependiente"/>
        <w:ind w:right="149"/>
        <w:jc w:val="both"/>
        <w:rPr>
          <w:rFonts w:ascii="Verdana" w:hAnsi="Verdana"/>
          <w:sz w:val="20"/>
          <w:szCs w:val="20"/>
        </w:rPr>
      </w:pPr>
      <w:r w:rsidRPr="002C4DB2">
        <w:rPr>
          <w:rFonts w:ascii="Verdana" w:hAnsi="Verdana"/>
          <w:b/>
          <w:sz w:val="20"/>
          <w:szCs w:val="20"/>
        </w:rPr>
        <w:t xml:space="preserve">Equipo protector para combatir incendios: </w:t>
      </w:r>
      <w:r w:rsidRPr="002C4DB2">
        <w:rPr>
          <w:rFonts w:ascii="Verdana" w:hAnsi="Verdana"/>
          <w:sz w:val="20"/>
          <w:szCs w:val="20"/>
        </w:rPr>
        <w:t>Debe usarse ropa protectora resistente completa, incluyendo un aparato de respiración autónomo, en un incendio donde éste material esté involucrado. El gas y los vapores tóxicos se producen por la descomposición.</w:t>
      </w:r>
    </w:p>
    <w:p w:rsidR="00DD0A97" w:rsidRPr="002C4DB2" w:rsidRDefault="00075793">
      <w:pPr>
        <w:pStyle w:val="Textoindependiente"/>
        <w:ind w:right="152"/>
        <w:jc w:val="both"/>
        <w:rPr>
          <w:rFonts w:ascii="Verdana" w:hAnsi="Verdana"/>
          <w:sz w:val="20"/>
          <w:szCs w:val="20"/>
        </w:rPr>
      </w:pPr>
      <w:r w:rsidRPr="002C4DB2">
        <w:rPr>
          <w:rFonts w:ascii="Verdana" w:hAnsi="Verdana"/>
          <w:b/>
          <w:sz w:val="20"/>
          <w:szCs w:val="20"/>
        </w:rPr>
        <w:t xml:space="preserve">Evacuación: </w:t>
      </w:r>
      <w:r w:rsidRPr="002C4DB2">
        <w:rPr>
          <w:rFonts w:ascii="Verdana" w:hAnsi="Verdana"/>
          <w:sz w:val="20"/>
          <w:szCs w:val="20"/>
        </w:rPr>
        <w:t>Si un camión carrotanque o un tanque participa en un incendio, AÍSLELO y considere la evacuación en un radio de 800 m.</w:t>
      </w:r>
    </w:p>
    <w:p w:rsidR="00DD0A97" w:rsidRPr="002C4DB2" w:rsidRDefault="00DD0A97">
      <w:pPr>
        <w:pStyle w:val="Textoindependiente"/>
        <w:spacing w:before="12"/>
        <w:ind w:left="0"/>
        <w:rPr>
          <w:rFonts w:ascii="Verdana" w:hAnsi="Verdana"/>
          <w:sz w:val="20"/>
          <w:szCs w:val="20"/>
        </w:rPr>
      </w:pPr>
    </w:p>
    <w:p w:rsidR="00F03784" w:rsidRPr="002C4DB2" w:rsidRDefault="00F03784">
      <w:pPr>
        <w:pStyle w:val="Textoindependiente"/>
        <w:ind w:left="0"/>
        <w:rPr>
          <w:rFonts w:ascii="Verdana" w:hAnsi="Verdana"/>
          <w:sz w:val="20"/>
          <w:szCs w:val="20"/>
        </w:rPr>
      </w:pPr>
    </w:p>
    <w:p w:rsidR="00DD0A97" w:rsidRPr="002C4DB2" w:rsidRDefault="00075793" w:rsidP="00F03784">
      <w:pPr>
        <w:pStyle w:val="Ttulo1"/>
        <w:spacing w:before="182"/>
        <w:jc w:val="center"/>
        <w:rPr>
          <w:rFonts w:ascii="Verdana" w:hAnsi="Verdana"/>
          <w:sz w:val="20"/>
          <w:szCs w:val="20"/>
        </w:rPr>
      </w:pPr>
      <w:r w:rsidRPr="002C4DB2">
        <w:rPr>
          <w:rFonts w:ascii="Verdana" w:hAnsi="Verdana"/>
          <w:sz w:val="20"/>
          <w:szCs w:val="20"/>
        </w:rPr>
        <w:t>SECCIÓN 6 – PROCEDIMIENTOS EN CASO DE ESCAPE ACCIDENTAL</w:t>
      </w:r>
    </w:p>
    <w:p w:rsidR="00F03784" w:rsidRPr="002C4DB2" w:rsidRDefault="00F03784">
      <w:pPr>
        <w:spacing w:line="289" w:lineRule="exact"/>
        <w:ind w:left="221"/>
        <w:jc w:val="both"/>
        <w:rPr>
          <w:rFonts w:ascii="Verdana" w:hAnsi="Verdana"/>
          <w:b/>
          <w:sz w:val="20"/>
          <w:szCs w:val="20"/>
        </w:rPr>
      </w:pPr>
    </w:p>
    <w:p w:rsidR="00DD0A97" w:rsidRPr="002C4DB2" w:rsidRDefault="00075793">
      <w:pPr>
        <w:spacing w:line="289" w:lineRule="exact"/>
        <w:ind w:left="221"/>
        <w:jc w:val="both"/>
        <w:rPr>
          <w:rFonts w:ascii="Verdana" w:hAnsi="Verdana"/>
          <w:b/>
          <w:sz w:val="20"/>
          <w:szCs w:val="20"/>
        </w:rPr>
      </w:pPr>
      <w:r w:rsidRPr="002C4DB2">
        <w:rPr>
          <w:rFonts w:ascii="Verdana" w:hAnsi="Verdana"/>
          <w:b/>
          <w:sz w:val="20"/>
          <w:szCs w:val="20"/>
        </w:rPr>
        <w:t>Derrames, fugas o descargas:</w:t>
      </w:r>
    </w:p>
    <w:p w:rsidR="00DD0A97" w:rsidRPr="002C4DB2" w:rsidRDefault="00DD0A97">
      <w:pPr>
        <w:pStyle w:val="Textoindependiente"/>
        <w:ind w:left="0"/>
        <w:rPr>
          <w:rFonts w:ascii="Verdana" w:hAnsi="Verdana"/>
          <w:b/>
          <w:sz w:val="20"/>
          <w:szCs w:val="20"/>
        </w:rPr>
      </w:pPr>
    </w:p>
    <w:p w:rsidR="00DD0A97" w:rsidRPr="002C4DB2" w:rsidRDefault="00075793">
      <w:pPr>
        <w:pStyle w:val="Prrafodelista"/>
        <w:numPr>
          <w:ilvl w:val="0"/>
          <w:numId w:val="3"/>
        </w:numPr>
        <w:tabs>
          <w:tab w:val="left" w:pos="407"/>
        </w:tabs>
        <w:spacing w:line="240" w:lineRule="auto"/>
        <w:ind w:right="144" w:firstLine="0"/>
        <w:jc w:val="both"/>
        <w:rPr>
          <w:rFonts w:ascii="Verdana" w:hAnsi="Verdana"/>
          <w:sz w:val="20"/>
          <w:szCs w:val="20"/>
        </w:rPr>
      </w:pPr>
      <w:r w:rsidRPr="002C4DB2">
        <w:rPr>
          <w:rFonts w:ascii="Verdana" w:hAnsi="Verdana"/>
          <w:sz w:val="20"/>
          <w:szCs w:val="20"/>
        </w:rPr>
        <w:t>Restrinja el acceso al área hasta que se termine la limpieza. Asegúrese de que la limpieza sea efectuada por personal capacitado. Ventile el</w:t>
      </w:r>
      <w:r w:rsidRPr="002C4DB2">
        <w:rPr>
          <w:rFonts w:ascii="Verdana" w:hAnsi="Verdana"/>
          <w:spacing w:val="-9"/>
          <w:sz w:val="20"/>
          <w:szCs w:val="20"/>
        </w:rPr>
        <w:t xml:space="preserve"> </w:t>
      </w:r>
      <w:r w:rsidRPr="002C4DB2">
        <w:rPr>
          <w:rFonts w:ascii="Verdana" w:hAnsi="Verdana"/>
          <w:sz w:val="20"/>
          <w:szCs w:val="20"/>
        </w:rPr>
        <w:t>área.</w:t>
      </w:r>
    </w:p>
    <w:p w:rsidR="00DD0A97" w:rsidRPr="002C4DB2" w:rsidRDefault="00075793">
      <w:pPr>
        <w:pStyle w:val="Prrafodelista"/>
        <w:numPr>
          <w:ilvl w:val="0"/>
          <w:numId w:val="3"/>
        </w:numPr>
        <w:tabs>
          <w:tab w:val="left" w:pos="424"/>
        </w:tabs>
        <w:spacing w:before="1" w:line="240" w:lineRule="auto"/>
        <w:ind w:right="148" w:firstLine="0"/>
        <w:jc w:val="both"/>
        <w:rPr>
          <w:rFonts w:ascii="Verdana" w:hAnsi="Verdana"/>
          <w:sz w:val="20"/>
          <w:szCs w:val="20"/>
        </w:rPr>
      </w:pPr>
      <w:r w:rsidRPr="002C4DB2">
        <w:rPr>
          <w:rFonts w:ascii="Verdana" w:hAnsi="Verdana"/>
          <w:sz w:val="20"/>
          <w:szCs w:val="20"/>
        </w:rPr>
        <w:t>Elimine todas las fuentes de ignición (fumar, quemadores, chispas o llamas). Todo el equipo debe estar conectado a tierra y no provocar</w:t>
      </w:r>
      <w:r w:rsidRPr="002C4DB2">
        <w:rPr>
          <w:rFonts w:ascii="Verdana" w:hAnsi="Verdana"/>
          <w:spacing w:val="-15"/>
          <w:sz w:val="20"/>
          <w:szCs w:val="20"/>
        </w:rPr>
        <w:t xml:space="preserve"> </w:t>
      </w:r>
      <w:r w:rsidRPr="002C4DB2">
        <w:rPr>
          <w:rFonts w:ascii="Verdana" w:hAnsi="Verdana"/>
          <w:sz w:val="20"/>
          <w:szCs w:val="20"/>
        </w:rPr>
        <w:t>chispas.,</w:t>
      </w:r>
    </w:p>
    <w:p w:rsidR="00DD0A97" w:rsidRPr="002C4DB2" w:rsidRDefault="00075793">
      <w:pPr>
        <w:pStyle w:val="Prrafodelista"/>
        <w:numPr>
          <w:ilvl w:val="0"/>
          <w:numId w:val="3"/>
        </w:numPr>
        <w:tabs>
          <w:tab w:val="left" w:pos="426"/>
        </w:tabs>
        <w:spacing w:line="240" w:lineRule="auto"/>
        <w:ind w:right="152" w:firstLine="0"/>
        <w:jc w:val="both"/>
        <w:rPr>
          <w:rFonts w:ascii="Verdana" w:hAnsi="Verdana"/>
          <w:sz w:val="20"/>
          <w:szCs w:val="20"/>
        </w:rPr>
      </w:pPr>
      <w:r w:rsidRPr="002C4DB2">
        <w:rPr>
          <w:rFonts w:ascii="Verdana" w:hAnsi="Verdana"/>
          <w:sz w:val="20"/>
          <w:szCs w:val="20"/>
        </w:rPr>
        <w:t>Utilice equipo de protección personal adecuado (vea la Sección 8). No toque el material</w:t>
      </w:r>
      <w:r w:rsidRPr="002C4DB2">
        <w:rPr>
          <w:rFonts w:ascii="Verdana" w:hAnsi="Verdana"/>
          <w:spacing w:val="-1"/>
          <w:sz w:val="20"/>
          <w:szCs w:val="20"/>
        </w:rPr>
        <w:t xml:space="preserve"> </w:t>
      </w:r>
      <w:r w:rsidRPr="002C4DB2">
        <w:rPr>
          <w:rFonts w:ascii="Verdana" w:hAnsi="Verdana"/>
          <w:sz w:val="20"/>
          <w:szCs w:val="20"/>
        </w:rPr>
        <w:t>derramado.</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Evite la entrada al drenaje o las vías de agua de ser</w:t>
      </w:r>
      <w:r w:rsidRPr="002C4DB2">
        <w:rPr>
          <w:rFonts w:ascii="Verdana" w:hAnsi="Verdana"/>
          <w:spacing w:val="-6"/>
          <w:sz w:val="20"/>
          <w:szCs w:val="20"/>
        </w:rPr>
        <w:t xml:space="preserve"> </w:t>
      </w:r>
      <w:r w:rsidRPr="002C4DB2">
        <w:rPr>
          <w:rFonts w:ascii="Verdana" w:hAnsi="Verdana"/>
          <w:sz w:val="20"/>
          <w:szCs w:val="20"/>
        </w:rPr>
        <w:t>posible.</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Detenga la fuga si no implica riesgo para el</w:t>
      </w:r>
      <w:r w:rsidRPr="002C4DB2">
        <w:rPr>
          <w:rFonts w:ascii="Verdana" w:hAnsi="Verdana"/>
          <w:spacing w:val="-6"/>
          <w:sz w:val="20"/>
          <w:szCs w:val="20"/>
        </w:rPr>
        <w:t xml:space="preserve"> </w:t>
      </w:r>
      <w:r w:rsidRPr="002C4DB2">
        <w:rPr>
          <w:rFonts w:ascii="Verdana" w:hAnsi="Verdana"/>
          <w:sz w:val="20"/>
          <w:szCs w:val="20"/>
        </w:rPr>
        <w:t>personal.</w:t>
      </w:r>
    </w:p>
    <w:p w:rsidR="00DD0A97" w:rsidRPr="002C4DB2" w:rsidRDefault="00075793">
      <w:pPr>
        <w:pStyle w:val="Prrafodelista"/>
        <w:numPr>
          <w:ilvl w:val="0"/>
          <w:numId w:val="3"/>
        </w:numPr>
        <w:tabs>
          <w:tab w:val="left" w:pos="478"/>
        </w:tabs>
        <w:spacing w:line="240" w:lineRule="auto"/>
        <w:ind w:right="149" w:firstLine="0"/>
        <w:jc w:val="both"/>
        <w:rPr>
          <w:rFonts w:ascii="Verdana" w:hAnsi="Verdana"/>
          <w:sz w:val="20"/>
          <w:szCs w:val="20"/>
        </w:rPr>
      </w:pPr>
      <w:r w:rsidRPr="002C4DB2">
        <w:rPr>
          <w:rFonts w:ascii="Verdana" w:hAnsi="Verdana"/>
          <w:sz w:val="20"/>
          <w:szCs w:val="20"/>
        </w:rPr>
        <w:t>Derrames pequeños: Cúbralo con tierra SECA, arena u otro material no combustible. Utilice herramientas limpias que no generen chispas para recolectar el material y colocarlo en recipientes de plástico con cubiertas no muy apretadas para su disposición posterior. Enjuague el área con</w:t>
      </w:r>
      <w:r w:rsidRPr="002C4DB2">
        <w:rPr>
          <w:rFonts w:ascii="Verdana" w:hAnsi="Verdana"/>
          <w:spacing w:val="-10"/>
          <w:sz w:val="20"/>
          <w:szCs w:val="20"/>
        </w:rPr>
        <w:t xml:space="preserve"> </w:t>
      </w:r>
      <w:r w:rsidRPr="002C4DB2">
        <w:rPr>
          <w:rFonts w:ascii="Verdana" w:hAnsi="Verdana"/>
          <w:sz w:val="20"/>
          <w:szCs w:val="20"/>
        </w:rPr>
        <w:t>agua.</w:t>
      </w:r>
    </w:p>
    <w:p w:rsidR="00DD0A97" w:rsidRPr="002C4DB2" w:rsidRDefault="00075793">
      <w:pPr>
        <w:pStyle w:val="Prrafodelista"/>
        <w:numPr>
          <w:ilvl w:val="0"/>
          <w:numId w:val="3"/>
        </w:numPr>
        <w:tabs>
          <w:tab w:val="left" w:pos="431"/>
        </w:tabs>
        <w:spacing w:before="1" w:line="240" w:lineRule="auto"/>
        <w:ind w:right="148" w:firstLine="0"/>
        <w:jc w:val="both"/>
        <w:rPr>
          <w:rFonts w:ascii="Verdana" w:hAnsi="Verdana"/>
          <w:sz w:val="20"/>
          <w:szCs w:val="20"/>
        </w:rPr>
      </w:pPr>
      <w:r w:rsidRPr="002C4DB2">
        <w:rPr>
          <w:rFonts w:ascii="Verdana" w:hAnsi="Verdana"/>
          <w:sz w:val="20"/>
          <w:szCs w:val="20"/>
        </w:rPr>
        <w:t>Derrames grandes: Evite la entrada a drenajes y áreas confinadas. Haga un dique con material inerte (arena, tierra, etc.). Póngase en contacto con los servicios de bomberos y emergencias y con el proveedor para pedirle consejo. Recolecte el producto para recuperarlo o disponer de él bombeándolo en recipientes de plástico. Considere la neutralización y disposición en el sitio. Asegúrese de que todas las herramientas y el equipo queden adecuadamente descontaminados después de la</w:t>
      </w:r>
      <w:r w:rsidRPr="002C4DB2">
        <w:rPr>
          <w:rFonts w:ascii="Verdana" w:hAnsi="Verdana"/>
          <w:spacing w:val="-1"/>
          <w:sz w:val="20"/>
          <w:szCs w:val="20"/>
        </w:rPr>
        <w:t xml:space="preserve"> </w:t>
      </w:r>
      <w:r w:rsidRPr="002C4DB2">
        <w:rPr>
          <w:rFonts w:ascii="Verdana" w:hAnsi="Verdana"/>
          <w:sz w:val="20"/>
          <w:szCs w:val="20"/>
        </w:rPr>
        <w:t>limpieza.</w:t>
      </w:r>
    </w:p>
    <w:p w:rsidR="00DD0A97" w:rsidRPr="002C4DB2" w:rsidRDefault="00075793">
      <w:pPr>
        <w:pStyle w:val="Textoindependiente"/>
        <w:ind w:right="150"/>
        <w:jc w:val="both"/>
        <w:rPr>
          <w:rFonts w:ascii="Verdana" w:hAnsi="Verdana"/>
          <w:sz w:val="20"/>
          <w:szCs w:val="20"/>
        </w:rPr>
      </w:pPr>
      <w:r w:rsidRPr="002C4DB2">
        <w:rPr>
          <w:rFonts w:ascii="Verdana" w:hAnsi="Verdana"/>
          <w:sz w:val="20"/>
          <w:szCs w:val="20"/>
        </w:rPr>
        <w:t>Recolecte el suelo y agua contaminados, así como el absorbente para</w:t>
      </w:r>
      <w:r w:rsidRPr="002C4DB2">
        <w:rPr>
          <w:rFonts w:ascii="Verdana" w:hAnsi="Verdana"/>
          <w:spacing w:val="51"/>
          <w:sz w:val="20"/>
          <w:szCs w:val="20"/>
        </w:rPr>
        <w:t xml:space="preserve"> </w:t>
      </w:r>
      <w:r w:rsidRPr="002C4DB2">
        <w:rPr>
          <w:rFonts w:ascii="Verdana" w:hAnsi="Verdana"/>
          <w:sz w:val="20"/>
          <w:szCs w:val="20"/>
        </w:rPr>
        <w:t>su adecuada disposición. Cumpla con los reglamentos gubernamentales, departamentales y locales sobre el reporte de descargas.</w:t>
      </w:r>
    </w:p>
    <w:p w:rsidR="00DD0A97" w:rsidRPr="002C4DB2" w:rsidRDefault="00075793">
      <w:pPr>
        <w:ind w:left="221" w:right="149"/>
        <w:jc w:val="both"/>
        <w:rPr>
          <w:rFonts w:ascii="Verdana" w:hAnsi="Verdana"/>
          <w:sz w:val="20"/>
          <w:szCs w:val="20"/>
        </w:rPr>
      </w:pPr>
      <w:r w:rsidRPr="002C4DB2">
        <w:rPr>
          <w:rFonts w:ascii="Verdana" w:hAnsi="Verdana"/>
          <w:b/>
          <w:sz w:val="20"/>
          <w:szCs w:val="20"/>
        </w:rPr>
        <w:t xml:space="preserve">Neutralización de derrames pequeños: </w:t>
      </w:r>
      <w:r w:rsidRPr="002C4DB2">
        <w:rPr>
          <w:rFonts w:ascii="Verdana" w:hAnsi="Verdana"/>
          <w:sz w:val="20"/>
          <w:szCs w:val="20"/>
        </w:rPr>
        <w:t>El hipoclorito puede descomponerse cubriéndolo con un agente reductor como el sulfito de sodio o el tiosulfato de</w:t>
      </w:r>
      <w:r w:rsidRPr="002C4DB2">
        <w:rPr>
          <w:rFonts w:ascii="Verdana" w:hAnsi="Verdana"/>
          <w:spacing w:val="-1"/>
          <w:sz w:val="20"/>
          <w:szCs w:val="20"/>
        </w:rPr>
        <w:t xml:space="preserve"> </w:t>
      </w:r>
      <w:r w:rsidRPr="002C4DB2">
        <w:rPr>
          <w:rFonts w:ascii="Verdana" w:hAnsi="Verdana"/>
          <w:sz w:val="20"/>
          <w:szCs w:val="20"/>
        </w:rPr>
        <w:t>sodio.</w:t>
      </w:r>
    </w:p>
    <w:p w:rsidR="00DD0A97" w:rsidRPr="002C4DB2" w:rsidRDefault="00DD0A97">
      <w:pPr>
        <w:jc w:val="both"/>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pPr>
        <w:spacing w:before="100"/>
        <w:ind w:left="221" w:right="148"/>
        <w:jc w:val="both"/>
        <w:rPr>
          <w:rFonts w:ascii="Verdana" w:hAnsi="Verdana"/>
          <w:sz w:val="20"/>
          <w:szCs w:val="20"/>
        </w:rPr>
      </w:pPr>
      <w:r w:rsidRPr="002C4DB2">
        <w:rPr>
          <w:rFonts w:ascii="Verdana" w:hAnsi="Verdana"/>
          <w:b/>
          <w:sz w:val="20"/>
          <w:szCs w:val="20"/>
        </w:rPr>
        <w:t xml:space="preserve">Químicos de neutralización: </w:t>
      </w:r>
      <w:r w:rsidRPr="002C4DB2">
        <w:rPr>
          <w:rFonts w:ascii="Verdana" w:hAnsi="Verdana"/>
          <w:sz w:val="20"/>
          <w:szCs w:val="20"/>
        </w:rPr>
        <w:t>Utilice sulfito de sodio o peróxido de hidrógeno diluido para reducir el material.</w:t>
      </w:r>
    </w:p>
    <w:p w:rsidR="00DD0A97" w:rsidRPr="002C4DB2" w:rsidRDefault="00075793">
      <w:pPr>
        <w:pStyle w:val="Textoindependiente"/>
        <w:ind w:right="148"/>
        <w:jc w:val="both"/>
        <w:rPr>
          <w:rFonts w:ascii="Verdana" w:hAnsi="Verdana"/>
          <w:sz w:val="20"/>
          <w:szCs w:val="20"/>
        </w:rPr>
      </w:pPr>
      <w:r w:rsidRPr="002C4DB2">
        <w:rPr>
          <w:rFonts w:ascii="Verdana" w:hAnsi="Verdana"/>
          <w:sz w:val="20"/>
          <w:szCs w:val="20"/>
        </w:rPr>
        <w:t>Posteriormente puede verificar la neutralización si al aplicar pequeñas cantidades de una solución débil de ácido clorhídrico o sulfúrico no hay liberación de cloro.</w:t>
      </w:r>
    </w:p>
    <w:p w:rsidR="00DD0A97" w:rsidRPr="002C4DB2" w:rsidRDefault="00075793">
      <w:pPr>
        <w:pStyle w:val="Textoindependiente"/>
        <w:ind w:right="148"/>
        <w:jc w:val="both"/>
        <w:rPr>
          <w:rFonts w:ascii="Verdana" w:hAnsi="Verdana"/>
          <w:sz w:val="20"/>
          <w:szCs w:val="20"/>
        </w:rPr>
      </w:pPr>
      <w:r w:rsidRPr="002C4DB2">
        <w:rPr>
          <w:rFonts w:ascii="Verdana" w:hAnsi="Verdana"/>
          <w:b/>
          <w:sz w:val="20"/>
          <w:szCs w:val="20"/>
        </w:rPr>
        <w:t xml:space="preserve">Eliminación de residuos: </w:t>
      </w:r>
      <w:r w:rsidRPr="002C4DB2">
        <w:rPr>
          <w:rFonts w:ascii="Verdana" w:hAnsi="Verdana"/>
          <w:sz w:val="20"/>
          <w:szCs w:val="20"/>
        </w:rPr>
        <w:t>: Disponga del material de desecho en una instalación aprobada para el tratamiento y disposición de desechos, de acuerdo con los reglamentos aplicables. No disponga del desecho en la basura normal ni en los sistemas de drenaje.</w:t>
      </w:r>
    </w:p>
    <w:p w:rsidR="00DD0A97" w:rsidRPr="002C4DB2" w:rsidRDefault="00075793">
      <w:pPr>
        <w:pStyle w:val="Textoindependiente"/>
        <w:ind w:right="151"/>
        <w:jc w:val="both"/>
        <w:rPr>
          <w:rFonts w:ascii="Verdana" w:hAnsi="Verdana"/>
          <w:sz w:val="20"/>
          <w:szCs w:val="20"/>
        </w:rPr>
      </w:pPr>
      <w:r w:rsidRPr="002C4DB2">
        <w:rPr>
          <w:rFonts w:ascii="Verdana" w:hAnsi="Verdana"/>
          <w:sz w:val="20"/>
          <w:szCs w:val="20"/>
        </w:rPr>
        <w:t>Nota: - El material utilizado para la limpieza puede considerarse como desecho peligroso de acuerdo con RCRA.</w:t>
      </w:r>
    </w:p>
    <w:p w:rsidR="00DD0A97" w:rsidRPr="002C4DB2" w:rsidRDefault="00075793">
      <w:pPr>
        <w:pStyle w:val="Textoindependiente"/>
        <w:ind w:right="150"/>
        <w:jc w:val="both"/>
        <w:rPr>
          <w:rFonts w:ascii="Verdana" w:hAnsi="Verdana"/>
          <w:sz w:val="20"/>
          <w:szCs w:val="20"/>
        </w:rPr>
      </w:pPr>
      <w:r w:rsidRPr="002C4DB2">
        <w:rPr>
          <w:rFonts w:ascii="Verdana" w:hAnsi="Verdana"/>
          <w:sz w:val="20"/>
          <w:szCs w:val="20"/>
        </w:rPr>
        <w:t>- Los derrames están sujetos a los requisitos de reporte de CERCLA: RQ = 100 lb. (45 Kg).</w:t>
      </w:r>
    </w:p>
    <w:p w:rsidR="00DD0A97" w:rsidRPr="002C4DB2" w:rsidRDefault="00DD0A97" w:rsidP="00F03784">
      <w:pPr>
        <w:pStyle w:val="Textoindependiente"/>
        <w:ind w:left="0"/>
        <w:jc w:val="center"/>
        <w:rPr>
          <w:rFonts w:ascii="Verdana" w:hAnsi="Verdana"/>
          <w:sz w:val="20"/>
          <w:szCs w:val="20"/>
        </w:rPr>
      </w:pPr>
    </w:p>
    <w:p w:rsidR="00DD0A97" w:rsidRPr="002C4DB2" w:rsidRDefault="00075793" w:rsidP="00F03784">
      <w:pPr>
        <w:pStyle w:val="Ttulo1"/>
        <w:jc w:val="center"/>
        <w:rPr>
          <w:rFonts w:ascii="Verdana" w:hAnsi="Verdana"/>
          <w:sz w:val="20"/>
          <w:szCs w:val="20"/>
        </w:rPr>
      </w:pPr>
      <w:r w:rsidRPr="002C4DB2">
        <w:rPr>
          <w:rFonts w:ascii="Verdana" w:hAnsi="Verdana"/>
          <w:sz w:val="20"/>
          <w:szCs w:val="20"/>
        </w:rPr>
        <w:t>SECCIÓN 7 – MANEJO Y ALMACENAMIENTO</w:t>
      </w:r>
    </w:p>
    <w:p w:rsidR="00F03784" w:rsidRPr="002C4DB2" w:rsidRDefault="00F03784">
      <w:pPr>
        <w:pStyle w:val="Ttulo1"/>
        <w:jc w:val="both"/>
        <w:rPr>
          <w:rFonts w:ascii="Verdana" w:hAnsi="Verdana"/>
          <w:sz w:val="20"/>
          <w:szCs w:val="20"/>
        </w:rPr>
      </w:pPr>
    </w:p>
    <w:p w:rsidR="00DD0A97" w:rsidRPr="002C4DB2" w:rsidRDefault="00075793">
      <w:pPr>
        <w:pStyle w:val="Textoindependiente"/>
        <w:ind w:right="150"/>
        <w:jc w:val="both"/>
        <w:rPr>
          <w:rFonts w:ascii="Verdana" w:hAnsi="Verdana"/>
          <w:sz w:val="20"/>
          <w:szCs w:val="20"/>
        </w:rPr>
      </w:pPr>
      <w:r w:rsidRPr="002C4DB2">
        <w:rPr>
          <w:rFonts w:ascii="Verdana" w:hAnsi="Verdana"/>
          <w:b/>
          <w:sz w:val="20"/>
          <w:szCs w:val="20"/>
        </w:rPr>
        <w:t xml:space="preserve">Precauciones: </w:t>
      </w:r>
      <w:r w:rsidRPr="002C4DB2">
        <w:rPr>
          <w:rFonts w:ascii="Verdana" w:hAnsi="Verdana"/>
          <w:sz w:val="20"/>
          <w:szCs w:val="20"/>
        </w:rPr>
        <w:t>Tenga disponible y a la mano el equipo de atención de emergencias (para incendios, derrames, fugas, etc.) Asegúrese que todos los recipientes estén etiquetados. Use equipo de protección personal adecuado. La gente que trabaja con este producto químico debe estar adecuadamente capacitada con respecto a sus riesgos y su uso seguro.</w:t>
      </w:r>
    </w:p>
    <w:p w:rsidR="00DD0A97" w:rsidRPr="002C4DB2" w:rsidRDefault="00075793">
      <w:pPr>
        <w:pStyle w:val="Textoindependiente"/>
        <w:ind w:right="152"/>
        <w:jc w:val="both"/>
        <w:rPr>
          <w:rFonts w:ascii="Verdana" w:hAnsi="Verdana"/>
          <w:sz w:val="20"/>
          <w:szCs w:val="20"/>
        </w:rPr>
      </w:pPr>
      <w:r w:rsidRPr="002C4DB2">
        <w:rPr>
          <w:rFonts w:ascii="Verdana" w:hAnsi="Verdana"/>
          <w:b/>
          <w:sz w:val="20"/>
          <w:szCs w:val="20"/>
        </w:rPr>
        <w:t xml:space="preserve">Manejo: </w:t>
      </w:r>
      <w:r w:rsidRPr="002C4DB2">
        <w:rPr>
          <w:rFonts w:ascii="Verdana" w:hAnsi="Verdana"/>
          <w:sz w:val="20"/>
          <w:szCs w:val="20"/>
        </w:rPr>
        <w:t>Evite generar rocío. Use las menores cantidades posibles, en áreas designadas y con ventilación adecuada. Mantenga los recipientes cerrados mientras no estén en uso. Los recipientes vacíos pueden contener Página 5 de</w:t>
      </w:r>
    </w:p>
    <w:p w:rsidR="00DD0A97" w:rsidRPr="002C4DB2" w:rsidRDefault="00075793">
      <w:pPr>
        <w:pStyle w:val="Textoindependiente"/>
        <w:ind w:right="155"/>
        <w:jc w:val="both"/>
        <w:rPr>
          <w:rFonts w:ascii="Verdana" w:hAnsi="Verdana"/>
          <w:sz w:val="20"/>
          <w:szCs w:val="20"/>
        </w:rPr>
      </w:pPr>
      <w:r w:rsidRPr="002C4DB2">
        <w:rPr>
          <w:rFonts w:ascii="Verdana" w:hAnsi="Verdana"/>
          <w:sz w:val="20"/>
          <w:szCs w:val="20"/>
        </w:rPr>
        <w:t>10 residuos peligrosos. Utilice equipo de transferencia (bombas, tubería, mangueras, etc) resistente a la corrosión.</w:t>
      </w:r>
    </w:p>
    <w:p w:rsidR="00DD0A97" w:rsidRPr="002C4DB2" w:rsidRDefault="00075793">
      <w:pPr>
        <w:pStyle w:val="Textoindependiente"/>
        <w:jc w:val="both"/>
        <w:rPr>
          <w:rFonts w:ascii="Verdana" w:hAnsi="Verdana"/>
          <w:sz w:val="20"/>
          <w:szCs w:val="20"/>
        </w:rPr>
      </w:pPr>
      <w:r w:rsidRPr="002C4DB2">
        <w:rPr>
          <w:rFonts w:ascii="Verdana" w:hAnsi="Verdana"/>
          <w:sz w:val="20"/>
          <w:szCs w:val="20"/>
        </w:rPr>
        <w:t>No utilice elementos</w:t>
      </w:r>
      <w:r w:rsidRPr="002C4DB2">
        <w:rPr>
          <w:rFonts w:ascii="Verdana" w:hAnsi="Verdana"/>
          <w:spacing w:val="-9"/>
          <w:sz w:val="20"/>
          <w:szCs w:val="20"/>
        </w:rPr>
        <w:t xml:space="preserve"> </w:t>
      </w:r>
      <w:r w:rsidRPr="002C4DB2">
        <w:rPr>
          <w:rFonts w:ascii="Verdana" w:hAnsi="Verdana"/>
          <w:sz w:val="20"/>
          <w:szCs w:val="20"/>
        </w:rPr>
        <w:t>metálicos.</w:t>
      </w:r>
    </w:p>
    <w:p w:rsidR="00DD0A97" w:rsidRPr="002C4DB2" w:rsidRDefault="00075793">
      <w:pPr>
        <w:pStyle w:val="Textoindependiente"/>
        <w:spacing w:before="1"/>
        <w:ind w:right="148"/>
        <w:jc w:val="both"/>
        <w:rPr>
          <w:rFonts w:ascii="Verdana" w:hAnsi="Verdana"/>
          <w:sz w:val="20"/>
          <w:szCs w:val="20"/>
        </w:rPr>
      </w:pPr>
      <w:r w:rsidRPr="002C4DB2">
        <w:rPr>
          <w:rFonts w:ascii="Verdana" w:hAnsi="Verdana"/>
          <w:b/>
          <w:sz w:val="20"/>
          <w:szCs w:val="20"/>
        </w:rPr>
        <w:t xml:space="preserve">Almacenamiento: </w:t>
      </w:r>
      <w:r w:rsidRPr="002C4DB2">
        <w:rPr>
          <w:rFonts w:ascii="Verdana" w:hAnsi="Verdana"/>
          <w:sz w:val="20"/>
          <w:szCs w:val="20"/>
        </w:rPr>
        <w:t>Almacénelo en un área fresca, seca, bien ventilada y alejada de la luz solar directa. Almacene los recipientes a una temperatura de 15 a 29°C (59 a 84°F). No lo almacene a más de 30°C (86°F) ni por debajo del punto de congelación. Mantenga los recipientes bien cerrados cuando no los esté utilizando y cuando estén vacíos. Protéjalos contra danos. Almacénelo lejos de materiales incompatibles como los materiales reductores , ácidos fuertes, compuestos de nitrógeno, cobre, níquel y cobalto. Utilice materiales estructurales resistentes a la corrosión y sistemas de iluminación y ventilación en el área de</w:t>
      </w:r>
      <w:r w:rsidRPr="002C4DB2">
        <w:rPr>
          <w:rFonts w:ascii="Verdana" w:hAnsi="Verdana"/>
          <w:spacing w:val="-1"/>
          <w:sz w:val="20"/>
          <w:szCs w:val="20"/>
        </w:rPr>
        <w:t xml:space="preserve"> </w:t>
      </w:r>
      <w:r w:rsidRPr="002C4DB2">
        <w:rPr>
          <w:rFonts w:ascii="Verdana" w:hAnsi="Verdana"/>
          <w:sz w:val="20"/>
          <w:szCs w:val="20"/>
        </w:rPr>
        <w:t>almacenamiento.</w:t>
      </w:r>
    </w:p>
    <w:p w:rsidR="00DD0A97" w:rsidRPr="002C4DB2" w:rsidRDefault="00075793">
      <w:pPr>
        <w:ind w:left="221" w:right="154"/>
        <w:jc w:val="both"/>
        <w:rPr>
          <w:rFonts w:ascii="Verdana" w:hAnsi="Verdana"/>
          <w:sz w:val="20"/>
          <w:szCs w:val="20"/>
        </w:rPr>
      </w:pPr>
      <w:r w:rsidRPr="002C4DB2">
        <w:rPr>
          <w:rFonts w:ascii="Verdana" w:hAnsi="Verdana"/>
          <w:b/>
          <w:sz w:val="20"/>
          <w:szCs w:val="20"/>
        </w:rPr>
        <w:t xml:space="preserve">Temperatura de almacenamiento: </w:t>
      </w:r>
      <w:r w:rsidRPr="002C4DB2">
        <w:rPr>
          <w:rFonts w:ascii="Verdana" w:hAnsi="Verdana"/>
          <w:sz w:val="20"/>
          <w:szCs w:val="20"/>
        </w:rPr>
        <w:t>Se recomienda almacenar a temperaturas entre 15 y 29°C (59 a</w:t>
      </w:r>
      <w:r w:rsidRPr="002C4DB2">
        <w:rPr>
          <w:rFonts w:ascii="Verdana" w:hAnsi="Verdana"/>
          <w:spacing w:val="-3"/>
          <w:sz w:val="20"/>
          <w:szCs w:val="20"/>
        </w:rPr>
        <w:t xml:space="preserve"> </w:t>
      </w:r>
      <w:r w:rsidRPr="002C4DB2">
        <w:rPr>
          <w:rFonts w:ascii="Verdana" w:hAnsi="Verdana"/>
          <w:sz w:val="20"/>
          <w:szCs w:val="20"/>
        </w:rPr>
        <w:t>84°F).</w:t>
      </w:r>
    </w:p>
    <w:p w:rsidR="00DD0A97" w:rsidRPr="002C4DB2" w:rsidRDefault="00DD0A97">
      <w:pPr>
        <w:jc w:val="both"/>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rsidP="00F03784">
      <w:pPr>
        <w:pStyle w:val="Ttulo1"/>
        <w:spacing w:before="100" w:line="240" w:lineRule="auto"/>
        <w:jc w:val="center"/>
        <w:rPr>
          <w:rFonts w:ascii="Verdana" w:hAnsi="Verdana"/>
          <w:sz w:val="20"/>
          <w:szCs w:val="20"/>
        </w:rPr>
      </w:pPr>
      <w:r w:rsidRPr="002C4DB2">
        <w:rPr>
          <w:rFonts w:ascii="Verdana" w:hAnsi="Verdana"/>
          <w:sz w:val="20"/>
          <w:szCs w:val="20"/>
        </w:rPr>
        <w:t>SECCIÓN 8 – CONTROL DE EXPOSICIÓN / PROTECCIÓN PERSONAL MEDIDAS PREVENTIVAS</w:t>
      </w:r>
    </w:p>
    <w:p w:rsidR="00DD0A97" w:rsidRPr="002C4DB2" w:rsidRDefault="00DD0A97">
      <w:pPr>
        <w:pStyle w:val="Textoindependiente"/>
        <w:ind w:left="0"/>
        <w:rPr>
          <w:rFonts w:ascii="Verdana" w:hAnsi="Verdana"/>
          <w:b/>
          <w:sz w:val="20"/>
          <w:szCs w:val="20"/>
        </w:rPr>
      </w:pPr>
    </w:p>
    <w:p w:rsidR="00DD0A97" w:rsidRPr="002C4DB2" w:rsidRDefault="00075793">
      <w:pPr>
        <w:pStyle w:val="Textoindependiente"/>
        <w:ind w:right="147"/>
        <w:jc w:val="both"/>
        <w:rPr>
          <w:rFonts w:ascii="Verdana" w:hAnsi="Verdana"/>
          <w:sz w:val="20"/>
          <w:szCs w:val="20"/>
        </w:rPr>
      </w:pPr>
      <w:r w:rsidRPr="002C4DB2">
        <w:rPr>
          <w:rFonts w:ascii="Verdana" w:hAnsi="Verdana"/>
          <w:sz w:val="20"/>
          <w:szCs w:val="20"/>
        </w:rPr>
        <w:t>Las recomendaciones que se enlistan en esta sección indican el tipo de equipo que proporciona protección contra la sobre exposición a este producto. Las condiciones de uso, lo adecuado de la ingeniería u otras medidas de control, así como la exposiciones reales, dictarán la necesidad de instrumentos protectores especiales en su lugar de trabajo.</w:t>
      </w:r>
    </w:p>
    <w:p w:rsidR="00DD0A97" w:rsidRPr="002C4DB2" w:rsidRDefault="00075793">
      <w:pPr>
        <w:pStyle w:val="Textoindependiente"/>
        <w:ind w:right="149"/>
        <w:jc w:val="both"/>
        <w:rPr>
          <w:rFonts w:ascii="Verdana" w:hAnsi="Verdana"/>
          <w:sz w:val="20"/>
          <w:szCs w:val="20"/>
        </w:rPr>
      </w:pPr>
      <w:r w:rsidRPr="002C4DB2">
        <w:rPr>
          <w:rFonts w:ascii="Verdana" w:hAnsi="Verdana"/>
          <w:b/>
          <w:sz w:val="20"/>
          <w:szCs w:val="20"/>
        </w:rPr>
        <w:t xml:space="preserve">Controles de ingeniería: </w:t>
      </w:r>
      <w:r w:rsidRPr="002C4DB2">
        <w:rPr>
          <w:rFonts w:ascii="Verdana" w:hAnsi="Verdana"/>
          <w:sz w:val="20"/>
          <w:szCs w:val="20"/>
        </w:rPr>
        <w:t>Se debe contar con sistemas de ventilación adecuados donde haya incidencia de emisiones o dispersión de contaminantes en el área de trabajo. El control de la ventilación debe ubicarse tan cercano como sea posible a su punto de generación. Para evitar el contacto con el personal se puede manejar en un recinto cerrado y mediante procesos automatizados de control. Debe prohibirse fumar en áreas en las cuales se almacene o maneje una solución de hipoclorito de sodio.</w:t>
      </w:r>
    </w:p>
    <w:p w:rsidR="00F03784" w:rsidRPr="002C4DB2" w:rsidRDefault="00F03784" w:rsidP="00F03784">
      <w:pPr>
        <w:pStyle w:val="Ttulo1"/>
        <w:jc w:val="both"/>
        <w:rPr>
          <w:rFonts w:ascii="Verdana" w:hAnsi="Verdana"/>
          <w:sz w:val="20"/>
          <w:szCs w:val="20"/>
        </w:rPr>
      </w:pPr>
    </w:p>
    <w:p w:rsidR="00DD0A97" w:rsidRPr="002C4DB2" w:rsidRDefault="00075793" w:rsidP="00F03784">
      <w:pPr>
        <w:pStyle w:val="Ttulo1"/>
        <w:jc w:val="both"/>
        <w:rPr>
          <w:rFonts w:ascii="Verdana" w:hAnsi="Verdana"/>
          <w:sz w:val="20"/>
          <w:szCs w:val="20"/>
        </w:rPr>
      </w:pPr>
      <w:r w:rsidRPr="002C4DB2">
        <w:rPr>
          <w:rFonts w:ascii="Verdana" w:hAnsi="Verdana"/>
          <w:sz w:val="20"/>
          <w:szCs w:val="20"/>
        </w:rPr>
        <w:t>EQUIPO DE PROTECCIÓN PERSONAL:</w:t>
      </w:r>
    </w:p>
    <w:p w:rsidR="00F03784" w:rsidRPr="002C4DB2" w:rsidRDefault="00F03784">
      <w:pPr>
        <w:pStyle w:val="Textoindependiente"/>
        <w:ind w:right="148"/>
        <w:jc w:val="both"/>
        <w:rPr>
          <w:rFonts w:ascii="Verdana" w:hAnsi="Verdana"/>
          <w:b/>
          <w:sz w:val="20"/>
          <w:szCs w:val="20"/>
        </w:rPr>
      </w:pPr>
    </w:p>
    <w:p w:rsidR="00DD0A97" w:rsidRPr="002C4DB2" w:rsidRDefault="00075793">
      <w:pPr>
        <w:pStyle w:val="Textoindependiente"/>
        <w:ind w:right="148"/>
        <w:jc w:val="both"/>
        <w:rPr>
          <w:rFonts w:ascii="Verdana" w:hAnsi="Verdana"/>
          <w:sz w:val="20"/>
          <w:szCs w:val="20"/>
        </w:rPr>
      </w:pPr>
      <w:r w:rsidRPr="002C4DB2">
        <w:rPr>
          <w:rFonts w:ascii="Verdana" w:hAnsi="Verdana"/>
          <w:b/>
          <w:sz w:val="20"/>
          <w:szCs w:val="20"/>
        </w:rPr>
        <w:t xml:space="preserve">Protección para los ojos: </w:t>
      </w:r>
      <w:r w:rsidRPr="002C4DB2">
        <w:rPr>
          <w:rFonts w:ascii="Verdana" w:hAnsi="Verdana"/>
          <w:sz w:val="20"/>
          <w:szCs w:val="20"/>
        </w:rPr>
        <w:t>Use protección facial completa o lentes de seguridad resistentes a salpicaduras de productos químicos. Identifique el sitio para el lavado de los ojos o duchas de seguridad más cercanas a su área de trabajo para que pueda acceder, inclusive con los ojos cerrados.</w:t>
      </w:r>
    </w:p>
    <w:p w:rsidR="00F03784" w:rsidRPr="002C4DB2" w:rsidRDefault="00F03784">
      <w:pPr>
        <w:pStyle w:val="Textoindependiente"/>
        <w:ind w:right="146"/>
        <w:jc w:val="both"/>
        <w:rPr>
          <w:rFonts w:ascii="Verdana" w:hAnsi="Verdana"/>
          <w:b/>
          <w:sz w:val="20"/>
          <w:szCs w:val="20"/>
        </w:rPr>
      </w:pPr>
    </w:p>
    <w:p w:rsidR="00DD0A97" w:rsidRPr="002C4DB2" w:rsidRDefault="00075793">
      <w:pPr>
        <w:pStyle w:val="Textoindependiente"/>
        <w:ind w:right="146"/>
        <w:jc w:val="both"/>
        <w:rPr>
          <w:rFonts w:ascii="Verdana" w:hAnsi="Verdana"/>
          <w:sz w:val="20"/>
          <w:szCs w:val="20"/>
        </w:rPr>
      </w:pPr>
      <w:r w:rsidRPr="002C4DB2">
        <w:rPr>
          <w:rFonts w:ascii="Verdana" w:hAnsi="Verdana"/>
          <w:b/>
          <w:sz w:val="20"/>
          <w:szCs w:val="20"/>
        </w:rPr>
        <w:t xml:space="preserve">Protección de la piel: </w:t>
      </w:r>
      <w:r w:rsidRPr="002C4DB2">
        <w:rPr>
          <w:rFonts w:ascii="Verdana" w:hAnsi="Verdana"/>
          <w:sz w:val="20"/>
          <w:szCs w:val="20"/>
        </w:rPr>
        <w:t>Utilice ropa impermeable de protección personal adecuada para evitar el contacto con la piel, incluyendo botas, guantes, bata, delantal, impermeable, pantalones u overoles que protejan del contacto con la piel.</w:t>
      </w:r>
    </w:p>
    <w:p w:rsidR="00F03784" w:rsidRPr="002C4DB2" w:rsidRDefault="00F03784">
      <w:pPr>
        <w:pStyle w:val="Textoindependiente"/>
        <w:ind w:right="151"/>
        <w:jc w:val="both"/>
        <w:rPr>
          <w:rFonts w:ascii="Verdana" w:hAnsi="Verdana"/>
          <w:b/>
          <w:sz w:val="20"/>
          <w:szCs w:val="20"/>
        </w:rPr>
      </w:pPr>
    </w:p>
    <w:p w:rsidR="00DD0A97" w:rsidRPr="002C4DB2" w:rsidRDefault="00075793">
      <w:pPr>
        <w:pStyle w:val="Textoindependiente"/>
        <w:ind w:right="151"/>
        <w:jc w:val="both"/>
        <w:rPr>
          <w:rFonts w:ascii="Verdana" w:hAnsi="Verdana"/>
          <w:sz w:val="20"/>
          <w:szCs w:val="20"/>
        </w:rPr>
      </w:pPr>
      <w:r w:rsidRPr="002C4DB2">
        <w:rPr>
          <w:rFonts w:ascii="Verdana" w:hAnsi="Verdana"/>
          <w:b/>
          <w:sz w:val="20"/>
          <w:szCs w:val="20"/>
        </w:rPr>
        <w:t xml:space="preserve">Protección respiratoria: </w:t>
      </w:r>
      <w:r w:rsidRPr="002C4DB2">
        <w:rPr>
          <w:rFonts w:ascii="Verdana" w:hAnsi="Verdana"/>
          <w:sz w:val="20"/>
          <w:szCs w:val="20"/>
        </w:rPr>
        <w:t>Un respirador purificador de aire aprobado por NIOSH/MSHA equipado con cartuchos para rocío ácido en concentraciones de hasta 10 veces el TL V o para gases de cloro. Use un respirador de aire si las concentraciones son más elevadas o desconocidas.</w:t>
      </w:r>
    </w:p>
    <w:p w:rsidR="00DD0A97" w:rsidRPr="002C4DB2" w:rsidRDefault="00DD0A97">
      <w:pPr>
        <w:jc w:val="both"/>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pPr>
        <w:pStyle w:val="Ttulo1"/>
        <w:spacing w:before="100"/>
        <w:rPr>
          <w:rFonts w:ascii="Verdana" w:hAnsi="Verdana"/>
          <w:sz w:val="20"/>
          <w:szCs w:val="20"/>
        </w:rPr>
      </w:pPr>
      <w:r w:rsidRPr="002C4DB2">
        <w:rPr>
          <w:rFonts w:ascii="Verdana" w:hAnsi="Verdana"/>
          <w:sz w:val="20"/>
          <w:szCs w:val="20"/>
        </w:rPr>
        <w:t>DIRECTRICES PARA LA EXPOSICIÓN :</w:t>
      </w:r>
    </w:p>
    <w:p w:rsidR="00F03784" w:rsidRPr="002C4DB2" w:rsidRDefault="00F03784">
      <w:pPr>
        <w:spacing w:line="289" w:lineRule="exact"/>
        <w:ind w:left="221"/>
        <w:rPr>
          <w:rFonts w:ascii="Verdana" w:hAnsi="Verdana"/>
          <w:b/>
          <w:sz w:val="20"/>
          <w:szCs w:val="20"/>
        </w:rPr>
      </w:pPr>
    </w:p>
    <w:p w:rsidR="00DD0A97" w:rsidRPr="002C4DB2" w:rsidRDefault="00075793">
      <w:pPr>
        <w:spacing w:line="289" w:lineRule="exact"/>
        <w:ind w:left="221"/>
        <w:rPr>
          <w:rFonts w:ascii="Verdana" w:hAnsi="Verdana"/>
          <w:b/>
          <w:sz w:val="20"/>
          <w:szCs w:val="20"/>
        </w:rPr>
      </w:pPr>
      <w:r w:rsidRPr="002C4DB2">
        <w:rPr>
          <w:rFonts w:ascii="Verdana" w:hAnsi="Verdana"/>
          <w:b/>
          <w:sz w:val="20"/>
          <w:szCs w:val="20"/>
        </w:rPr>
        <w:t>PRODUCTO: Hipoclorito de Sodio</w:t>
      </w:r>
    </w:p>
    <w:p w:rsidR="00DD0A97" w:rsidRPr="002C4DB2" w:rsidRDefault="00075793">
      <w:pPr>
        <w:pStyle w:val="Textoindependiente"/>
        <w:spacing w:before="1"/>
        <w:ind w:right="152"/>
        <w:jc w:val="both"/>
        <w:rPr>
          <w:rFonts w:ascii="Verdana" w:hAnsi="Verdana"/>
          <w:sz w:val="20"/>
          <w:szCs w:val="20"/>
        </w:rPr>
      </w:pPr>
      <w:r w:rsidRPr="002C4DB2">
        <w:rPr>
          <w:rFonts w:ascii="Verdana" w:hAnsi="Verdana"/>
          <w:sz w:val="20"/>
          <w:szCs w:val="20"/>
        </w:rPr>
        <w:t>Directrices para el nivel de exposición ambiental en el lugar de trabajo (WEELS)/Asociación Americana de Higiene Industrial (AIHA)/promedio de tiempo a corto plazo 1996; 2 mg/m3: 15 minutos.</w:t>
      </w:r>
    </w:p>
    <w:p w:rsidR="00DD0A97" w:rsidRPr="002C4DB2" w:rsidRDefault="00075793">
      <w:pPr>
        <w:spacing w:line="289" w:lineRule="exact"/>
        <w:ind w:left="221"/>
        <w:rPr>
          <w:rFonts w:ascii="Verdana" w:hAnsi="Verdana"/>
          <w:b/>
          <w:sz w:val="20"/>
          <w:szCs w:val="20"/>
        </w:rPr>
      </w:pPr>
      <w:r w:rsidRPr="002C4DB2">
        <w:rPr>
          <w:rFonts w:ascii="Verdana" w:hAnsi="Verdana"/>
          <w:sz w:val="20"/>
          <w:szCs w:val="20"/>
        </w:rPr>
        <w:t xml:space="preserve">Para </w:t>
      </w:r>
      <w:r w:rsidRPr="002C4DB2">
        <w:rPr>
          <w:rFonts w:ascii="Verdana" w:hAnsi="Verdana"/>
          <w:b/>
          <w:sz w:val="20"/>
          <w:szCs w:val="20"/>
        </w:rPr>
        <w:t>Cloro:</w:t>
      </w:r>
    </w:p>
    <w:p w:rsidR="00DD0A97" w:rsidRPr="002C4DB2" w:rsidRDefault="00075793">
      <w:pPr>
        <w:pStyle w:val="Textoindependiente"/>
        <w:ind w:right="3184"/>
        <w:rPr>
          <w:rFonts w:ascii="Verdana" w:hAnsi="Verdana"/>
          <w:sz w:val="20"/>
          <w:szCs w:val="20"/>
        </w:rPr>
      </w:pPr>
      <w:r w:rsidRPr="002C4DB2">
        <w:rPr>
          <w:rFonts w:ascii="Verdana" w:hAnsi="Verdana"/>
          <w:sz w:val="20"/>
          <w:szCs w:val="20"/>
        </w:rPr>
        <w:t>Hipoclorito de Sodio Cloro* Hidróxido de Sodio ACGIH TWA No establecido 0.5 ppm No establecido OSHA PEL No establecido 0.5 ppm 2 mg/m3  NIOSH IDHL No establecido 10 ppm 10 mg/m3 ACGIH STEL No establecido 1 ppm No establecido OSHA STEL No establecido 1 ppm No</w:t>
      </w:r>
      <w:r w:rsidRPr="002C4DB2">
        <w:rPr>
          <w:rFonts w:ascii="Verdana" w:hAnsi="Verdana"/>
          <w:spacing w:val="-6"/>
          <w:sz w:val="20"/>
          <w:szCs w:val="20"/>
        </w:rPr>
        <w:t xml:space="preserve"> </w:t>
      </w:r>
      <w:r w:rsidRPr="002C4DB2">
        <w:rPr>
          <w:rFonts w:ascii="Verdana" w:hAnsi="Verdana"/>
          <w:sz w:val="20"/>
          <w:szCs w:val="20"/>
        </w:rPr>
        <w:t>establecido</w:t>
      </w:r>
    </w:p>
    <w:p w:rsidR="00DD0A97" w:rsidRPr="002C4DB2" w:rsidRDefault="00075793">
      <w:pPr>
        <w:pStyle w:val="Textoindependiente"/>
        <w:ind w:right="2064"/>
        <w:rPr>
          <w:rFonts w:ascii="Verdana" w:hAnsi="Verdana"/>
          <w:sz w:val="20"/>
          <w:szCs w:val="20"/>
        </w:rPr>
      </w:pPr>
      <w:r w:rsidRPr="002C4DB2">
        <w:rPr>
          <w:rFonts w:ascii="Verdana" w:hAnsi="Verdana"/>
          <w:sz w:val="20"/>
          <w:szCs w:val="20"/>
        </w:rPr>
        <w:t>NIOSH (15 min. Tope) No establecido 0.5 ppm No establecido ACGIH Tope No establecido No establecido 2 mg/m3</w:t>
      </w:r>
    </w:p>
    <w:p w:rsidR="00DD0A97" w:rsidRPr="002C4DB2" w:rsidRDefault="00DD0A97">
      <w:pPr>
        <w:pStyle w:val="Textoindependiente"/>
        <w:ind w:left="0"/>
        <w:rPr>
          <w:rFonts w:ascii="Verdana" w:hAnsi="Verdana"/>
          <w:sz w:val="20"/>
          <w:szCs w:val="20"/>
        </w:rPr>
      </w:pPr>
    </w:p>
    <w:p w:rsidR="00DD0A97" w:rsidRPr="002C4DB2" w:rsidRDefault="00075793" w:rsidP="00F03784">
      <w:pPr>
        <w:pStyle w:val="Ttulo1"/>
        <w:spacing w:line="240" w:lineRule="auto"/>
        <w:jc w:val="center"/>
        <w:rPr>
          <w:rFonts w:ascii="Verdana" w:hAnsi="Verdana"/>
          <w:sz w:val="20"/>
          <w:szCs w:val="20"/>
        </w:rPr>
      </w:pPr>
      <w:r w:rsidRPr="002C4DB2">
        <w:rPr>
          <w:rFonts w:ascii="Verdana" w:hAnsi="Verdana"/>
          <w:sz w:val="20"/>
          <w:szCs w:val="20"/>
        </w:rPr>
        <w:t>SECCIÓN 9 – PROPIEDADES FÍSICAS Y QUÍMICAS</w:t>
      </w:r>
    </w:p>
    <w:p w:rsidR="00DD0A97" w:rsidRPr="002C4DB2" w:rsidRDefault="00DD0A97">
      <w:pPr>
        <w:pStyle w:val="Textoindependiente"/>
        <w:ind w:left="0"/>
        <w:rPr>
          <w:rFonts w:ascii="Verdana" w:hAnsi="Verdana"/>
          <w:b/>
          <w:sz w:val="20"/>
          <w:szCs w:val="20"/>
        </w:rPr>
      </w:pPr>
    </w:p>
    <w:p w:rsidR="00DD0A97" w:rsidRPr="002C4DB2" w:rsidRDefault="00075793">
      <w:pPr>
        <w:pStyle w:val="Textoindependiente"/>
        <w:spacing w:line="289" w:lineRule="exact"/>
        <w:rPr>
          <w:rFonts w:ascii="Verdana" w:hAnsi="Verdana"/>
          <w:sz w:val="20"/>
          <w:szCs w:val="20"/>
        </w:rPr>
      </w:pPr>
      <w:r w:rsidRPr="002C4DB2">
        <w:rPr>
          <w:rFonts w:ascii="Verdana" w:hAnsi="Verdana"/>
          <w:sz w:val="20"/>
          <w:szCs w:val="20"/>
        </w:rPr>
        <w:t>Nombre Químico Hipoclorito de Sodio</w:t>
      </w:r>
    </w:p>
    <w:p w:rsidR="00DD0A97" w:rsidRPr="002C4DB2" w:rsidRDefault="00075793">
      <w:pPr>
        <w:pStyle w:val="Textoindependiente"/>
        <w:tabs>
          <w:tab w:val="left" w:pos="1283"/>
          <w:tab w:val="left" w:pos="2627"/>
          <w:tab w:val="left" w:pos="3979"/>
          <w:tab w:val="left" w:pos="4463"/>
          <w:tab w:val="left" w:pos="5274"/>
          <w:tab w:val="left" w:pos="5760"/>
          <w:tab w:val="left" w:pos="6913"/>
          <w:tab w:val="left" w:pos="7674"/>
          <w:tab w:val="left" w:pos="8160"/>
        </w:tabs>
        <w:ind w:right="151"/>
        <w:rPr>
          <w:rFonts w:ascii="Verdana" w:hAnsi="Verdana"/>
          <w:sz w:val="20"/>
          <w:szCs w:val="20"/>
        </w:rPr>
      </w:pPr>
      <w:r w:rsidRPr="002C4DB2">
        <w:rPr>
          <w:rFonts w:ascii="Verdana" w:hAnsi="Verdana"/>
          <w:sz w:val="20"/>
          <w:szCs w:val="20"/>
        </w:rPr>
        <w:t>Nombre</w:t>
      </w:r>
      <w:r w:rsidRPr="002C4DB2">
        <w:rPr>
          <w:rFonts w:ascii="Verdana" w:hAnsi="Verdana"/>
          <w:sz w:val="20"/>
          <w:szCs w:val="20"/>
        </w:rPr>
        <w:tab/>
        <w:t>alternativo</w:t>
      </w:r>
      <w:r w:rsidRPr="002C4DB2">
        <w:rPr>
          <w:rFonts w:ascii="Verdana" w:hAnsi="Verdana"/>
          <w:sz w:val="20"/>
          <w:szCs w:val="20"/>
        </w:rPr>
        <w:tab/>
        <w:t>Hipoclorito</w:t>
      </w:r>
      <w:r w:rsidRPr="002C4DB2">
        <w:rPr>
          <w:rFonts w:ascii="Verdana" w:hAnsi="Verdana"/>
          <w:sz w:val="20"/>
          <w:szCs w:val="20"/>
        </w:rPr>
        <w:tab/>
        <w:t>de</w:t>
      </w:r>
      <w:r w:rsidRPr="002C4DB2">
        <w:rPr>
          <w:rFonts w:ascii="Verdana" w:hAnsi="Verdana"/>
          <w:sz w:val="20"/>
          <w:szCs w:val="20"/>
        </w:rPr>
        <w:tab/>
        <w:t>Sodio</w:t>
      </w:r>
      <w:r w:rsidRPr="002C4DB2">
        <w:rPr>
          <w:rFonts w:ascii="Verdana" w:hAnsi="Verdana"/>
          <w:sz w:val="20"/>
          <w:szCs w:val="20"/>
        </w:rPr>
        <w:tab/>
        <w:t>en</w:t>
      </w:r>
      <w:r w:rsidRPr="002C4DB2">
        <w:rPr>
          <w:rFonts w:ascii="Verdana" w:hAnsi="Verdana"/>
          <w:sz w:val="20"/>
          <w:szCs w:val="20"/>
        </w:rPr>
        <w:tab/>
        <w:t>solución,</w:t>
      </w:r>
      <w:r w:rsidRPr="002C4DB2">
        <w:rPr>
          <w:rFonts w:ascii="Verdana" w:hAnsi="Verdana"/>
          <w:sz w:val="20"/>
          <w:szCs w:val="20"/>
        </w:rPr>
        <w:tab/>
        <w:t>Agua</w:t>
      </w:r>
      <w:r w:rsidRPr="002C4DB2">
        <w:rPr>
          <w:rFonts w:ascii="Verdana" w:hAnsi="Verdana"/>
          <w:sz w:val="20"/>
          <w:szCs w:val="20"/>
        </w:rPr>
        <w:tab/>
        <w:t>de</w:t>
      </w:r>
      <w:r w:rsidRPr="002C4DB2">
        <w:rPr>
          <w:rFonts w:ascii="Verdana" w:hAnsi="Verdana"/>
          <w:sz w:val="20"/>
          <w:szCs w:val="20"/>
        </w:rPr>
        <w:tab/>
        <w:t>javel,</w:t>
      </w:r>
      <w:r w:rsidRPr="002C4DB2">
        <w:rPr>
          <w:rFonts w:ascii="Verdana" w:hAnsi="Verdana"/>
          <w:w w:val="99"/>
          <w:sz w:val="20"/>
          <w:szCs w:val="20"/>
        </w:rPr>
        <w:t xml:space="preserve"> </w:t>
      </w:r>
      <w:r w:rsidRPr="002C4DB2">
        <w:rPr>
          <w:rFonts w:ascii="Verdana" w:hAnsi="Verdana"/>
          <w:sz w:val="20"/>
          <w:szCs w:val="20"/>
        </w:rPr>
        <w:t>blanqueador.</w:t>
      </w:r>
    </w:p>
    <w:p w:rsidR="00DD0A97" w:rsidRPr="002C4DB2" w:rsidRDefault="00075793">
      <w:pPr>
        <w:pStyle w:val="Textoindependiente"/>
        <w:ind w:right="4403"/>
        <w:rPr>
          <w:rFonts w:ascii="Verdana" w:hAnsi="Verdana"/>
          <w:sz w:val="20"/>
          <w:szCs w:val="20"/>
        </w:rPr>
      </w:pPr>
      <w:r w:rsidRPr="002C4DB2">
        <w:rPr>
          <w:rFonts w:ascii="Verdana" w:hAnsi="Verdana"/>
          <w:sz w:val="20"/>
          <w:szCs w:val="20"/>
        </w:rPr>
        <w:t>Familia Química Sal de Ácido Clorhídrico Formula Molecular NaOCl</w:t>
      </w:r>
    </w:p>
    <w:p w:rsidR="00DD0A97" w:rsidRPr="002C4DB2" w:rsidRDefault="00075793">
      <w:pPr>
        <w:pStyle w:val="Textoindependiente"/>
        <w:spacing w:line="289" w:lineRule="exact"/>
        <w:rPr>
          <w:rFonts w:ascii="Verdana" w:hAnsi="Verdana"/>
          <w:sz w:val="20"/>
          <w:szCs w:val="20"/>
        </w:rPr>
      </w:pPr>
      <w:r w:rsidRPr="002C4DB2">
        <w:rPr>
          <w:rFonts w:ascii="Verdana" w:hAnsi="Verdana"/>
          <w:sz w:val="20"/>
          <w:szCs w:val="20"/>
        </w:rPr>
        <w:t>Peso Molecular 74.4 g/gmol (100%)</w:t>
      </w:r>
    </w:p>
    <w:p w:rsidR="00DD0A97" w:rsidRPr="002C4DB2" w:rsidRDefault="00075793">
      <w:pPr>
        <w:pStyle w:val="Textoindependiente"/>
        <w:ind w:right="1641"/>
        <w:rPr>
          <w:rFonts w:ascii="Verdana" w:hAnsi="Verdana"/>
          <w:sz w:val="20"/>
          <w:szCs w:val="20"/>
        </w:rPr>
      </w:pPr>
      <w:r w:rsidRPr="002C4DB2">
        <w:rPr>
          <w:rFonts w:ascii="Verdana" w:hAnsi="Verdana"/>
          <w:sz w:val="20"/>
          <w:szCs w:val="20"/>
        </w:rPr>
        <w:t>Apariencia Solución acuosa, clara, ligeramente amarilla o verdosa. Olor penetrante e irritante a cloro</w:t>
      </w:r>
    </w:p>
    <w:p w:rsidR="00DD0A97" w:rsidRPr="002C4DB2" w:rsidRDefault="00075793">
      <w:pPr>
        <w:pStyle w:val="Textoindependiente"/>
        <w:rPr>
          <w:rFonts w:ascii="Verdana" w:hAnsi="Verdana"/>
          <w:sz w:val="20"/>
          <w:szCs w:val="20"/>
        </w:rPr>
      </w:pPr>
      <w:r w:rsidRPr="002C4DB2">
        <w:rPr>
          <w:rFonts w:ascii="Verdana" w:hAnsi="Verdana"/>
          <w:sz w:val="20"/>
          <w:szCs w:val="20"/>
        </w:rPr>
        <w:t>PH 11 – 13,6</w:t>
      </w:r>
    </w:p>
    <w:p w:rsidR="00DD0A97" w:rsidRPr="002C4DB2" w:rsidRDefault="00075793">
      <w:pPr>
        <w:pStyle w:val="Textoindependiente"/>
        <w:spacing w:before="1"/>
        <w:ind w:right="4306"/>
        <w:rPr>
          <w:rFonts w:ascii="Verdana" w:hAnsi="Verdana"/>
          <w:sz w:val="20"/>
          <w:szCs w:val="20"/>
        </w:rPr>
      </w:pPr>
      <w:r w:rsidRPr="002C4DB2">
        <w:rPr>
          <w:rFonts w:ascii="Verdana" w:hAnsi="Verdana"/>
          <w:sz w:val="20"/>
          <w:szCs w:val="20"/>
        </w:rPr>
        <w:t>Presión de vapor 12 mm Hg a 21°C Densidad Relativa del vapor (Aire=1) 2,5</w:t>
      </w:r>
    </w:p>
    <w:p w:rsidR="00DD0A97" w:rsidRPr="002C4DB2" w:rsidRDefault="00075793">
      <w:pPr>
        <w:pStyle w:val="Textoindependiente"/>
        <w:ind w:right="556"/>
        <w:rPr>
          <w:rFonts w:ascii="Verdana" w:hAnsi="Verdana"/>
          <w:sz w:val="20"/>
          <w:szCs w:val="20"/>
        </w:rPr>
      </w:pPr>
      <w:r w:rsidRPr="002C4DB2">
        <w:rPr>
          <w:rFonts w:ascii="Verdana" w:hAnsi="Verdana"/>
          <w:sz w:val="20"/>
          <w:szCs w:val="20"/>
        </w:rPr>
        <w:t>Punto de ebullición Se descompone lentamente por encima de 40°C /104°F) Punto de Fusión o congelación -13.6°C (7.5°F)</w:t>
      </w:r>
    </w:p>
    <w:p w:rsidR="00DD0A97" w:rsidRPr="002C4DB2" w:rsidRDefault="00075793">
      <w:pPr>
        <w:pStyle w:val="Textoindependiente"/>
        <w:rPr>
          <w:rFonts w:ascii="Verdana" w:hAnsi="Verdana"/>
          <w:sz w:val="20"/>
          <w:szCs w:val="20"/>
        </w:rPr>
      </w:pPr>
      <w:r w:rsidRPr="002C4DB2">
        <w:rPr>
          <w:rFonts w:ascii="Verdana" w:hAnsi="Verdana"/>
          <w:sz w:val="20"/>
          <w:szCs w:val="20"/>
        </w:rPr>
        <w:t>Solubilidad en agua Soluble (293 g/L)</w:t>
      </w:r>
    </w:p>
    <w:p w:rsidR="00DD0A97" w:rsidRPr="002C4DB2" w:rsidRDefault="00075793">
      <w:pPr>
        <w:pStyle w:val="Textoindependiente"/>
        <w:rPr>
          <w:rFonts w:ascii="Verdana" w:hAnsi="Verdana"/>
          <w:sz w:val="20"/>
          <w:szCs w:val="20"/>
        </w:rPr>
      </w:pPr>
      <w:r w:rsidRPr="002C4DB2">
        <w:rPr>
          <w:rFonts w:ascii="Verdana" w:hAnsi="Verdana"/>
          <w:sz w:val="20"/>
          <w:szCs w:val="20"/>
        </w:rPr>
        <w:t>Peso específico o densidad relativa como líquido 1.20 a 20°C y 1 atm de presión (Agua = 1 g/cm3), solución al 12,5% viscosidad 78.3 centipoise a 20°C (68°F)</w:t>
      </w:r>
    </w:p>
    <w:p w:rsidR="00DD0A97" w:rsidRPr="002C4DB2" w:rsidRDefault="00075793">
      <w:pPr>
        <w:pStyle w:val="Textoindependiente"/>
        <w:ind w:right="3468"/>
        <w:rPr>
          <w:rFonts w:ascii="Verdana" w:hAnsi="Verdana"/>
          <w:sz w:val="20"/>
          <w:szCs w:val="20"/>
        </w:rPr>
      </w:pPr>
      <w:r w:rsidRPr="002C4DB2">
        <w:rPr>
          <w:rFonts w:ascii="Verdana" w:hAnsi="Verdana"/>
          <w:sz w:val="20"/>
          <w:szCs w:val="20"/>
        </w:rPr>
        <w:t>% Volátiles por volumen No se tiene información Rata de evaporación No se tiene información</w:t>
      </w:r>
    </w:p>
    <w:p w:rsidR="00DD0A97" w:rsidRPr="002C4DB2" w:rsidRDefault="00075793">
      <w:pPr>
        <w:pStyle w:val="Textoindependiente"/>
        <w:rPr>
          <w:rFonts w:ascii="Verdana" w:hAnsi="Verdana"/>
          <w:sz w:val="20"/>
          <w:szCs w:val="20"/>
        </w:rPr>
      </w:pPr>
      <w:r w:rsidRPr="002C4DB2">
        <w:rPr>
          <w:rFonts w:ascii="Verdana" w:hAnsi="Verdana"/>
          <w:sz w:val="20"/>
          <w:szCs w:val="20"/>
        </w:rPr>
        <w:t>Nota: En caso de requerir alguna información adicional referirse a los Panfletos del Chlorine Institute o al Manual de Ingeniero Químico de Perry.</w:t>
      </w:r>
    </w:p>
    <w:p w:rsidR="00DD0A97" w:rsidRPr="002C4DB2" w:rsidRDefault="00DD0A97">
      <w:pPr>
        <w:pStyle w:val="Textoindependiente"/>
        <w:spacing w:before="11"/>
        <w:ind w:left="0"/>
        <w:rPr>
          <w:rFonts w:ascii="Verdana" w:hAnsi="Verdana"/>
          <w:sz w:val="20"/>
          <w:szCs w:val="20"/>
        </w:rPr>
      </w:pPr>
    </w:p>
    <w:p w:rsidR="00DD0A97" w:rsidRPr="002C4DB2" w:rsidRDefault="00075793" w:rsidP="00F03784">
      <w:pPr>
        <w:pStyle w:val="Ttulo1"/>
        <w:spacing w:line="240" w:lineRule="auto"/>
        <w:jc w:val="center"/>
        <w:rPr>
          <w:rFonts w:ascii="Verdana" w:hAnsi="Verdana"/>
          <w:sz w:val="20"/>
          <w:szCs w:val="20"/>
        </w:rPr>
      </w:pPr>
      <w:r w:rsidRPr="002C4DB2">
        <w:rPr>
          <w:rFonts w:ascii="Verdana" w:hAnsi="Verdana"/>
          <w:sz w:val="20"/>
          <w:szCs w:val="20"/>
        </w:rPr>
        <w:t>SECCIÓN 10 – ESTABILIDAD Y REACTIVIDAD</w:t>
      </w:r>
    </w:p>
    <w:p w:rsidR="00F03784" w:rsidRPr="002C4DB2" w:rsidRDefault="00F03784">
      <w:pPr>
        <w:pStyle w:val="Ttulo1"/>
        <w:spacing w:line="240" w:lineRule="auto"/>
        <w:rPr>
          <w:rFonts w:ascii="Verdana" w:hAnsi="Verdana"/>
          <w:sz w:val="20"/>
          <w:szCs w:val="20"/>
        </w:rPr>
      </w:pPr>
    </w:p>
    <w:p w:rsidR="00DD0A97" w:rsidRPr="002C4DB2" w:rsidRDefault="00075793">
      <w:pPr>
        <w:pStyle w:val="Textoindependiente"/>
        <w:spacing w:before="1"/>
        <w:rPr>
          <w:rFonts w:ascii="Verdana" w:hAnsi="Verdana"/>
          <w:sz w:val="20"/>
          <w:szCs w:val="20"/>
        </w:rPr>
      </w:pPr>
      <w:r w:rsidRPr="002C4DB2">
        <w:rPr>
          <w:rFonts w:ascii="Verdana" w:hAnsi="Verdana"/>
          <w:b/>
          <w:sz w:val="20"/>
          <w:szCs w:val="20"/>
        </w:rPr>
        <w:t xml:space="preserve">Estabilidad química: </w:t>
      </w:r>
      <w:r w:rsidRPr="002C4DB2">
        <w:rPr>
          <w:rFonts w:ascii="Verdana" w:hAnsi="Verdana"/>
          <w:sz w:val="20"/>
          <w:szCs w:val="20"/>
        </w:rPr>
        <w:t xml:space="preserve">Estable a temperatura ambiente y en ausencia de luz. </w:t>
      </w:r>
      <w:r w:rsidRPr="002C4DB2">
        <w:rPr>
          <w:rFonts w:ascii="Verdana" w:hAnsi="Verdana"/>
          <w:b/>
          <w:sz w:val="20"/>
          <w:szCs w:val="20"/>
        </w:rPr>
        <w:t xml:space="preserve">Productos de descomposición peligrosos: </w:t>
      </w:r>
      <w:r w:rsidRPr="002C4DB2">
        <w:rPr>
          <w:rFonts w:ascii="Verdana" w:hAnsi="Verdana"/>
          <w:sz w:val="20"/>
          <w:szCs w:val="20"/>
        </w:rPr>
        <w:t xml:space="preserve">Por descomposición térmica: Cloro, Oxido de Sodio, Oxígeno, Óxidos de Cloro, Clorato de Sodio e Hidrógeno. </w:t>
      </w:r>
      <w:r w:rsidRPr="002C4DB2">
        <w:rPr>
          <w:rFonts w:ascii="Verdana" w:hAnsi="Verdana"/>
          <w:b/>
          <w:sz w:val="20"/>
          <w:szCs w:val="20"/>
        </w:rPr>
        <w:t xml:space="preserve">Condiciones a evitar: </w:t>
      </w:r>
      <w:r w:rsidRPr="002C4DB2">
        <w:rPr>
          <w:rFonts w:ascii="Verdana" w:hAnsi="Verdana"/>
          <w:sz w:val="20"/>
          <w:szCs w:val="20"/>
        </w:rPr>
        <w:t>Manténgalo alejado de las altas temperaturas y la luz solar o ultravioleta. No lo almacene a mas de 30°C (86°F). No permita que las soluciones se evaporen hasta secarse. Manténgase lejos de incompatibles.</w:t>
      </w:r>
    </w:p>
    <w:p w:rsidR="00DD0A97" w:rsidRPr="002C4DB2" w:rsidRDefault="00DD0A97">
      <w:pPr>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pPr>
        <w:pStyle w:val="Textoindependiente"/>
        <w:spacing w:before="100"/>
        <w:ind w:right="148"/>
        <w:jc w:val="both"/>
        <w:rPr>
          <w:rFonts w:ascii="Verdana" w:hAnsi="Verdana"/>
          <w:sz w:val="20"/>
          <w:szCs w:val="20"/>
        </w:rPr>
      </w:pPr>
      <w:r w:rsidRPr="002C4DB2">
        <w:rPr>
          <w:rFonts w:ascii="Verdana" w:hAnsi="Verdana"/>
          <w:b/>
          <w:sz w:val="20"/>
          <w:szCs w:val="20"/>
        </w:rPr>
        <w:t xml:space="preserve">Incompatibilidad con otras sustancias: </w:t>
      </w:r>
      <w:r w:rsidRPr="002C4DB2">
        <w:rPr>
          <w:rFonts w:ascii="Verdana" w:hAnsi="Verdana"/>
          <w:sz w:val="20"/>
          <w:szCs w:val="20"/>
        </w:rPr>
        <w:t>Puede reaccionar violentamente con ácidos fuertes y con productos de limpieza de base ácida como ácido clorhídrico o muriático, liberando gas de cloro tóxico. Otros incompatibles incluyen materiales orgánicos, como solventes o productos de limpieza que usen solventes, combustibles y aceites combustibles, celulosa, materiales oxidables, amoniaco, urea, sales de amonio, etilenemina, cianuros, compuestos de nitrógeno, alcoholes, metales y óxidos de metal, liberando cloro o produciendo mezclas explosivas. Reacciona con metales, sus aleaciones y algunas sales, para producir gas de hidrógeno y oxígeno inflamable. El metal y los catalizadores de óxido de metal descomponen los hipocloritos , lo cual desarrolla oxígeno y frecuentemente causa explosiones. Puede reaccionar explosivamente con compuestos que contengan nitrógeno, o formar cloroaminas, las cuales son explosivas. Mantener alejado de productos químicos y de limpieza que contengan amonio como sales de amonio cuaternario, hidróxido de amonio, ya que genera gases tóxicos y/o mezclas explosivas. Las soluciones alcalinas de hipoclorito pueden reaccionar explosivamente con algunos compuestos clororgánicos. Para mayor información puede referirse a la tabla de incompatibilidad química del Instituto del</w:t>
      </w:r>
      <w:r w:rsidRPr="002C4DB2">
        <w:rPr>
          <w:rFonts w:ascii="Verdana" w:hAnsi="Verdana"/>
          <w:spacing w:val="-3"/>
          <w:sz w:val="20"/>
          <w:szCs w:val="20"/>
        </w:rPr>
        <w:t xml:space="preserve"> </w:t>
      </w:r>
      <w:r w:rsidRPr="002C4DB2">
        <w:rPr>
          <w:rFonts w:ascii="Verdana" w:hAnsi="Verdana"/>
          <w:sz w:val="20"/>
          <w:szCs w:val="20"/>
        </w:rPr>
        <w:t>Cloro.</w:t>
      </w:r>
    </w:p>
    <w:p w:rsidR="00DD0A97" w:rsidRPr="002C4DB2" w:rsidRDefault="00DD0A97">
      <w:pPr>
        <w:pStyle w:val="Textoindependiente"/>
        <w:ind w:left="0"/>
        <w:rPr>
          <w:rFonts w:ascii="Verdana" w:hAnsi="Verdana"/>
          <w:sz w:val="20"/>
          <w:szCs w:val="20"/>
        </w:rPr>
      </w:pPr>
    </w:p>
    <w:p w:rsidR="00DD0A97" w:rsidRPr="002C4DB2" w:rsidRDefault="00075793">
      <w:pPr>
        <w:ind w:left="221"/>
        <w:rPr>
          <w:rFonts w:ascii="Verdana" w:hAnsi="Verdana"/>
          <w:sz w:val="20"/>
          <w:szCs w:val="20"/>
        </w:rPr>
      </w:pPr>
      <w:r w:rsidRPr="002C4DB2">
        <w:rPr>
          <w:rFonts w:ascii="Verdana" w:hAnsi="Verdana"/>
          <w:b/>
          <w:sz w:val="20"/>
          <w:szCs w:val="20"/>
        </w:rPr>
        <w:t xml:space="preserve">Corrosividad para metales: </w:t>
      </w:r>
      <w:r w:rsidRPr="002C4DB2">
        <w:rPr>
          <w:rFonts w:ascii="Verdana" w:hAnsi="Verdana"/>
          <w:sz w:val="20"/>
          <w:szCs w:val="20"/>
        </w:rPr>
        <w:t>Las soluciones son corrosivas a muchos metales como el cobre, niquel, cobalto y hierro.</w:t>
      </w:r>
    </w:p>
    <w:p w:rsidR="00DD0A97" w:rsidRPr="002C4DB2" w:rsidRDefault="00DD0A97">
      <w:pPr>
        <w:pStyle w:val="Textoindependiente"/>
        <w:ind w:left="0"/>
        <w:rPr>
          <w:rFonts w:ascii="Verdana" w:hAnsi="Verdana"/>
          <w:sz w:val="20"/>
          <w:szCs w:val="20"/>
        </w:rPr>
      </w:pPr>
    </w:p>
    <w:p w:rsidR="00DD0A97" w:rsidRPr="002C4DB2" w:rsidRDefault="00075793">
      <w:pPr>
        <w:tabs>
          <w:tab w:val="left" w:pos="1974"/>
          <w:tab w:val="left" w:pos="2875"/>
          <w:tab w:val="left" w:pos="3320"/>
          <w:tab w:val="left" w:pos="4872"/>
          <w:tab w:val="left" w:pos="5239"/>
          <w:tab w:val="left" w:pos="6901"/>
          <w:tab w:val="left" w:pos="7395"/>
        </w:tabs>
        <w:ind w:left="221" w:right="150"/>
        <w:rPr>
          <w:rFonts w:ascii="Verdana" w:hAnsi="Verdana"/>
          <w:sz w:val="20"/>
          <w:szCs w:val="20"/>
        </w:rPr>
      </w:pPr>
      <w:r w:rsidRPr="002C4DB2">
        <w:rPr>
          <w:rFonts w:ascii="Verdana" w:hAnsi="Verdana"/>
          <w:b/>
          <w:sz w:val="20"/>
          <w:szCs w:val="20"/>
        </w:rPr>
        <w:t>Comentarios</w:t>
      </w:r>
      <w:r w:rsidRPr="002C4DB2">
        <w:rPr>
          <w:rFonts w:ascii="Verdana" w:hAnsi="Verdana"/>
          <w:b/>
          <w:sz w:val="20"/>
          <w:szCs w:val="20"/>
        </w:rPr>
        <w:tab/>
        <w:t>sobre</w:t>
      </w:r>
      <w:r w:rsidRPr="002C4DB2">
        <w:rPr>
          <w:rFonts w:ascii="Verdana" w:hAnsi="Verdana"/>
          <w:b/>
          <w:sz w:val="20"/>
          <w:szCs w:val="20"/>
        </w:rPr>
        <w:tab/>
        <w:t>la</w:t>
      </w:r>
      <w:r w:rsidRPr="002C4DB2">
        <w:rPr>
          <w:rFonts w:ascii="Verdana" w:hAnsi="Verdana"/>
          <w:b/>
          <w:sz w:val="20"/>
          <w:szCs w:val="20"/>
        </w:rPr>
        <w:tab/>
        <w:t>estabilidad</w:t>
      </w:r>
      <w:r w:rsidRPr="002C4DB2">
        <w:rPr>
          <w:rFonts w:ascii="Verdana" w:hAnsi="Verdana"/>
          <w:b/>
          <w:sz w:val="20"/>
          <w:szCs w:val="20"/>
        </w:rPr>
        <w:tab/>
        <w:t>y</w:t>
      </w:r>
      <w:r w:rsidRPr="002C4DB2">
        <w:rPr>
          <w:rFonts w:ascii="Verdana" w:hAnsi="Verdana"/>
          <w:b/>
          <w:sz w:val="20"/>
          <w:szCs w:val="20"/>
        </w:rPr>
        <w:tab/>
        <w:t>reactividad:</w:t>
      </w:r>
      <w:r w:rsidRPr="002C4DB2">
        <w:rPr>
          <w:rFonts w:ascii="Verdana" w:hAnsi="Verdana"/>
          <w:b/>
          <w:sz w:val="20"/>
          <w:szCs w:val="20"/>
        </w:rPr>
        <w:tab/>
      </w:r>
      <w:r w:rsidRPr="002C4DB2">
        <w:rPr>
          <w:rFonts w:ascii="Verdana" w:hAnsi="Verdana"/>
          <w:sz w:val="20"/>
          <w:szCs w:val="20"/>
        </w:rPr>
        <w:t>Se</w:t>
      </w:r>
      <w:r w:rsidRPr="002C4DB2">
        <w:rPr>
          <w:rFonts w:ascii="Verdana" w:hAnsi="Verdana"/>
          <w:sz w:val="20"/>
          <w:szCs w:val="20"/>
        </w:rPr>
        <w:tab/>
      </w:r>
      <w:r w:rsidRPr="002C4DB2">
        <w:rPr>
          <w:rFonts w:ascii="Verdana" w:hAnsi="Verdana"/>
          <w:spacing w:val="-1"/>
          <w:sz w:val="20"/>
          <w:szCs w:val="20"/>
        </w:rPr>
        <w:t xml:space="preserve">descompone </w:t>
      </w:r>
      <w:r w:rsidRPr="002C4DB2">
        <w:rPr>
          <w:rFonts w:ascii="Verdana" w:hAnsi="Verdana"/>
          <w:sz w:val="20"/>
          <w:szCs w:val="20"/>
        </w:rPr>
        <w:t>rápidamente por temperatura y/o</w:t>
      </w:r>
      <w:r w:rsidRPr="002C4DB2">
        <w:rPr>
          <w:rFonts w:ascii="Verdana" w:hAnsi="Verdana"/>
          <w:spacing w:val="-3"/>
          <w:sz w:val="20"/>
          <w:szCs w:val="20"/>
        </w:rPr>
        <w:t xml:space="preserve"> </w:t>
      </w:r>
      <w:r w:rsidRPr="002C4DB2">
        <w:rPr>
          <w:rFonts w:ascii="Verdana" w:hAnsi="Verdana"/>
          <w:sz w:val="20"/>
          <w:szCs w:val="20"/>
        </w:rPr>
        <w:t>luz.</w:t>
      </w:r>
    </w:p>
    <w:p w:rsidR="00DD0A97" w:rsidRPr="002C4DB2" w:rsidRDefault="00075793">
      <w:pPr>
        <w:ind w:left="221"/>
        <w:jc w:val="both"/>
        <w:rPr>
          <w:rFonts w:ascii="Verdana" w:hAnsi="Verdana"/>
          <w:sz w:val="20"/>
          <w:szCs w:val="20"/>
        </w:rPr>
      </w:pPr>
      <w:r w:rsidRPr="002C4DB2">
        <w:rPr>
          <w:rFonts w:ascii="Verdana" w:hAnsi="Verdana"/>
          <w:b/>
          <w:sz w:val="20"/>
          <w:szCs w:val="20"/>
        </w:rPr>
        <w:t xml:space="preserve">Polimerización peligrosa: </w:t>
      </w:r>
      <w:r w:rsidRPr="002C4DB2">
        <w:rPr>
          <w:rFonts w:ascii="Verdana" w:hAnsi="Verdana"/>
          <w:sz w:val="20"/>
          <w:szCs w:val="20"/>
        </w:rPr>
        <w:t>No ocurrirá.</w:t>
      </w:r>
    </w:p>
    <w:p w:rsidR="00DD0A97" w:rsidRPr="002C4DB2" w:rsidRDefault="00DD0A97">
      <w:pPr>
        <w:pStyle w:val="Textoindependiente"/>
        <w:ind w:left="0"/>
        <w:rPr>
          <w:rFonts w:ascii="Verdana" w:hAnsi="Verdana"/>
          <w:sz w:val="20"/>
          <w:szCs w:val="20"/>
        </w:rPr>
      </w:pPr>
    </w:p>
    <w:p w:rsidR="00DD0A97" w:rsidRPr="002C4DB2" w:rsidRDefault="00075793" w:rsidP="00F03784">
      <w:pPr>
        <w:pStyle w:val="Ttulo1"/>
        <w:spacing w:before="1"/>
        <w:jc w:val="center"/>
        <w:rPr>
          <w:rFonts w:ascii="Verdana" w:hAnsi="Verdana"/>
          <w:sz w:val="20"/>
          <w:szCs w:val="20"/>
        </w:rPr>
      </w:pPr>
      <w:r w:rsidRPr="002C4DB2">
        <w:rPr>
          <w:rFonts w:ascii="Verdana" w:hAnsi="Verdana"/>
          <w:sz w:val="20"/>
          <w:szCs w:val="20"/>
        </w:rPr>
        <w:t>SECCIÓN 11 – INFORMACIÓN TOXICOLÓGICA</w:t>
      </w:r>
    </w:p>
    <w:p w:rsidR="00F03784" w:rsidRPr="002C4DB2" w:rsidRDefault="00F03784" w:rsidP="00F03784">
      <w:pPr>
        <w:pStyle w:val="Ttulo1"/>
        <w:spacing w:before="1"/>
        <w:jc w:val="center"/>
        <w:rPr>
          <w:rFonts w:ascii="Verdana" w:hAnsi="Verdana"/>
          <w:sz w:val="20"/>
          <w:szCs w:val="20"/>
        </w:rPr>
      </w:pPr>
    </w:p>
    <w:p w:rsidR="00DD0A97" w:rsidRPr="002C4DB2" w:rsidRDefault="00075793">
      <w:pPr>
        <w:spacing w:line="289" w:lineRule="exact"/>
        <w:ind w:left="221"/>
        <w:jc w:val="both"/>
        <w:rPr>
          <w:rFonts w:ascii="Verdana" w:hAnsi="Verdana"/>
          <w:b/>
          <w:sz w:val="20"/>
          <w:szCs w:val="20"/>
        </w:rPr>
      </w:pPr>
      <w:r w:rsidRPr="002C4DB2">
        <w:rPr>
          <w:rFonts w:ascii="Verdana" w:hAnsi="Verdana"/>
          <w:b/>
          <w:sz w:val="20"/>
          <w:szCs w:val="20"/>
        </w:rPr>
        <w:t>Datos Toxicológicos: Hipoclorito de Sodio</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TDLO – Concentración más baja letal publicada oral en mujer 1 g</w:t>
      </w:r>
      <w:r w:rsidRPr="002C4DB2">
        <w:rPr>
          <w:rFonts w:ascii="Verdana" w:hAnsi="Verdana"/>
          <w:spacing w:val="-8"/>
          <w:sz w:val="20"/>
          <w:szCs w:val="20"/>
        </w:rPr>
        <w:t xml:space="preserve"> </w:t>
      </w:r>
      <w:r w:rsidRPr="002C4DB2">
        <w:rPr>
          <w:rFonts w:ascii="Verdana" w:hAnsi="Verdana"/>
          <w:sz w:val="20"/>
          <w:szCs w:val="20"/>
        </w:rPr>
        <w:t>/kg</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TDLO – Intravenoso en Hombre 45</w:t>
      </w:r>
      <w:r w:rsidRPr="002C4DB2">
        <w:rPr>
          <w:rFonts w:ascii="Verdana" w:hAnsi="Verdana"/>
          <w:spacing w:val="-3"/>
          <w:sz w:val="20"/>
          <w:szCs w:val="20"/>
        </w:rPr>
        <w:t xml:space="preserve"> </w:t>
      </w:r>
      <w:r w:rsidRPr="002C4DB2">
        <w:rPr>
          <w:rFonts w:ascii="Verdana" w:hAnsi="Verdana"/>
          <w:sz w:val="20"/>
          <w:szCs w:val="20"/>
        </w:rPr>
        <w:t>mg/kg</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LD50 – Oral en rata 8910</w:t>
      </w:r>
      <w:r w:rsidRPr="002C4DB2">
        <w:rPr>
          <w:rFonts w:ascii="Verdana" w:hAnsi="Verdana"/>
          <w:spacing w:val="-1"/>
          <w:sz w:val="20"/>
          <w:szCs w:val="20"/>
        </w:rPr>
        <w:t xml:space="preserve"> </w:t>
      </w:r>
      <w:r w:rsidRPr="002C4DB2">
        <w:rPr>
          <w:rFonts w:ascii="Verdana" w:hAnsi="Verdana"/>
          <w:sz w:val="20"/>
          <w:szCs w:val="20"/>
        </w:rPr>
        <w:t>mg/kg</w:t>
      </w:r>
    </w:p>
    <w:p w:rsidR="00DD0A97" w:rsidRPr="002C4DB2" w:rsidRDefault="00075793">
      <w:pPr>
        <w:pStyle w:val="Prrafodelista"/>
        <w:numPr>
          <w:ilvl w:val="0"/>
          <w:numId w:val="3"/>
        </w:numPr>
        <w:tabs>
          <w:tab w:val="left" w:pos="407"/>
        </w:tabs>
        <w:spacing w:before="1"/>
        <w:ind w:left="406" w:hanging="185"/>
        <w:jc w:val="both"/>
        <w:rPr>
          <w:rFonts w:ascii="Verdana" w:hAnsi="Verdana"/>
          <w:sz w:val="20"/>
          <w:szCs w:val="20"/>
        </w:rPr>
      </w:pPr>
      <w:r w:rsidRPr="002C4DB2">
        <w:rPr>
          <w:rFonts w:ascii="Verdana" w:hAnsi="Verdana"/>
          <w:sz w:val="20"/>
          <w:szCs w:val="20"/>
        </w:rPr>
        <w:t>LD50 – Oral en ratón 5800</w:t>
      </w:r>
      <w:r w:rsidRPr="002C4DB2">
        <w:rPr>
          <w:rFonts w:ascii="Verdana" w:hAnsi="Verdana"/>
          <w:spacing w:val="1"/>
          <w:sz w:val="20"/>
          <w:szCs w:val="20"/>
        </w:rPr>
        <w:t xml:space="preserve"> </w:t>
      </w:r>
      <w:r w:rsidRPr="002C4DB2">
        <w:rPr>
          <w:rFonts w:ascii="Verdana" w:hAnsi="Verdana"/>
          <w:sz w:val="20"/>
          <w:szCs w:val="20"/>
        </w:rPr>
        <w:t>mg/kg</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LD50 – Dermal en rata 2000 mg/kg</w:t>
      </w:r>
    </w:p>
    <w:p w:rsidR="00DD0A97" w:rsidRPr="002C4DB2" w:rsidRDefault="00075793">
      <w:pPr>
        <w:pStyle w:val="Prrafodelista"/>
        <w:numPr>
          <w:ilvl w:val="0"/>
          <w:numId w:val="3"/>
        </w:numPr>
        <w:tabs>
          <w:tab w:val="left" w:pos="407"/>
        </w:tabs>
        <w:spacing w:line="240" w:lineRule="auto"/>
        <w:ind w:right="4498" w:firstLine="0"/>
        <w:rPr>
          <w:rFonts w:ascii="Verdana" w:hAnsi="Verdana"/>
          <w:sz w:val="20"/>
          <w:szCs w:val="20"/>
        </w:rPr>
      </w:pPr>
      <w:r w:rsidRPr="002C4DB2">
        <w:rPr>
          <w:rFonts w:ascii="Verdana" w:hAnsi="Verdana"/>
          <w:sz w:val="20"/>
          <w:szCs w:val="20"/>
        </w:rPr>
        <w:t>LC50 – Rata &gt;10500 mg/m3 (1 hora) Información sobre</w:t>
      </w:r>
      <w:r w:rsidRPr="002C4DB2">
        <w:rPr>
          <w:rFonts w:ascii="Verdana" w:hAnsi="Verdana"/>
          <w:spacing w:val="-2"/>
          <w:sz w:val="20"/>
          <w:szCs w:val="20"/>
        </w:rPr>
        <w:t xml:space="preserve"> </w:t>
      </w:r>
      <w:r w:rsidRPr="002C4DB2">
        <w:rPr>
          <w:rFonts w:ascii="Verdana" w:hAnsi="Verdana"/>
          <w:sz w:val="20"/>
          <w:szCs w:val="20"/>
        </w:rPr>
        <w:t>irritación:</w:t>
      </w:r>
    </w:p>
    <w:p w:rsidR="00DD0A97" w:rsidRPr="002C4DB2" w:rsidRDefault="00075793">
      <w:pPr>
        <w:pStyle w:val="Prrafodelista"/>
        <w:numPr>
          <w:ilvl w:val="0"/>
          <w:numId w:val="3"/>
        </w:numPr>
        <w:tabs>
          <w:tab w:val="left" w:pos="408"/>
        </w:tabs>
        <w:spacing w:line="240" w:lineRule="auto"/>
        <w:ind w:right="148" w:firstLine="0"/>
        <w:jc w:val="both"/>
        <w:rPr>
          <w:rFonts w:ascii="Verdana" w:hAnsi="Verdana"/>
          <w:sz w:val="20"/>
          <w:szCs w:val="20"/>
        </w:rPr>
      </w:pPr>
      <w:r w:rsidRPr="002C4DB2">
        <w:rPr>
          <w:rFonts w:ascii="Verdana" w:hAnsi="Verdana"/>
          <w:sz w:val="20"/>
          <w:szCs w:val="20"/>
        </w:rPr>
        <w:t>Ojos: Una gota de una solución al 15% (pH 11.2) causa un inmediato y fuerte dolor. Si no es rápidamente lavado con agua, causa sangrado, irritación e inflamación del tejido blando (conjuntiva) y daño con inflamación de la cornea. En algunas oportunidades después de dos o tres semanas se presenta curación con una leve (o no presente) cicatrización de la cornea. En los ojos de un conejo una solución al 12% causo daños</w:t>
      </w:r>
      <w:r w:rsidRPr="002C4DB2">
        <w:rPr>
          <w:rFonts w:ascii="Verdana" w:hAnsi="Verdana"/>
          <w:spacing w:val="-4"/>
          <w:sz w:val="20"/>
          <w:szCs w:val="20"/>
        </w:rPr>
        <w:t xml:space="preserve"> </w:t>
      </w:r>
      <w:r w:rsidRPr="002C4DB2">
        <w:rPr>
          <w:rFonts w:ascii="Verdana" w:hAnsi="Verdana"/>
          <w:sz w:val="20"/>
          <w:szCs w:val="20"/>
        </w:rPr>
        <w:t>total</w:t>
      </w:r>
    </w:p>
    <w:p w:rsidR="00DD0A97" w:rsidRPr="002C4DB2" w:rsidRDefault="00075793">
      <w:pPr>
        <w:pStyle w:val="Prrafodelista"/>
        <w:numPr>
          <w:ilvl w:val="0"/>
          <w:numId w:val="3"/>
        </w:numPr>
        <w:tabs>
          <w:tab w:val="left" w:pos="440"/>
        </w:tabs>
        <w:spacing w:before="1" w:line="240" w:lineRule="auto"/>
        <w:ind w:right="149" w:firstLine="0"/>
        <w:rPr>
          <w:rFonts w:ascii="Verdana" w:hAnsi="Verdana"/>
          <w:sz w:val="20"/>
          <w:szCs w:val="20"/>
        </w:rPr>
      </w:pPr>
      <w:r w:rsidRPr="002C4DB2">
        <w:rPr>
          <w:rFonts w:ascii="Verdana" w:hAnsi="Verdana"/>
          <w:sz w:val="20"/>
          <w:szCs w:val="20"/>
        </w:rPr>
        <w:t>Piel: Una solución al 3.5% de Hipoclorito de Sodio aplicado a la piel de un conejo por 15 a 30 min causó daños severos al a</w:t>
      </w:r>
      <w:r w:rsidRPr="002C4DB2">
        <w:rPr>
          <w:rFonts w:ascii="Verdana" w:hAnsi="Verdana"/>
          <w:spacing w:val="-7"/>
          <w:sz w:val="20"/>
          <w:szCs w:val="20"/>
        </w:rPr>
        <w:t xml:space="preserve"> </w:t>
      </w:r>
      <w:r w:rsidRPr="002C4DB2">
        <w:rPr>
          <w:rFonts w:ascii="Verdana" w:hAnsi="Verdana"/>
          <w:sz w:val="20"/>
          <w:szCs w:val="20"/>
        </w:rPr>
        <w:t>piel.</w:t>
      </w:r>
    </w:p>
    <w:p w:rsidR="00DD0A97" w:rsidRPr="002C4DB2" w:rsidRDefault="00075793">
      <w:pPr>
        <w:pStyle w:val="Textoindependiente"/>
        <w:ind w:right="146"/>
        <w:rPr>
          <w:rFonts w:ascii="Verdana" w:hAnsi="Verdana"/>
          <w:sz w:val="20"/>
          <w:szCs w:val="20"/>
        </w:rPr>
      </w:pPr>
      <w:r w:rsidRPr="002C4DB2">
        <w:rPr>
          <w:rFonts w:ascii="Verdana" w:hAnsi="Verdana"/>
          <w:b/>
          <w:sz w:val="20"/>
          <w:szCs w:val="20"/>
        </w:rPr>
        <w:t xml:space="preserve">Mutagenicidad: </w:t>
      </w:r>
      <w:r w:rsidRPr="002C4DB2">
        <w:rPr>
          <w:rFonts w:ascii="Verdana" w:hAnsi="Verdana"/>
          <w:sz w:val="20"/>
          <w:szCs w:val="20"/>
        </w:rPr>
        <w:t>El Hipoclorito de Sodio provocó mutaciones en varios estudios de corto plazo donde se usaron bacterias cultivadas y células de mamífero. Las</w:t>
      </w:r>
    </w:p>
    <w:p w:rsidR="00DD0A97" w:rsidRPr="002C4DB2" w:rsidRDefault="00DD0A97">
      <w:pPr>
        <w:rPr>
          <w:rFonts w:ascii="Verdana" w:hAnsi="Verdana"/>
          <w:sz w:val="20"/>
          <w:szCs w:val="20"/>
        </w:rPr>
        <w:sectPr w:rsidR="00DD0A97" w:rsidRPr="002C4DB2">
          <w:pgSz w:w="11900" w:h="16840"/>
          <w:pgMar w:top="1700" w:right="1540" w:bottom="280" w:left="1480" w:header="404" w:footer="0" w:gutter="0"/>
          <w:cols w:space="720"/>
        </w:sectPr>
      </w:pPr>
    </w:p>
    <w:p w:rsidR="00DD0A97" w:rsidRPr="002C4DB2" w:rsidRDefault="00DD0A97">
      <w:pPr>
        <w:pStyle w:val="Textoindependiente"/>
        <w:ind w:left="0"/>
        <w:rPr>
          <w:rFonts w:ascii="Verdana" w:hAnsi="Verdana"/>
          <w:sz w:val="20"/>
          <w:szCs w:val="20"/>
        </w:rPr>
      </w:pPr>
    </w:p>
    <w:p w:rsidR="00DD0A97" w:rsidRPr="002C4DB2" w:rsidRDefault="00DD0A97">
      <w:pPr>
        <w:pStyle w:val="Textoindependiente"/>
        <w:spacing w:before="6"/>
        <w:ind w:left="0"/>
        <w:rPr>
          <w:rFonts w:ascii="Verdana" w:hAnsi="Verdana"/>
          <w:sz w:val="20"/>
          <w:szCs w:val="20"/>
        </w:rPr>
      </w:pPr>
    </w:p>
    <w:p w:rsidR="00DD0A97" w:rsidRPr="002C4DB2" w:rsidRDefault="00075793">
      <w:pPr>
        <w:pStyle w:val="Textoindependiente"/>
        <w:spacing w:before="100"/>
        <w:rPr>
          <w:rFonts w:ascii="Verdana" w:hAnsi="Verdana"/>
          <w:sz w:val="20"/>
          <w:szCs w:val="20"/>
        </w:rPr>
      </w:pPr>
      <w:r w:rsidRPr="002C4DB2">
        <w:rPr>
          <w:rFonts w:ascii="Verdana" w:hAnsi="Verdana"/>
          <w:sz w:val="20"/>
          <w:szCs w:val="20"/>
        </w:rPr>
        <w:t>conclusiones de estas pruebas no fueron claras. No resultó mutagénico en pruebas (aberración cromosómica o del micronúcleo) con animales vivos.</w:t>
      </w:r>
    </w:p>
    <w:p w:rsidR="00DD0A97" w:rsidRPr="002C4DB2" w:rsidRDefault="00075793">
      <w:pPr>
        <w:pStyle w:val="Textoindependiente"/>
        <w:ind w:right="148"/>
        <w:jc w:val="both"/>
        <w:rPr>
          <w:rFonts w:ascii="Verdana" w:hAnsi="Verdana"/>
          <w:sz w:val="20"/>
          <w:szCs w:val="20"/>
        </w:rPr>
      </w:pPr>
      <w:r w:rsidRPr="002C4DB2">
        <w:rPr>
          <w:rFonts w:ascii="Verdana" w:hAnsi="Verdana"/>
          <w:b/>
          <w:sz w:val="20"/>
          <w:szCs w:val="20"/>
        </w:rPr>
        <w:t xml:space="preserve">Efectos reproductivos: </w:t>
      </w:r>
      <w:r w:rsidRPr="002C4DB2">
        <w:rPr>
          <w:rFonts w:ascii="Verdana" w:hAnsi="Verdana"/>
          <w:sz w:val="20"/>
          <w:szCs w:val="20"/>
        </w:rPr>
        <w:t>Altas dosis de Hipoclorito de sodio en el agua suministrada causa una pequeño pero significativo aumento anormal en el esperma de los ratones .</w:t>
      </w:r>
    </w:p>
    <w:p w:rsidR="00DD0A97" w:rsidRPr="002C4DB2" w:rsidRDefault="00075793">
      <w:pPr>
        <w:spacing w:line="289" w:lineRule="exact"/>
        <w:ind w:left="221"/>
        <w:rPr>
          <w:rFonts w:ascii="Verdana" w:hAnsi="Verdana"/>
          <w:sz w:val="20"/>
          <w:szCs w:val="20"/>
        </w:rPr>
      </w:pPr>
      <w:r w:rsidRPr="002C4DB2">
        <w:rPr>
          <w:rFonts w:ascii="Verdana" w:hAnsi="Verdana"/>
          <w:b/>
          <w:sz w:val="20"/>
          <w:szCs w:val="20"/>
        </w:rPr>
        <w:t xml:space="preserve">Teratogenicidad y Fetotoxicidad: </w:t>
      </w:r>
      <w:r w:rsidRPr="002C4DB2">
        <w:rPr>
          <w:rFonts w:ascii="Verdana" w:hAnsi="Verdana"/>
          <w:sz w:val="20"/>
          <w:szCs w:val="20"/>
        </w:rPr>
        <w:t>No existe evidencia disponible.</w:t>
      </w:r>
    </w:p>
    <w:p w:rsidR="00DD0A97" w:rsidRPr="002C4DB2" w:rsidRDefault="00075793">
      <w:pPr>
        <w:spacing w:line="289" w:lineRule="exact"/>
        <w:ind w:left="221"/>
        <w:rPr>
          <w:rFonts w:ascii="Verdana" w:hAnsi="Verdana"/>
          <w:sz w:val="20"/>
          <w:szCs w:val="20"/>
        </w:rPr>
      </w:pPr>
      <w:r w:rsidRPr="002C4DB2">
        <w:rPr>
          <w:rFonts w:ascii="Verdana" w:hAnsi="Verdana"/>
          <w:b/>
          <w:sz w:val="20"/>
          <w:szCs w:val="20"/>
        </w:rPr>
        <w:t xml:space="preserve">Materiales sinérgicos: </w:t>
      </w:r>
      <w:r w:rsidRPr="002C4DB2">
        <w:rPr>
          <w:rFonts w:ascii="Verdana" w:hAnsi="Verdana"/>
          <w:sz w:val="20"/>
          <w:szCs w:val="20"/>
        </w:rPr>
        <w:t>No hay información disponible</w:t>
      </w:r>
    </w:p>
    <w:p w:rsidR="00DD0A97" w:rsidRPr="002C4DB2" w:rsidRDefault="00075793">
      <w:pPr>
        <w:spacing w:before="1"/>
        <w:ind w:left="221" w:right="150"/>
        <w:rPr>
          <w:rFonts w:ascii="Verdana" w:hAnsi="Verdana"/>
          <w:sz w:val="20"/>
          <w:szCs w:val="20"/>
        </w:rPr>
      </w:pPr>
      <w:r w:rsidRPr="002C4DB2">
        <w:rPr>
          <w:rFonts w:ascii="Verdana" w:hAnsi="Verdana"/>
          <w:b/>
          <w:sz w:val="20"/>
          <w:szCs w:val="20"/>
        </w:rPr>
        <w:t xml:space="preserve">Sensibilización cutánea y respiratoria: </w:t>
      </w:r>
      <w:r w:rsidRPr="002C4DB2">
        <w:rPr>
          <w:rFonts w:ascii="Verdana" w:hAnsi="Verdana"/>
          <w:sz w:val="20"/>
          <w:szCs w:val="20"/>
        </w:rPr>
        <w:t>Cerdo de Guinea, no sensibilizante en piel.</w:t>
      </w:r>
    </w:p>
    <w:p w:rsidR="00DD0A97" w:rsidRPr="002C4DB2" w:rsidRDefault="00075793">
      <w:pPr>
        <w:spacing w:line="289" w:lineRule="exact"/>
        <w:ind w:left="221"/>
        <w:rPr>
          <w:rFonts w:ascii="Verdana" w:hAnsi="Verdana"/>
          <w:sz w:val="20"/>
          <w:szCs w:val="20"/>
        </w:rPr>
      </w:pPr>
      <w:r w:rsidRPr="002C4DB2">
        <w:rPr>
          <w:rFonts w:ascii="Verdana" w:hAnsi="Verdana"/>
          <w:b/>
          <w:sz w:val="20"/>
          <w:szCs w:val="20"/>
        </w:rPr>
        <w:t xml:space="preserve">Irritación: </w:t>
      </w:r>
      <w:r w:rsidRPr="002C4DB2">
        <w:rPr>
          <w:rFonts w:ascii="Verdana" w:hAnsi="Verdana"/>
          <w:sz w:val="20"/>
          <w:szCs w:val="20"/>
        </w:rPr>
        <w:t>EXTREMADAMENTE IRRITANTE para piel y ojos.</w:t>
      </w:r>
    </w:p>
    <w:p w:rsidR="00DD0A97" w:rsidRPr="002C4DB2" w:rsidRDefault="00075793">
      <w:pPr>
        <w:pStyle w:val="Textoindependiente"/>
        <w:rPr>
          <w:rFonts w:ascii="Verdana" w:hAnsi="Verdana"/>
          <w:sz w:val="20"/>
          <w:szCs w:val="20"/>
        </w:rPr>
      </w:pPr>
      <w:r w:rsidRPr="002C4DB2">
        <w:rPr>
          <w:rFonts w:ascii="Verdana" w:hAnsi="Verdana"/>
          <w:sz w:val="20"/>
          <w:szCs w:val="20"/>
        </w:rPr>
        <w:t>Para más información toxicológica refiérase a la Sección 3 y para Hidróxido de Sodio a la Hoja de Seguridad.</w:t>
      </w:r>
    </w:p>
    <w:p w:rsidR="00DD0A97" w:rsidRPr="002C4DB2" w:rsidRDefault="00DD0A97">
      <w:pPr>
        <w:pStyle w:val="Textoindependiente"/>
        <w:spacing w:before="12"/>
        <w:ind w:left="0"/>
        <w:rPr>
          <w:rFonts w:ascii="Verdana" w:hAnsi="Verdana"/>
          <w:sz w:val="20"/>
          <w:szCs w:val="20"/>
        </w:rPr>
      </w:pPr>
    </w:p>
    <w:p w:rsidR="00DD0A97" w:rsidRPr="002C4DB2" w:rsidRDefault="00075793" w:rsidP="00F03784">
      <w:pPr>
        <w:pStyle w:val="Ttulo1"/>
        <w:spacing w:line="240" w:lineRule="auto"/>
        <w:jc w:val="center"/>
        <w:rPr>
          <w:rFonts w:ascii="Verdana" w:hAnsi="Verdana"/>
          <w:sz w:val="20"/>
          <w:szCs w:val="20"/>
        </w:rPr>
      </w:pPr>
      <w:r w:rsidRPr="002C4DB2">
        <w:rPr>
          <w:rFonts w:ascii="Verdana" w:hAnsi="Verdana"/>
          <w:sz w:val="20"/>
          <w:szCs w:val="20"/>
        </w:rPr>
        <w:t>SECCIÓN 12 – INFORMACIÓN ECOLÓGICA</w:t>
      </w:r>
    </w:p>
    <w:p w:rsidR="00F03784" w:rsidRPr="002C4DB2" w:rsidRDefault="00F03784">
      <w:pPr>
        <w:pStyle w:val="Ttulo1"/>
        <w:spacing w:line="240" w:lineRule="auto"/>
        <w:rPr>
          <w:rFonts w:ascii="Verdana" w:hAnsi="Verdana"/>
          <w:sz w:val="20"/>
          <w:szCs w:val="20"/>
        </w:rPr>
      </w:pPr>
    </w:p>
    <w:p w:rsidR="00DD0A97" w:rsidRPr="002C4DB2" w:rsidRDefault="00075793">
      <w:pPr>
        <w:ind w:left="221" w:right="532"/>
        <w:rPr>
          <w:rFonts w:ascii="Verdana" w:hAnsi="Verdana"/>
          <w:sz w:val="20"/>
          <w:szCs w:val="20"/>
        </w:rPr>
      </w:pPr>
      <w:r w:rsidRPr="002C4DB2">
        <w:rPr>
          <w:rFonts w:ascii="Verdana" w:hAnsi="Verdana"/>
          <w:b/>
          <w:sz w:val="20"/>
          <w:szCs w:val="20"/>
        </w:rPr>
        <w:t xml:space="preserve">Información Ecotoxicológica: </w:t>
      </w:r>
      <w:r w:rsidRPr="002C4DB2">
        <w:rPr>
          <w:rFonts w:ascii="Verdana" w:hAnsi="Verdana"/>
          <w:sz w:val="20"/>
          <w:szCs w:val="20"/>
        </w:rPr>
        <w:t>Tóxico para peces y organismos acuáticos. Toxicidad en pescados:</w:t>
      </w:r>
    </w:p>
    <w:p w:rsidR="00DD0A97" w:rsidRPr="002C4DB2" w:rsidRDefault="00075793">
      <w:pPr>
        <w:pStyle w:val="Prrafodelista"/>
        <w:numPr>
          <w:ilvl w:val="0"/>
          <w:numId w:val="3"/>
        </w:numPr>
        <w:tabs>
          <w:tab w:val="left" w:pos="406"/>
        </w:tabs>
        <w:ind w:left="405" w:hanging="184"/>
        <w:rPr>
          <w:rFonts w:ascii="Verdana" w:hAnsi="Verdana"/>
          <w:sz w:val="20"/>
          <w:szCs w:val="20"/>
        </w:rPr>
      </w:pPr>
      <w:r w:rsidRPr="002C4DB2">
        <w:rPr>
          <w:rFonts w:ascii="Verdana" w:hAnsi="Verdana"/>
          <w:sz w:val="20"/>
          <w:szCs w:val="20"/>
        </w:rPr>
        <w:t>LC50 (48 h) trucha arcoiris 0.07</w:t>
      </w:r>
      <w:r w:rsidRPr="002C4DB2">
        <w:rPr>
          <w:rFonts w:ascii="Verdana" w:hAnsi="Verdana"/>
          <w:spacing w:val="-4"/>
          <w:sz w:val="20"/>
          <w:szCs w:val="20"/>
        </w:rPr>
        <w:t xml:space="preserve"> </w:t>
      </w:r>
      <w:r w:rsidRPr="002C4DB2">
        <w:rPr>
          <w:rFonts w:ascii="Verdana" w:hAnsi="Verdana"/>
          <w:sz w:val="20"/>
          <w:szCs w:val="20"/>
        </w:rPr>
        <w:t>mg/l</w:t>
      </w:r>
    </w:p>
    <w:p w:rsidR="00DD0A97" w:rsidRPr="002C4DB2" w:rsidRDefault="00075793">
      <w:pPr>
        <w:pStyle w:val="Prrafodelista"/>
        <w:numPr>
          <w:ilvl w:val="0"/>
          <w:numId w:val="3"/>
        </w:numPr>
        <w:tabs>
          <w:tab w:val="left" w:pos="406"/>
        </w:tabs>
        <w:spacing w:before="1" w:line="240" w:lineRule="auto"/>
        <w:ind w:right="3619" w:firstLine="0"/>
        <w:rPr>
          <w:rFonts w:ascii="Verdana" w:hAnsi="Verdana"/>
          <w:sz w:val="20"/>
          <w:szCs w:val="20"/>
        </w:rPr>
      </w:pPr>
      <w:r w:rsidRPr="002C4DB2">
        <w:rPr>
          <w:rFonts w:ascii="Verdana" w:hAnsi="Verdana"/>
          <w:sz w:val="20"/>
          <w:szCs w:val="20"/>
        </w:rPr>
        <w:t>LC50 (96 h) Ciprino de cabeza gorda 5.9 mg/l Toxicidad en invertebrados y</w:t>
      </w:r>
      <w:r w:rsidRPr="002C4DB2">
        <w:rPr>
          <w:rFonts w:ascii="Verdana" w:hAnsi="Verdana"/>
          <w:spacing w:val="-2"/>
          <w:sz w:val="20"/>
          <w:szCs w:val="20"/>
        </w:rPr>
        <w:t xml:space="preserve"> </w:t>
      </w:r>
      <w:r w:rsidRPr="002C4DB2">
        <w:rPr>
          <w:rFonts w:ascii="Verdana" w:hAnsi="Verdana"/>
          <w:sz w:val="20"/>
          <w:szCs w:val="20"/>
        </w:rPr>
        <w:t>microbios</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LOEC Oncorhynchus kisutch 0.02</w:t>
      </w:r>
      <w:r w:rsidRPr="002C4DB2">
        <w:rPr>
          <w:rFonts w:ascii="Verdana" w:hAnsi="Verdana"/>
          <w:spacing w:val="-1"/>
          <w:sz w:val="20"/>
          <w:szCs w:val="20"/>
        </w:rPr>
        <w:t xml:space="preserve"> </w:t>
      </w:r>
      <w:r w:rsidRPr="002C4DB2">
        <w:rPr>
          <w:rFonts w:ascii="Verdana" w:hAnsi="Verdana"/>
          <w:sz w:val="20"/>
          <w:szCs w:val="20"/>
        </w:rPr>
        <w:t>mg/l</w:t>
      </w:r>
    </w:p>
    <w:p w:rsidR="00DD0A97" w:rsidRPr="002C4DB2" w:rsidRDefault="00075793">
      <w:pPr>
        <w:pStyle w:val="Prrafodelista"/>
        <w:numPr>
          <w:ilvl w:val="0"/>
          <w:numId w:val="3"/>
        </w:numPr>
        <w:tabs>
          <w:tab w:val="left" w:pos="407"/>
        </w:tabs>
        <w:ind w:left="406" w:hanging="185"/>
        <w:jc w:val="both"/>
        <w:rPr>
          <w:rFonts w:ascii="Verdana" w:hAnsi="Verdana"/>
          <w:sz w:val="20"/>
          <w:szCs w:val="20"/>
        </w:rPr>
      </w:pPr>
      <w:r w:rsidRPr="002C4DB2">
        <w:rPr>
          <w:rFonts w:ascii="Verdana" w:hAnsi="Verdana"/>
          <w:sz w:val="20"/>
          <w:szCs w:val="20"/>
        </w:rPr>
        <w:t>EC50 Varias especies de crustáceos 5µg/l en 48</w:t>
      </w:r>
      <w:r w:rsidRPr="002C4DB2">
        <w:rPr>
          <w:rFonts w:ascii="Verdana" w:hAnsi="Verdana"/>
          <w:spacing w:val="-2"/>
          <w:sz w:val="20"/>
          <w:szCs w:val="20"/>
        </w:rPr>
        <w:t xml:space="preserve"> </w:t>
      </w:r>
      <w:r w:rsidRPr="002C4DB2">
        <w:rPr>
          <w:rFonts w:ascii="Verdana" w:hAnsi="Verdana"/>
          <w:sz w:val="20"/>
          <w:szCs w:val="20"/>
        </w:rPr>
        <w:t>h</w:t>
      </w:r>
    </w:p>
    <w:p w:rsidR="00DD0A97" w:rsidRPr="002C4DB2" w:rsidRDefault="00075793">
      <w:pPr>
        <w:pStyle w:val="Prrafodelista"/>
        <w:numPr>
          <w:ilvl w:val="0"/>
          <w:numId w:val="3"/>
        </w:numPr>
        <w:tabs>
          <w:tab w:val="left" w:pos="407"/>
        </w:tabs>
        <w:spacing w:before="1"/>
        <w:ind w:left="406" w:hanging="185"/>
        <w:jc w:val="both"/>
        <w:rPr>
          <w:rFonts w:ascii="Verdana" w:hAnsi="Verdana"/>
          <w:sz w:val="20"/>
          <w:szCs w:val="20"/>
        </w:rPr>
      </w:pPr>
      <w:r w:rsidRPr="002C4DB2">
        <w:rPr>
          <w:rFonts w:ascii="Verdana" w:hAnsi="Verdana"/>
          <w:sz w:val="20"/>
          <w:szCs w:val="20"/>
        </w:rPr>
        <w:t>EC50 Varias especies de algas 0.2 mg/l en 20</w:t>
      </w:r>
      <w:r w:rsidRPr="002C4DB2">
        <w:rPr>
          <w:rFonts w:ascii="Verdana" w:hAnsi="Verdana"/>
          <w:spacing w:val="-4"/>
          <w:sz w:val="20"/>
          <w:szCs w:val="20"/>
        </w:rPr>
        <w:t xml:space="preserve"> </w:t>
      </w:r>
      <w:r w:rsidRPr="002C4DB2">
        <w:rPr>
          <w:rFonts w:ascii="Verdana" w:hAnsi="Verdana"/>
          <w:sz w:val="20"/>
          <w:szCs w:val="20"/>
        </w:rPr>
        <w:t>h</w:t>
      </w:r>
    </w:p>
    <w:p w:rsidR="00DD0A97" w:rsidRPr="002C4DB2" w:rsidRDefault="00075793">
      <w:pPr>
        <w:spacing w:line="289" w:lineRule="exact"/>
        <w:ind w:left="221"/>
        <w:jc w:val="both"/>
        <w:rPr>
          <w:rFonts w:ascii="Verdana" w:hAnsi="Verdana"/>
          <w:sz w:val="20"/>
          <w:szCs w:val="20"/>
        </w:rPr>
      </w:pPr>
      <w:r w:rsidRPr="002C4DB2">
        <w:rPr>
          <w:rFonts w:ascii="Verdana" w:hAnsi="Verdana"/>
          <w:b/>
          <w:sz w:val="20"/>
          <w:szCs w:val="20"/>
        </w:rPr>
        <w:t xml:space="preserve">Persistencia y degradación: </w:t>
      </w:r>
      <w:r w:rsidRPr="002C4DB2">
        <w:rPr>
          <w:rFonts w:ascii="Verdana" w:hAnsi="Verdana"/>
          <w:sz w:val="20"/>
          <w:szCs w:val="20"/>
        </w:rPr>
        <w:t>No hay información disponible.</w:t>
      </w:r>
    </w:p>
    <w:p w:rsidR="00DD0A97" w:rsidRPr="002C4DB2" w:rsidRDefault="00DD0A97">
      <w:pPr>
        <w:pStyle w:val="Textoindependiente"/>
        <w:ind w:left="0"/>
        <w:rPr>
          <w:rFonts w:ascii="Verdana" w:hAnsi="Verdana"/>
          <w:sz w:val="20"/>
          <w:szCs w:val="20"/>
        </w:rPr>
      </w:pPr>
    </w:p>
    <w:p w:rsidR="00DD0A97" w:rsidRPr="002C4DB2" w:rsidRDefault="00075793" w:rsidP="00F03784">
      <w:pPr>
        <w:pStyle w:val="Ttulo1"/>
        <w:jc w:val="center"/>
        <w:rPr>
          <w:rFonts w:ascii="Verdana" w:hAnsi="Verdana"/>
          <w:sz w:val="20"/>
          <w:szCs w:val="20"/>
        </w:rPr>
      </w:pPr>
      <w:r w:rsidRPr="002C4DB2">
        <w:rPr>
          <w:rFonts w:ascii="Verdana" w:hAnsi="Verdana"/>
          <w:sz w:val="20"/>
          <w:szCs w:val="20"/>
        </w:rPr>
        <w:t>SECCIÓN 13 – INFORMACIÓN DE ELIMINACIÓN</w:t>
      </w:r>
    </w:p>
    <w:p w:rsidR="00F03784" w:rsidRPr="002C4DB2" w:rsidRDefault="00F03784">
      <w:pPr>
        <w:pStyle w:val="Ttulo1"/>
        <w:jc w:val="both"/>
        <w:rPr>
          <w:rFonts w:ascii="Verdana" w:hAnsi="Verdana"/>
          <w:sz w:val="20"/>
          <w:szCs w:val="20"/>
        </w:rPr>
      </w:pPr>
    </w:p>
    <w:p w:rsidR="00DD0A97" w:rsidRPr="002C4DB2" w:rsidRDefault="00075793">
      <w:pPr>
        <w:pStyle w:val="Textoindependiente"/>
        <w:rPr>
          <w:rFonts w:ascii="Verdana" w:hAnsi="Verdana"/>
          <w:sz w:val="20"/>
          <w:szCs w:val="20"/>
        </w:rPr>
      </w:pPr>
      <w:r w:rsidRPr="002C4DB2">
        <w:rPr>
          <w:rFonts w:ascii="Verdana" w:hAnsi="Verdana"/>
          <w:sz w:val="20"/>
          <w:szCs w:val="20"/>
        </w:rPr>
        <w:t>Se recomienda la revisión de la legislación vigente, tanto nacional como internacional, antes de su disposición final.</w:t>
      </w:r>
    </w:p>
    <w:p w:rsidR="00DD0A97" w:rsidRPr="002C4DB2" w:rsidRDefault="00075793">
      <w:pPr>
        <w:pStyle w:val="Textoindependiente"/>
        <w:ind w:right="182"/>
        <w:rPr>
          <w:rFonts w:ascii="Verdana" w:hAnsi="Verdana"/>
          <w:sz w:val="20"/>
          <w:szCs w:val="20"/>
        </w:rPr>
      </w:pPr>
      <w:r w:rsidRPr="002C4DB2">
        <w:rPr>
          <w:rFonts w:ascii="Verdana" w:hAnsi="Verdana"/>
          <w:sz w:val="20"/>
          <w:szCs w:val="20"/>
        </w:rPr>
        <w:t>No disponga de los desechos con la basura normal, ni en los sistemas de drenaje o alcantarillado.</w:t>
      </w:r>
    </w:p>
    <w:p w:rsidR="00DD0A97" w:rsidRPr="002C4DB2" w:rsidRDefault="00075793">
      <w:pPr>
        <w:pStyle w:val="Textoindependiente"/>
        <w:spacing w:before="1"/>
        <w:ind w:right="147"/>
        <w:jc w:val="both"/>
        <w:rPr>
          <w:rFonts w:ascii="Verdana" w:hAnsi="Verdana"/>
          <w:sz w:val="20"/>
          <w:szCs w:val="20"/>
        </w:rPr>
      </w:pPr>
      <w:r w:rsidRPr="002C4DB2">
        <w:rPr>
          <w:rFonts w:ascii="Verdana" w:hAnsi="Verdana"/>
          <w:sz w:val="20"/>
          <w:szCs w:val="20"/>
        </w:rPr>
        <w:t>Lo que no se pueda recuperar para reproceso o reciclaje, incluyendo los recipientes de almacenamiento, deben manejarse por personal capacitado en instalaciones para tal fin, adecuadas y aprobadas para la disposición de desechos. El procesamiento, uso, o contaminación de este producto puede cambiar las opciones de manejo de desechos.</w:t>
      </w:r>
    </w:p>
    <w:p w:rsidR="00DD0A97" w:rsidRPr="002C4DB2" w:rsidRDefault="00075793">
      <w:pPr>
        <w:pStyle w:val="Textoindependiente"/>
        <w:ind w:right="150"/>
        <w:rPr>
          <w:rFonts w:ascii="Verdana" w:hAnsi="Verdana"/>
          <w:sz w:val="20"/>
          <w:szCs w:val="20"/>
        </w:rPr>
      </w:pPr>
      <w:r w:rsidRPr="002C4DB2">
        <w:rPr>
          <w:rFonts w:ascii="Verdana" w:hAnsi="Verdana"/>
          <w:b/>
          <w:sz w:val="20"/>
          <w:szCs w:val="20"/>
        </w:rPr>
        <w:t xml:space="preserve">RCRA (40 CFR, Parte 261): </w:t>
      </w:r>
      <w:r w:rsidRPr="002C4DB2">
        <w:rPr>
          <w:rFonts w:ascii="Verdana" w:hAnsi="Verdana"/>
          <w:sz w:val="20"/>
          <w:szCs w:val="20"/>
        </w:rPr>
        <w:t>Antes de la disposición del material de desecho se recomienda verificar su corrosividad, D002 (Número EPA).</w:t>
      </w:r>
    </w:p>
    <w:p w:rsidR="00DD0A97" w:rsidRPr="002C4DB2" w:rsidRDefault="00DD0A97">
      <w:pPr>
        <w:pStyle w:val="Textoindependiente"/>
        <w:spacing w:before="11"/>
        <w:ind w:left="0"/>
        <w:rPr>
          <w:rFonts w:ascii="Verdana" w:hAnsi="Verdana"/>
          <w:sz w:val="20"/>
          <w:szCs w:val="20"/>
        </w:rPr>
      </w:pPr>
    </w:p>
    <w:p w:rsidR="00DD0A97" w:rsidRPr="002C4DB2" w:rsidRDefault="00075793" w:rsidP="00F03784">
      <w:pPr>
        <w:pStyle w:val="Ttulo1"/>
        <w:spacing w:line="240" w:lineRule="auto"/>
        <w:jc w:val="center"/>
        <w:rPr>
          <w:rFonts w:ascii="Verdana" w:hAnsi="Verdana"/>
          <w:sz w:val="20"/>
          <w:szCs w:val="20"/>
        </w:rPr>
      </w:pPr>
      <w:r w:rsidRPr="002C4DB2">
        <w:rPr>
          <w:rFonts w:ascii="Verdana" w:hAnsi="Verdana"/>
          <w:sz w:val="20"/>
          <w:szCs w:val="20"/>
        </w:rPr>
        <w:t>SECCIÓN 14 – INFORMACIÓN SOBRE EL TRANSPORTE</w:t>
      </w:r>
    </w:p>
    <w:p w:rsidR="00F03784" w:rsidRPr="002C4DB2" w:rsidRDefault="00F03784" w:rsidP="00F03784">
      <w:pPr>
        <w:pStyle w:val="Textoindependiente"/>
        <w:ind w:right="147"/>
        <w:jc w:val="both"/>
        <w:rPr>
          <w:rFonts w:ascii="Verdana" w:hAnsi="Verdana"/>
          <w:b/>
          <w:sz w:val="20"/>
          <w:szCs w:val="20"/>
        </w:rPr>
      </w:pPr>
    </w:p>
    <w:p w:rsidR="00F03784" w:rsidRPr="002C4DB2" w:rsidRDefault="00F03784" w:rsidP="00F03784">
      <w:pPr>
        <w:pStyle w:val="Textoindependiente"/>
        <w:ind w:right="147"/>
        <w:jc w:val="both"/>
        <w:rPr>
          <w:rFonts w:ascii="Verdana" w:hAnsi="Verdana"/>
          <w:sz w:val="20"/>
          <w:szCs w:val="20"/>
        </w:rPr>
      </w:pPr>
      <w:r w:rsidRPr="002C4DB2">
        <w:rPr>
          <w:rFonts w:ascii="Verdana" w:hAnsi="Verdana"/>
          <w:b/>
          <w:sz w:val="20"/>
          <w:szCs w:val="20"/>
        </w:rPr>
        <w:t xml:space="preserve">Para Colombia: </w:t>
      </w:r>
      <w:r w:rsidRPr="002C4DB2">
        <w:rPr>
          <w:rFonts w:ascii="Verdana" w:hAnsi="Verdana"/>
          <w:sz w:val="20"/>
          <w:szCs w:val="20"/>
        </w:rPr>
        <w:t>Se debe cumplir con el decreto 1609 de 2002 el cual reglamenta el transporte de mercancías peligrosas por vía terrestre, las normas técnicas colombianas NTC 1692 (Transporte de Mercancías Peligrosas: Clasificación, Etiquetado y Rotulado), 3971 (Transporte de Mercancías Peligrosas Clase 8, Sustancias Corrosivas), 4702-8 (Embalaje y envases para transporte de mercancías peligrosas Clase 8, sustancias corrosivas), 4435 y 4532 (Hojas y Tarjetas de seguridad), entre otros. Además de lo anterior se sugiere seguir todas las recomendaciones al respecto del transporte del Instituto del</w:t>
      </w:r>
      <w:r w:rsidRPr="002C4DB2">
        <w:rPr>
          <w:rFonts w:ascii="Verdana" w:hAnsi="Verdana"/>
          <w:spacing w:val="1"/>
          <w:sz w:val="20"/>
          <w:szCs w:val="20"/>
        </w:rPr>
        <w:t xml:space="preserve"> </w:t>
      </w:r>
      <w:r w:rsidRPr="002C4DB2">
        <w:rPr>
          <w:rFonts w:ascii="Verdana" w:hAnsi="Verdana"/>
          <w:sz w:val="20"/>
          <w:szCs w:val="20"/>
        </w:rPr>
        <w:t>Cloro.</w:t>
      </w:r>
    </w:p>
    <w:p w:rsidR="00DD0A97" w:rsidRPr="002C4DB2" w:rsidRDefault="00DD0A97">
      <w:pPr>
        <w:pStyle w:val="Textoindependiente"/>
        <w:spacing w:before="11"/>
        <w:ind w:left="0"/>
        <w:rPr>
          <w:rFonts w:ascii="Verdana" w:hAnsi="Verdana"/>
          <w:b/>
          <w:sz w:val="20"/>
          <w:szCs w:val="20"/>
        </w:rPr>
      </w:pPr>
    </w:p>
    <w:p w:rsidR="002C4DB2" w:rsidRDefault="002C4DB2">
      <w:pPr>
        <w:rPr>
          <w:rFonts w:ascii="Verdana" w:hAnsi="Verdana"/>
          <w:b/>
          <w:bCs/>
          <w:sz w:val="20"/>
          <w:szCs w:val="20"/>
        </w:rPr>
      </w:pPr>
      <w:r>
        <w:rPr>
          <w:rFonts w:ascii="Verdana" w:hAnsi="Verdana"/>
          <w:sz w:val="20"/>
          <w:szCs w:val="20"/>
        </w:rPr>
        <w:br w:type="page"/>
      </w:r>
    </w:p>
    <w:p w:rsidR="00DD0A97" w:rsidRPr="002C4DB2" w:rsidRDefault="00075793" w:rsidP="00F03784">
      <w:pPr>
        <w:pStyle w:val="Ttulo1"/>
        <w:spacing w:before="1" w:line="240" w:lineRule="auto"/>
        <w:ind w:left="720" w:right="1225"/>
        <w:jc w:val="center"/>
        <w:rPr>
          <w:rFonts w:ascii="Verdana" w:hAnsi="Verdana"/>
          <w:sz w:val="20"/>
          <w:szCs w:val="20"/>
        </w:rPr>
      </w:pPr>
      <w:r w:rsidRPr="002C4DB2">
        <w:rPr>
          <w:rFonts w:ascii="Verdana" w:hAnsi="Verdana"/>
          <w:sz w:val="20"/>
          <w:szCs w:val="20"/>
        </w:rPr>
        <w:lastRenderedPageBreak/>
        <w:t xml:space="preserve">SECCIÓN 15 – INFORMACIÓN REGLAMENTARIA </w:t>
      </w:r>
    </w:p>
    <w:p w:rsidR="00DD0A97" w:rsidRPr="002C4DB2" w:rsidRDefault="00075793" w:rsidP="00F03784">
      <w:pPr>
        <w:pStyle w:val="Ttulo1"/>
        <w:jc w:val="center"/>
        <w:rPr>
          <w:rFonts w:ascii="Verdana" w:hAnsi="Verdana"/>
          <w:sz w:val="20"/>
          <w:szCs w:val="20"/>
        </w:rPr>
      </w:pPr>
      <w:r w:rsidRPr="002C4DB2">
        <w:rPr>
          <w:rFonts w:ascii="Verdana" w:hAnsi="Verdana"/>
          <w:sz w:val="20"/>
          <w:szCs w:val="20"/>
        </w:rPr>
        <w:t>CLASIFICACIÓN EN COLOMBIA.</w:t>
      </w:r>
    </w:p>
    <w:p w:rsidR="00F03784" w:rsidRPr="002C4DB2" w:rsidRDefault="00F03784" w:rsidP="00F03784">
      <w:pPr>
        <w:pStyle w:val="Ttulo1"/>
        <w:jc w:val="center"/>
        <w:rPr>
          <w:rFonts w:ascii="Verdana" w:hAnsi="Verdana"/>
          <w:sz w:val="20"/>
          <w:szCs w:val="20"/>
        </w:rPr>
      </w:pPr>
    </w:p>
    <w:p w:rsidR="00DD0A97" w:rsidRPr="002C4DB2" w:rsidRDefault="00075793" w:rsidP="00F03784">
      <w:pPr>
        <w:pStyle w:val="Prrafodelista"/>
        <w:tabs>
          <w:tab w:val="left" w:pos="432"/>
        </w:tabs>
        <w:spacing w:line="240" w:lineRule="auto"/>
        <w:ind w:right="151"/>
        <w:jc w:val="both"/>
        <w:rPr>
          <w:rFonts w:ascii="Verdana" w:hAnsi="Verdana"/>
          <w:b/>
          <w:sz w:val="20"/>
          <w:szCs w:val="20"/>
        </w:rPr>
      </w:pPr>
      <w:r w:rsidRPr="002C4DB2">
        <w:rPr>
          <w:rFonts w:ascii="Verdana" w:hAnsi="Verdana"/>
          <w:b/>
          <w:sz w:val="20"/>
          <w:szCs w:val="20"/>
        </w:rPr>
        <w:t>Norma Técnica Colombiana NTC 1692 (De acuerdo con el Decreto 1609 de Julio de</w:t>
      </w:r>
      <w:r w:rsidRPr="002C4DB2">
        <w:rPr>
          <w:rFonts w:ascii="Verdana" w:hAnsi="Verdana"/>
          <w:b/>
          <w:spacing w:val="-4"/>
          <w:sz w:val="20"/>
          <w:szCs w:val="20"/>
        </w:rPr>
        <w:t xml:space="preserve"> </w:t>
      </w:r>
      <w:r w:rsidRPr="002C4DB2">
        <w:rPr>
          <w:rFonts w:ascii="Verdana" w:hAnsi="Verdana"/>
          <w:b/>
          <w:sz w:val="20"/>
          <w:szCs w:val="20"/>
        </w:rPr>
        <w:t>2002)</w:t>
      </w:r>
    </w:p>
    <w:p w:rsidR="00DD0A97" w:rsidRPr="002C4DB2" w:rsidRDefault="00075793">
      <w:pPr>
        <w:pStyle w:val="Textoindependiente"/>
        <w:tabs>
          <w:tab w:val="left" w:pos="5297"/>
        </w:tabs>
        <w:ind w:right="150"/>
        <w:rPr>
          <w:rFonts w:ascii="Verdana" w:hAnsi="Verdana"/>
          <w:sz w:val="20"/>
          <w:szCs w:val="20"/>
        </w:rPr>
      </w:pPr>
      <w:r w:rsidRPr="002C4DB2">
        <w:rPr>
          <w:rFonts w:ascii="Verdana" w:hAnsi="Verdana"/>
          <w:b/>
          <w:sz w:val="20"/>
          <w:szCs w:val="20"/>
        </w:rPr>
        <w:t xml:space="preserve">Transporte   de </w:t>
      </w:r>
      <w:r w:rsidRPr="002C4DB2">
        <w:rPr>
          <w:rFonts w:ascii="Verdana" w:hAnsi="Verdana"/>
          <w:b/>
          <w:spacing w:val="43"/>
          <w:sz w:val="20"/>
          <w:szCs w:val="20"/>
        </w:rPr>
        <w:t xml:space="preserve"> </w:t>
      </w:r>
      <w:r w:rsidRPr="002C4DB2">
        <w:rPr>
          <w:rFonts w:ascii="Verdana" w:hAnsi="Verdana"/>
          <w:b/>
          <w:sz w:val="20"/>
          <w:szCs w:val="20"/>
        </w:rPr>
        <w:t xml:space="preserve">Mercancías </w:t>
      </w:r>
      <w:r w:rsidRPr="002C4DB2">
        <w:rPr>
          <w:rFonts w:ascii="Verdana" w:hAnsi="Verdana"/>
          <w:b/>
          <w:spacing w:val="56"/>
          <w:sz w:val="20"/>
          <w:szCs w:val="20"/>
        </w:rPr>
        <w:t xml:space="preserve"> </w:t>
      </w:r>
      <w:r w:rsidRPr="002C4DB2">
        <w:rPr>
          <w:rFonts w:ascii="Verdana" w:hAnsi="Verdana"/>
          <w:b/>
          <w:sz w:val="20"/>
          <w:szCs w:val="20"/>
        </w:rPr>
        <w:t>Peligrosas.</w:t>
      </w:r>
      <w:r w:rsidRPr="002C4DB2">
        <w:rPr>
          <w:rFonts w:ascii="Verdana" w:hAnsi="Verdana"/>
          <w:b/>
          <w:sz w:val="20"/>
          <w:szCs w:val="20"/>
        </w:rPr>
        <w:tab/>
        <w:t xml:space="preserve">Clasificación, Etiquetado y Rotulado: </w:t>
      </w:r>
      <w:r w:rsidRPr="002C4DB2">
        <w:rPr>
          <w:rFonts w:ascii="Verdana" w:hAnsi="Verdana"/>
          <w:sz w:val="20"/>
          <w:szCs w:val="20"/>
        </w:rPr>
        <w:t>Esta sustancia y sus desechos está clasificada en la división 8: Sustancias Corrosivas. Además de lo anterior puede tener riesgos secundarios así: Contaminante acuático. También se deben seguir las recomendaciones de transporte de NTC 3971, Transporte de Mercancías Peligrosas Clase 8, 4702-8, Envases y embalajes para transporte de Mercancías Peligrosas Clase 8, y las recomendaciones del Instituto del</w:t>
      </w:r>
      <w:r w:rsidRPr="002C4DB2">
        <w:rPr>
          <w:rFonts w:ascii="Verdana" w:hAnsi="Verdana"/>
          <w:spacing w:val="-3"/>
          <w:sz w:val="20"/>
          <w:szCs w:val="20"/>
        </w:rPr>
        <w:t xml:space="preserve"> </w:t>
      </w:r>
      <w:r w:rsidRPr="002C4DB2">
        <w:rPr>
          <w:rFonts w:ascii="Verdana" w:hAnsi="Verdana"/>
          <w:sz w:val="20"/>
          <w:szCs w:val="20"/>
        </w:rPr>
        <w:t>Cloro.</w:t>
      </w:r>
    </w:p>
    <w:p w:rsidR="00DD0A97" w:rsidRPr="002C4DB2" w:rsidRDefault="00DD0A97" w:rsidP="00F03784">
      <w:pPr>
        <w:pStyle w:val="Textoindependiente"/>
        <w:ind w:left="0"/>
        <w:jc w:val="center"/>
        <w:rPr>
          <w:rFonts w:ascii="Verdana" w:hAnsi="Verdana"/>
          <w:sz w:val="20"/>
          <w:szCs w:val="20"/>
        </w:rPr>
      </w:pPr>
    </w:p>
    <w:p w:rsidR="00DD0A97" w:rsidRPr="002C4DB2" w:rsidRDefault="00075793" w:rsidP="00F03784">
      <w:pPr>
        <w:pStyle w:val="Ttulo1"/>
        <w:spacing w:line="240" w:lineRule="auto"/>
        <w:jc w:val="center"/>
        <w:rPr>
          <w:rFonts w:ascii="Verdana" w:hAnsi="Verdana"/>
          <w:sz w:val="20"/>
          <w:szCs w:val="20"/>
        </w:rPr>
      </w:pPr>
      <w:r w:rsidRPr="002C4DB2">
        <w:rPr>
          <w:rFonts w:ascii="Verdana" w:hAnsi="Verdana"/>
          <w:sz w:val="20"/>
          <w:szCs w:val="20"/>
        </w:rPr>
        <w:t>SECCIÓN 1</w:t>
      </w:r>
      <w:r w:rsidR="00F03784" w:rsidRPr="002C4DB2">
        <w:rPr>
          <w:rFonts w:ascii="Verdana" w:hAnsi="Verdana"/>
          <w:sz w:val="20"/>
          <w:szCs w:val="20"/>
        </w:rPr>
        <w:t>6</w:t>
      </w:r>
      <w:r w:rsidRPr="002C4DB2">
        <w:rPr>
          <w:rFonts w:ascii="Verdana" w:hAnsi="Verdana"/>
          <w:sz w:val="20"/>
          <w:szCs w:val="20"/>
        </w:rPr>
        <w:t xml:space="preserve"> – INFORMACIÓN ADICIONAL</w:t>
      </w:r>
    </w:p>
    <w:p w:rsidR="00DD0A97" w:rsidRPr="002C4DB2" w:rsidRDefault="00DD0A97">
      <w:pPr>
        <w:pStyle w:val="Textoindependiente"/>
        <w:spacing w:before="7"/>
        <w:ind w:left="0"/>
        <w:rPr>
          <w:rFonts w:ascii="Verdana" w:hAnsi="Verdana"/>
          <w:b/>
          <w:sz w:val="20"/>
          <w:szCs w:val="20"/>
        </w:rPr>
      </w:pPr>
    </w:p>
    <w:p w:rsidR="00DD0A97" w:rsidRPr="002C4DB2" w:rsidRDefault="00075793">
      <w:pPr>
        <w:pStyle w:val="Textoindependiente"/>
        <w:ind w:right="152"/>
        <w:jc w:val="both"/>
        <w:rPr>
          <w:rFonts w:ascii="Verdana" w:hAnsi="Verdana"/>
          <w:sz w:val="20"/>
          <w:szCs w:val="20"/>
        </w:rPr>
      </w:pPr>
      <w:r w:rsidRPr="002C4DB2">
        <w:rPr>
          <w:rFonts w:ascii="Verdana" w:hAnsi="Verdana"/>
          <w:sz w:val="20"/>
          <w:szCs w:val="20"/>
        </w:rPr>
        <w:t>La información que contiene la presente Hoja de Seguridad se ofrece solo como una guía de manejo de esta sustancia y ha sido preparado de buena fe por personal capacitado. Ha sido consignada a título ilustrativo y la forma y condiciones de uso y manejo pueden involucrar otras consideraciones adicionales. No se otorga ni implica garantía de ningún tipo y QUIMINSA no será responsable por ningún daño, pérdidas, lesiones o otras daños que resulten a consecuencia del uso de la información contenida en la presente, o de la confianza que se deposite en la misma. Es responsabilidad del usuario asegurarse de que esta información sea apta y completa para su propio uso particular.</w:t>
      </w:r>
    </w:p>
    <w:p w:rsidR="00DD0A97" w:rsidRPr="002C4DB2" w:rsidRDefault="00075793">
      <w:pPr>
        <w:pStyle w:val="Ttulo1"/>
        <w:numPr>
          <w:ilvl w:val="0"/>
          <w:numId w:val="2"/>
        </w:numPr>
        <w:tabs>
          <w:tab w:val="left" w:pos="385"/>
        </w:tabs>
        <w:spacing w:before="3" w:line="240" w:lineRule="auto"/>
        <w:ind w:right="151" w:firstLine="0"/>
        <w:rPr>
          <w:rFonts w:ascii="Verdana" w:hAnsi="Verdana"/>
          <w:sz w:val="20"/>
          <w:szCs w:val="20"/>
        </w:rPr>
      </w:pPr>
      <w:r w:rsidRPr="002C4DB2">
        <w:rPr>
          <w:rFonts w:ascii="Verdana" w:hAnsi="Verdana"/>
          <w:sz w:val="20"/>
          <w:szCs w:val="20"/>
        </w:rPr>
        <w:t>Clasificación del a NFPA (National Fire Protection Association) y de la HMIS (Hazardous Materials Identification</w:t>
      </w:r>
      <w:r w:rsidRPr="002C4DB2">
        <w:rPr>
          <w:rFonts w:ascii="Verdana" w:hAnsi="Verdana"/>
          <w:spacing w:val="-8"/>
          <w:sz w:val="20"/>
          <w:szCs w:val="20"/>
        </w:rPr>
        <w:t xml:space="preserve"> </w:t>
      </w:r>
      <w:r w:rsidRPr="002C4DB2">
        <w:rPr>
          <w:rFonts w:ascii="Verdana" w:hAnsi="Verdana"/>
          <w:sz w:val="20"/>
          <w:szCs w:val="20"/>
        </w:rPr>
        <w:t>System)</w:t>
      </w:r>
    </w:p>
    <w:p w:rsidR="00DD0A97" w:rsidRPr="002C4DB2" w:rsidRDefault="00DD0A97">
      <w:pPr>
        <w:pStyle w:val="Textoindependiente"/>
        <w:ind w:left="0"/>
        <w:rPr>
          <w:rFonts w:ascii="Verdana" w:hAnsi="Verdana"/>
          <w:b/>
          <w:sz w:val="20"/>
          <w:szCs w:val="20"/>
        </w:rPr>
      </w:pPr>
    </w:p>
    <w:tbl>
      <w:tblPr>
        <w:tblStyle w:val="TableNormal"/>
        <w:tblW w:w="0" w:type="auto"/>
        <w:tblInd w:w="171" w:type="dxa"/>
        <w:tblLayout w:type="fixed"/>
        <w:tblLook w:val="01E0" w:firstRow="1" w:lastRow="1" w:firstColumn="1" w:lastColumn="1" w:noHBand="0" w:noVBand="0"/>
      </w:tblPr>
      <w:tblGrid>
        <w:gridCol w:w="1747"/>
        <w:gridCol w:w="1812"/>
        <w:gridCol w:w="1454"/>
      </w:tblGrid>
      <w:tr w:rsidR="00DD0A97" w:rsidRPr="002C4DB2">
        <w:trPr>
          <w:trHeight w:val="289"/>
        </w:trPr>
        <w:tc>
          <w:tcPr>
            <w:tcW w:w="1747" w:type="dxa"/>
          </w:tcPr>
          <w:p w:rsidR="00DD0A97" w:rsidRPr="002C4DB2" w:rsidRDefault="00075793">
            <w:pPr>
              <w:pStyle w:val="TableParagraph"/>
              <w:spacing w:line="269" w:lineRule="exact"/>
              <w:ind w:left="50"/>
              <w:rPr>
                <w:rFonts w:ascii="Verdana" w:hAnsi="Verdana"/>
                <w:b/>
                <w:sz w:val="20"/>
                <w:szCs w:val="20"/>
              </w:rPr>
            </w:pPr>
            <w:r w:rsidRPr="002C4DB2">
              <w:rPr>
                <w:rFonts w:ascii="Verdana" w:hAnsi="Verdana"/>
                <w:b/>
                <w:sz w:val="20"/>
                <w:szCs w:val="20"/>
              </w:rPr>
              <w:t>Parámetro</w:t>
            </w:r>
          </w:p>
        </w:tc>
        <w:tc>
          <w:tcPr>
            <w:tcW w:w="1812" w:type="dxa"/>
          </w:tcPr>
          <w:p w:rsidR="00DD0A97" w:rsidRPr="002C4DB2" w:rsidRDefault="00075793">
            <w:pPr>
              <w:pStyle w:val="TableParagraph"/>
              <w:spacing w:line="269" w:lineRule="exact"/>
              <w:ind w:left="426"/>
              <w:rPr>
                <w:rFonts w:ascii="Verdana" w:hAnsi="Verdana"/>
                <w:b/>
                <w:sz w:val="20"/>
                <w:szCs w:val="20"/>
              </w:rPr>
            </w:pPr>
            <w:r w:rsidRPr="002C4DB2">
              <w:rPr>
                <w:rFonts w:ascii="Verdana" w:hAnsi="Verdana"/>
                <w:b/>
                <w:sz w:val="20"/>
                <w:szCs w:val="20"/>
              </w:rPr>
              <w:t>NFPA</w:t>
            </w:r>
          </w:p>
        </w:tc>
        <w:tc>
          <w:tcPr>
            <w:tcW w:w="1454" w:type="dxa"/>
          </w:tcPr>
          <w:p w:rsidR="00DD0A97" w:rsidRPr="002C4DB2" w:rsidRDefault="00075793">
            <w:pPr>
              <w:pStyle w:val="TableParagraph"/>
              <w:spacing w:line="269" w:lineRule="exact"/>
              <w:ind w:left="738"/>
              <w:rPr>
                <w:rFonts w:ascii="Verdana" w:hAnsi="Verdana"/>
                <w:b/>
                <w:sz w:val="20"/>
                <w:szCs w:val="20"/>
              </w:rPr>
            </w:pPr>
            <w:r w:rsidRPr="002C4DB2">
              <w:rPr>
                <w:rFonts w:ascii="Verdana" w:hAnsi="Verdana"/>
                <w:b/>
                <w:sz w:val="20"/>
                <w:szCs w:val="20"/>
              </w:rPr>
              <w:t>HMIS</w:t>
            </w:r>
          </w:p>
        </w:tc>
      </w:tr>
      <w:tr w:rsidR="00DD0A97" w:rsidRPr="002C4DB2">
        <w:trPr>
          <w:trHeight w:val="289"/>
        </w:trPr>
        <w:tc>
          <w:tcPr>
            <w:tcW w:w="1747" w:type="dxa"/>
          </w:tcPr>
          <w:p w:rsidR="00DD0A97" w:rsidRPr="002C4DB2" w:rsidRDefault="00075793">
            <w:pPr>
              <w:pStyle w:val="TableParagraph"/>
              <w:ind w:left="50"/>
              <w:rPr>
                <w:rFonts w:ascii="Verdana" w:hAnsi="Verdana"/>
                <w:sz w:val="20"/>
                <w:szCs w:val="20"/>
              </w:rPr>
            </w:pPr>
            <w:r w:rsidRPr="002C4DB2">
              <w:rPr>
                <w:rFonts w:ascii="Verdana" w:hAnsi="Verdana"/>
                <w:sz w:val="20"/>
                <w:szCs w:val="20"/>
              </w:rPr>
              <w:t>Salud</w:t>
            </w:r>
          </w:p>
        </w:tc>
        <w:tc>
          <w:tcPr>
            <w:tcW w:w="1812" w:type="dxa"/>
          </w:tcPr>
          <w:p w:rsidR="00DD0A97" w:rsidRPr="002C4DB2" w:rsidRDefault="00075793">
            <w:pPr>
              <w:pStyle w:val="TableParagraph"/>
              <w:ind w:left="427"/>
              <w:rPr>
                <w:rFonts w:ascii="Verdana" w:hAnsi="Verdana"/>
                <w:sz w:val="20"/>
                <w:szCs w:val="20"/>
              </w:rPr>
            </w:pPr>
            <w:r w:rsidRPr="002C4DB2">
              <w:rPr>
                <w:rFonts w:ascii="Verdana" w:hAnsi="Verdana"/>
                <w:sz w:val="20"/>
                <w:szCs w:val="20"/>
              </w:rPr>
              <w:t>3</w:t>
            </w:r>
          </w:p>
        </w:tc>
        <w:tc>
          <w:tcPr>
            <w:tcW w:w="1454" w:type="dxa"/>
          </w:tcPr>
          <w:p w:rsidR="00DD0A97" w:rsidRPr="002C4DB2" w:rsidRDefault="00075793">
            <w:pPr>
              <w:pStyle w:val="TableParagraph"/>
              <w:ind w:left="740"/>
              <w:rPr>
                <w:rFonts w:ascii="Verdana" w:hAnsi="Verdana"/>
                <w:sz w:val="20"/>
                <w:szCs w:val="20"/>
              </w:rPr>
            </w:pPr>
            <w:r w:rsidRPr="002C4DB2">
              <w:rPr>
                <w:rFonts w:ascii="Verdana" w:hAnsi="Verdana"/>
                <w:sz w:val="20"/>
                <w:szCs w:val="20"/>
              </w:rPr>
              <w:t>3</w:t>
            </w:r>
          </w:p>
        </w:tc>
      </w:tr>
      <w:tr w:rsidR="00DD0A97" w:rsidRPr="002C4DB2">
        <w:trPr>
          <w:trHeight w:val="289"/>
        </w:trPr>
        <w:tc>
          <w:tcPr>
            <w:tcW w:w="1747" w:type="dxa"/>
          </w:tcPr>
          <w:p w:rsidR="00DD0A97" w:rsidRPr="002C4DB2" w:rsidRDefault="00075793">
            <w:pPr>
              <w:pStyle w:val="TableParagraph"/>
              <w:spacing w:line="269" w:lineRule="exact"/>
              <w:ind w:left="50"/>
              <w:rPr>
                <w:rFonts w:ascii="Verdana" w:hAnsi="Verdana"/>
                <w:sz w:val="20"/>
                <w:szCs w:val="20"/>
              </w:rPr>
            </w:pPr>
            <w:r w:rsidRPr="002C4DB2">
              <w:rPr>
                <w:rFonts w:ascii="Verdana" w:hAnsi="Verdana"/>
                <w:sz w:val="20"/>
                <w:szCs w:val="20"/>
              </w:rPr>
              <w:t>Fuego</w:t>
            </w:r>
          </w:p>
        </w:tc>
        <w:tc>
          <w:tcPr>
            <w:tcW w:w="1812" w:type="dxa"/>
          </w:tcPr>
          <w:p w:rsidR="00DD0A97" w:rsidRPr="002C4DB2" w:rsidRDefault="00075793">
            <w:pPr>
              <w:pStyle w:val="TableParagraph"/>
              <w:spacing w:line="269" w:lineRule="exact"/>
              <w:ind w:left="425"/>
              <w:rPr>
                <w:rFonts w:ascii="Verdana" w:hAnsi="Verdana"/>
                <w:sz w:val="20"/>
                <w:szCs w:val="20"/>
              </w:rPr>
            </w:pPr>
            <w:r w:rsidRPr="002C4DB2">
              <w:rPr>
                <w:rFonts w:ascii="Verdana" w:hAnsi="Verdana"/>
                <w:sz w:val="20"/>
                <w:szCs w:val="20"/>
              </w:rPr>
              <w:t>0</w:t>
            </w:r>
          </w:p>
        </w:tc>
        <w:tc>
          <w:tcPr>
            <w:tcW w:w="1454" w:type="dxa"/>
          </w:tcPr>
          <w:p w:rsidR="00DD0A97" w:rsidRPr="002C4DB2" w:rsidRDefault="00075793">
            <w:pPr>
              <w:pStyle w:val="TableParagraph"/>
              <w:spacing w:line="269" w:lineRule="exact"/>
              <w:ind w:left="738"/>
              <w:rPr>
                <w:rFonts w:ascii="Verdana" w:hAnsi="Verdana"/>
                <w:sz w:val="20"/>
                <w:szCs w:val="20"/>
              </w:rPr>
            </w:pPr>
            <w:r w:rsidRPr="002C4DB2">
              <w:rPr>
                <w:rFonts w:ascii="Verdana" w:hAnsi="Verdana"/>
                <w:sz w:val="20"/>
                <w:szCs w:val="20"/>
              </w:rPr>
              <w:t>0</w:t>
            </w:r>
          </w:p>
        </w:tc>
      </w:tr>
      <w:tr w:rsidR="00DD0A97" w:rsidRPr="002C4DB2">
        <w:trPr>
          <w:trHeight w:val="289"/>
        </w:trPr>
        <w:tc>
          <w:tcPr>
            <w:tcW w:w="1747" w:type="dxa"/>
          </w:tcPr>
          <w:p w:rsidR="00DD0A97" w:rsidRPr="002C4DB2" w:rsidRDefault="00075793">
            <w:pPr>
              <w:pStyle w:val="TableParagraph"/>
              <w:ind w:left="50"/>
              <w:rPr>
                <w:rFonts w:ascii="Verdana" w:hAnsi="Verdana"/>
                <w:sz w:val="20"/>
                <w:szCs w:val="20"/>
              </w:rPr>
            </w:pPr>
            <w:r w:rsidRPr="002C4DB2">
              <w:rPr>
                <w:rFonts w:ascii="Verdana" w:hAnsi="Verdana"/>
                <w:sz w:val="20"/>
                <w:szCs w:val="20"/>
              </w:rPr>
              <w:t>Reactividad</w:t>
            </w:r>
          </w:p>
        </w:tc>
        <w:tc>
          <w:tcPr>
            <w:tcW w:w="1812" w:type="dxa"/>
          </w:tcPr>
          <w:p w:rsidR="00DD0A97" w:rsidRPr="002C4DB2" w:rsidRDefault="00075793">
            <w:pPr>
              <w:pStyle w:val="TableParagraph"/>
              <w:ind w:left="428"/>
              <w:rPr>
                <w:rFonts w:ascii="Verdana" w:hAnsi="Verdana"/>
                <w:sz w:val="20"/>
                <w:szCs w:val="20"/>
              </w:rPr>
            </w:pPr>
            <w:r w:rsidRPr="002C4DB2">
              <w:rPr>
                <w:rFonts w:ascii="Verdana" w:hAnsi="Verdana"/>
                <w:sz w:val="20"/>
                <w:szCs w:val="20"/>
              </w:rPr>
              <w:t>1</w:t>
            </w:r>
          </w:p>
        </w:tc>
        <w:tc>
          <w:tcPr>
            <w:tcW w:w="1454" w:type="dxa"/>
          </w:tcPr>
          <w:p w:rsidR="00DD0A97" w:rsidRPr="002C4DB2" w:rsidRDefault="00075793">
            <w:pPr>
              <w:pStyle w:val="TableParagraph"/>
              <w:ind w:left="740"/>
              <w:rPr>
                <w:rFonts w:ascii="Verdana" w:hAnsi="Verdana"/>
                <w:sz w:val="20"/>
                <w:szCs w:val="20"/>
              </w:rPr>
            </w:pPr>
            <w:r w:rsidRPr="002C4DB2">
              <w:rPr>
                <w:rFonts w:ascii="Verdana" w:hAnsi="Verdana"/>
                <w:sz w:val="20"/>
                <w:szCs w:val="20"/>
              </w:rPr>
              <w:t>1</w:t>
            </w:r>
          </w:p>
        </w:tc>
      </w:tr>
      <w:tr w:rsidR="00DD0A97" w:rsidRPr="002C4DB2">
        <w:trPr>
          <w:trHeight w:val="290"/>
        </w:trPr>
        <w:tc>
          <w:tcPr>
            <w:tcW w:w="1747" w:type="dxa"/>
          </w:tcPr>
          <w:p w:rsidR="00DD0A97" w:rsidRPr="002C4DB2" w:rsidRDefault="00075793">
            <w:pPr>
              <w:pStyle w:val="TableParagraph"/>
              <w:ind w:left="50"/>
              <w:rPr>
                <w:rFonts w:ascii="Verdana" w:hAnsi="Verdana"/>
                <w:sz w:val="20"/>
                <w:szCs w:val="20"/>
              </w:rPr>
            </w:pPr>
            <w:r w:rsidRPr="002C4DB2">
              <w:rPr>
                <w:rFonts w:ascii="Verdana" w:hAnsi="Verdana"/>
                <w:sz w:val="20"/>
                <w:szCs w:val="20"/>
              </w:rPr>
              <w:t>Especial</w:t>
            </w:r>
          </w:p>
        </w:tc>
        <w:tc>
          <w:tcPr>
            <w:tcW w:w="1812" w:type="dxa"/>
          </w:tcPr>
          <w:p w:rsidR="00DD0A97" w:rsidRPr="002C4DB2" w:rsidRDefault="00075793">
            <w:pPr>
              <w:pStyle w:val="TableParagraph"/>
              <w:ind w:left="427"/>
              <w:rPr>
                <w:rFonts w:ascii="Verdana" w:hAnsi="Verdana"/>
                <w:sz w:val="20"/>
                <w:szCs w:val="20"/>
              </w:rPr>
            </w:pPr>
            <w:r w:rsidRPr="002C4DB2">
              <w:rPr>
                <w:rFonts w:ascii="Verdana" w:hAnsi="Verdana"/>
                <w:sz w:val="20"/>
                <w:szCs w:val="20"/>
              </w:rPr>
              <w:t>Oxi</w:t>
            </w:r>
          </w:p>
        </w:tc>
        <w:tc>
          <w:tcPr>
            <w:tcW w:w="1454" w:type="dxa"/>
          </w:tcPr>
          <w:p w:rsidR="00DD0A97" w:rsidRPr="002C4DB2" w:rsidRDefault="00075793">
            <w:pPr>
              <w:pStyle w:val="TableParagraph"/>
              <w:ind w:left="740"/>
              <w:rPr>
                <w:rFonts w:ascii="Verdana" w:hAnsi="Verdana"/>
                <w:sz w:val="20"/>
                <w:szCs w:val="20"/>
              </w:rPr>
            </w:pPr>
            <w:r w:rsidRPr="002C4DB2">
              <w:rPr>
                <w:rFonts w:ascii="Verdana" w:hAnsi="Verdana"/>
                <w:sz w:val="20"/>
                <w:szCs w:val="20"/>
              </w:rPr>
              <w:t>-</w:t>
            </w:r>
          </w:p>
        </w:tc>
      </w:tr>
    </w:tbl>
    <w:p w:rsidR="00DD0A97" w:rsidRPr="002C4DB2" w:rsidRDefault="00DD0A97">
      <w:pPr>
        <w:pStyle w:val="Textoindependiente"/>
        <w:spacing w:before="11"/>
        <w:ind w:left="0"/>
        <w:rPr>
          <w:rFonts w:ascii="Verdana" w:hAnsi="Verdana"/>
          <w:b/>
          <w:sz w:val="20"/>
          <w:szCs w:val="20"/>
        </w:rPr>
      </w:pPr>
    </w:p>
    <w:p w:rsidR="00F03784" w:rsidRPr="002C4DB2" w:rsidRDefault="00F03784">
      <w:pPr>
        <w:pStyle w:val="Textoindependiente"/>
        <w:spacing w:before="11"/>
        <w:ind w:left="0"/>
        <w:rPr>
          <w:rFonts w:ascii="Verdana" w:hAnsi="Verdana"/>
          <w:b/>
          <w:sz w:val="20"/>
          <w:szCs w:val="20"/>
        </w:rPr>
      </w:pPr>
    </w:p>
    <w:p w:rsidR="00F03784" w:rsidRPr="002C4DB2" w:rsidRDefault="00F03784" w:rsidP="002C4DB2">
      <w:pPr>
        <w:pStyle w:val="Textoindependiente"/>
        <w:spacing w:before="11"/>
        <w:ind w:left="0" w:right="-901"/>
        <w:rPr>
          <w:rFonts w:ascii="Verdana" w:hAnsi="Verdana"/>
          <w:sz w:val="16"/>
          <w:szCs w:val="16"/>
        </w:rPr>
      </w:pPr>
      <w:r w:rsidRPr="002C4DB2">
        <w:rPr>
          <w:rFonts w:ascii="Verdana" w:hAnsi="Verdana"/>
          <w:sz w:val="16"/>
          <w:szCs w:val="16"/>
        </w:rPr>
        <w:t>Tomado de: http://www.cerveceroscaseros.com.uy/site/wp-content/uploads/2016/10/HojaSeguridad-Hipoclorito.pdf</w:t>
      </w:r>
    </w:p>
    <w:sectPr w:rsidR="00F03784" w:rsidRPr="002C4DB2">
      <w:pgSz w:w="11900" w:h="16840"/>
      <w:pgMar w:top="1700" w:right="1540" w:bottom="280" w:left="1480" w:header="40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66C" w:rsidRDefault="0056366C">
      <w:r>
        <w:separator/>
      </w:r>
    </w:p>
  </w:endnote>
  <w:endnote w:type="continuationSeparator" w:id="0">
    <w:p w:rsidR="0056366C" w:rsidRDefault="0056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66C" w:rsidRDefault="0056366C">
      <w:r>
        <w:separator/>
      </w:r>
    </w:p>
  </w:footnote>
  <w:footnote w:type="continuationSeparator" w:id="0">
    <w:p w:rsidR="0056366C" w:rsidRDefault="00563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2" w:type="dxa"/>
      <w:tblInd w:w="-803" w:type="dxa"/>
      <w:tblBorders>
        <w:insideH w:val="single" w:sz="4" w:space="0" w:color="D9D9D9"/>
        <w:insideV w:val="single" w:sz="4" w:space="0" w:color="D9D9D9"/>
      </w:tblBorders>
      <w:tblLook w:val="04A0" w:firstRow="1" w:lastRow="0" w:firstColumn="1" w:lastColumn="0" w:noHBand="0" w:noVBand="1"/>
    </w:tblPr>
    <w:tblGrid>
      <w:gridCol w:w="1826"/>
      <w:gridCol w:w="6098"/>
      <w:gridCol w:w="2368"/>
    </w:tblGrid>
    <w:tr w:rsidR="00F03784" w:rsidTr="005346BA">
      <w:trPr>
        <w:trHeight w:val="347"/>
      </w:trPr>
      <w:tc>
        <w:tcPr>
          <w:tcW w:w="1826"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jc w:val="right"/>
            <w:rPr>
              <w:rFonts w:ascii="Verdana" w:eastAsia="Times New Roman" w:hAnsi="Verdana" w:cs="Arial"/>
              <w:b/>
              <w:color w:val="595959"/>
              <w:sz w:val="20"/>
              <w:szCs w:val="20"/>
              <w:lang w:val="es-ES"/>
            </w:rPr>
          </w:pPr>
          <w:r>
            <w:rPr>
              <w:rFonts w:ascii="Verdana" w:hAnsi="Verdana" w:cs="Arial"/>
              <w:b/>
              <w:color w:val="595959"/>
              <w:sz w:val="20"/>
              <w:szCs w:val="20"/>
            </w:rPr>
            <w:t>PROCESO:</w:t>
          </w:r>
        </w:p>
      </w:tc>
      <w:tc>
        <w:tcPr>
          <w:tcW w:w="6098"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rPr>
              <w:rFonts w:ascii="Arial" w:hAnsi="Arial" w:cs="Arial"/>
              <w:b/>
              <w:color w:val="595959"/>
            </w:rPr>
          </w:pPr>
          <w:r>
            <w:rPr>
              <w:rFonts w:ascii="Verdana" w:hAnsi="Verdana" w:cs="Arial"/>
              <w:b/>
              <w:color w:val="595959"/>
              <w:sz w:val="20"/>
              <w:szCs w:val="20"/>
            </w:rPr>
            <w:t xml:space="preserve">Gestión Estratégica del Talento Humano </w:t>
          </w:r>
        </w:p>
      </w:tc>
      <w:tc>
        <w:tcPr>
          <w:tcW w:w="2368" w:type="dxa"/>
          <w:vMerge w:val="restart"/>
          <w:tcBorders>
            <w:top w:val="nil"/>
            <w:left w:val="dashed" w:sz="4" w:space="0" w:color="E0E0E0"/>
            <w:bottom w:val="nil"/>
            <w:right w:val="nil"/>
          </w:tcBorders>
          <w:hideMark/>
        </w:tcPr>
        <w:p w:rsidR="00F03784" w:rsidRDefault="00F03784" w:rsidP="00F03784">
          <w:pPr>
            <w:pStyle w:val="Encabezado"/>
            <w:spacing w:line="276" w:lineRule="auto"/>
            <w:jc w:val="center"/>
            <w:rPr>
              <w:rFonts w:ascii="Arial" w:hAnsi="Arial" w:cs="Arial"/>
              <w:b/>
              <w:lang w:val="es-ES" w:eastAsia="es-ES"/>
            </w:rPr>
          </w:pPr>
          <w:r>
            <w:rPr>
              <w:rFonts w:ascii="Arial" w:hAnsi="Arial" w:cs="Arial"/>
              <w:noProof/>
              <w:lang w:val="es-CO" w:eastAsia="es-CO"/>
            </w:rPr>
            <w:drawing>
              <wp:inline distT="0" distB="0" distL="0" distR="0" wp14:anchorId="7FB8EF81" wp14:editId="74C92909">
                <wp:extent cx="1295400" cy="55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552450"/>
                        </a:xfrm>
                        <a:prstGeom prst="rect">
                          <a:avLst/>
                        </a:prstGeom>
                        <a:noFill/>
                        <a:ln>
                          <a:noFill/>
                        </a:ln>
                      </pic:spPr>
                    </pic:pic>
                  </a:graphicData>
                </a:graphic>
              </wp:inline>
            </w:drawing>
          </w:r>
        </w:p>
      </w:tc>
    </w:tr>
    <w:tr w:rsidR="00F03784" w:rsidTr="005346BA">
      <w:trPr>
        <w:trHeight w:val="344"/>
      </w:trPr>
      <w:tc>
        <w:tcPr>
          <w:tcW w:w="1826"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jc w:val="right"/>
            <w:rPr>
              <w:rFonts w:ascii="Verdana" w:hAnsi="Verdana" w:cs="Arial"/>
              <w:b/>
              <w:color w:val="595959"/>
              <w:sz w:val="20"/>
              <w:szCs w:val="20"/>
            </w:rPr>
          </w:pPr>
          <w:r>
            <w:rPr>
              <w:rFonts w:ascii="Verdana" w:hAnsi="Verdana" w:cs="Arial"/>
              <w:b/>
              <w:color w:val="595959"/>
              <w:sz w:val="20"/>
              <w:szCs w:val="20"/>
            </w:rPr>
            <w:t>DOCUMENTO:</w:t>
          </w:r>
        </w:p>
      </w:tc>
      <w:tc>
        <w:tcPr>
          <w:tcW w:w="6098"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rPr>
              <w:rFonts w:ascii="Verdana" w:hAnsi="Verdana" w:cs="Arial"/>
              <w:b/>
              <w:color w:val="595959"/>
              <w:sz w:val="20"/>
              <w:szCs w:val="20"/>
              <w:lang w:val="es-CO"/>
            </w:rPr>
          </w:pPr>
          <w:r>
            <w:rPr>
              <w:rFonts w:ascii="Verdana" w:hAnsi="Verdana" w:cs="Arial"/>
              <w:b/>
              <w:color w:val="595959"/>
              <w:sz w:val="20"/>
              <w:lang w:val="es-CO"/>
            </w:rPr>
            <w:t xml:space="preserve">Hoja de seguridad Hipoclorito de Sodio </w:t>
          </w:r>
        </w:p>
      </w:tc>
      <w:tc>
        <w:tcPr>
          <w:tcW w:w="0" w:type="auto"/>
          <w:vMerge/>
          <w:tcBorders>
            <w:top w:val="nil"/>
            <w:left w:val="dashed" w:sz="4" w:space="0" w:color="E0E0E0"/>
            <w:bottom w:val="nil"/>
            <w:right w:val="nil"/>
          </w:tcBorders>
          <w:vAlign w:val="center"/>
          <w:hideMark/>
        </w:tcPr>
        <w:p w:rsidR="00F03784" w:rsidRDefault="00F03784" w:rsidP="00F03784">
          <w:pPr>
            <w:spacing w:line="276" w:lineRule="auto"/>
            <w:rPr>
              <w:rFonts w:ascii="Arial" w:eastAsia="Times New Roman" w:hAnsi="Arial" w:cs="Arial"/>
              <w:b/>
              <w:lang w:val="es-ES" w:eastAsia="es-ES"/>
            </w:rPr>
          </w:pPr>
        </w:p>
      </w:tc>
    </w:tr>
    <w:tr w:rsidR="00F03784" w:rsidTr="005346BA">
      <w:trPr>
        <w:trHeight w:val="344"/>
      </w:trPr>
      <w:tc>
        <w:tcPr>
          <w:tcW w:w="1826"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jc w:val="right"/>
            <w:rPr>
              <w:rFonts w:ascii="Verdana" w:hAnsi="Verdana" w:cs="Arial"/>
              <w:b/>
              <w:color w:val="595959"/>
              <w:sz w:val="20"/>
              <w:szCs w:val="20"/>
            </w:rPr>
          </w:pPr>
          <w:r>
            <w:rPr>
              <w:rFonts w:ascii="Verdana" w:hAnsi="Verdana" w:cs="Arial"/>
              <w:b/>
              <w:color w:val="595959"/>
              <w:sz w:val="20"/>
              <w:szCs w:val="20"/>
            </w:rPr>
            <w:t xml:space="preserve">FECHA:  </w:t>
          </w:r>
        </w:p>
      </w:tc>
      <w:tc>
        <w:tcPr>
          <w:tcW w:w="6098"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rPr>
              <w:rFonts w:ascii="Verdana" w:hAnsi="Verdana" w:cs="Arial"/>
              <w:b/>
              <w:color w:val="595959"/>
              <w:sz w:val="20"/>
              <w:szCs w:val="20"/>
              <w:lang w:val="es-ES"/>
            </w:rPr>
          </w:pPr>
          <w:r>
            <w:rPr>
              <w:rFonts w:ascii="Verdana" w:hAnsi="Verdana" w:cs="Arial"/>
              <w:b/>
              <w:color w:val="595959"/>
              <w:sz w:val="20"/>
              <w:szCs w:val="20"/>
            </w:rPr>
            <w:t>01/09/2018</w:t>
          </w:r>
        </w:p>
      </w:tc>
      <w:tc>
        <w:tcPr>
          <w:tcW w:w="0" w:type="auto"/>
          <w:vMerge/>
          <w:tcBorders>
            <w:top w:val="nil"/>
            <w:left w:val="dashed" w:sz="4" w:space="0" w:color="E0E0E0"/>
            <w:bottom w:val="nil"/>
            <w:right w:val="nil"/>
          </w:tcBorders>
          <w:vAlign w:val="center"/>
          <w:hideMark/>
        </w:tcPr>
        <w:p w:rsidR="00F03784" w:rsidRDefault="00F03784" w:rsidP="00F03784">
          <w:pPr>
            <w:spacing w:line="276" w:lineRule="auto"/>
            <w:rPr>
              <w:rFonts w:ascii="Arial" w:eastAsia="Times New Roman" w:hAnsi="Arial" w:cs="Arial"/>
              <w:b/>
              <w:lang w:val="es-ES" w:eastAsia="es-ES"/>
            </w:rPr>
          </w:pPr>
        </w:p>
      </w:tc>
    </w:tr>
    <w:tr w:rsidR="00F03784" w:rsidTr="005346BA">
      <w:trPr>
        <w:trHeight w:val="344"/>
      </w:trPr>
      <w:tc>
        <w:tcPr>
          <w:tcW w:w="1826"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jc w:val="right"/>
            <w:rPr>
              <w:rFonts w:ascii="Verdana" w:hAnsi="Verdana" w:cs="Arial"/>
              <w:b/>
              <w:color w:val="595959"/>
              <w:sz w:val="20"/>
              <w:szCs w:val="20"/>
            </w:rPr>
          </w:pPr>
          <w:r>
            <w:rPr>
              <w:rFonts w:ascii="Verdana" w:hAnsi="Verdana" w:cs="Arial"/>
              <w:b/>
              <w:color w:val="595959"/>
              <w:sz w:val="20"/>
              <w:szCs w:val="20"/>
            </w:rPr>
            <w:t>VERSIÓN:</w:t>
          </w:r>
        </w:p>
      </w:tc>
      <w:tc>
        <w:tcPr>
          <w:tcW w:w="6098" w:type="dxa"/>
          <w:tcBorders>
            <w:top w:val="dashed" w:sz="4" w:space="0" w:color="E0E0E0"/>
            <w:left w:val="dashed" w:sz="4" w:space="0" w:color="E0E0E0"/>
            <w:bottom w:val="dashed" w:sz="4" w:space="0" w:color="E0E0E0"/>
            <w:right w:val="dashed" w:sz="4" w:space="0" w:color="E0E0E0"/>
          </w:tcBorders>
          <w:hideMark/>
        </w:tcPr>
        <w:p w:rsidR="00F03784" w:rsidRDefault="00F03784" w:rsidP="00F03784">
          <w:pPr>
            <w:pStyle w:val="Encabezado"/>
            <w:spacing w:line="276" w:lineRule="auto"/>
            <w:rPr>
              <w:rFonts w:ascii="Verdana" w:hAnsi="Verdana" w:cs="Arial"/>
              <w:b/>
              <w:color w:val="595959"/>
              <w:sz w:val="20"/>
              <w:szCs w:val="20"/>
            </w:rPr>
          </w:pPr>
          <w:r>
            <w:rPr>
              <w:rFonts w:ascii="Verdana" w:hAnsi="Verdana" w:cs="Arial"/>
              <w:b/>
              <w:color w:val="595959"/>
              <w:sz w:val="20"/>
              <w:szCs w:val="20"/>
            </w:rPr>
            <w:t>1.0</w:t>
          </w:r>
        </w:p>
      </w:tc>
      <w:tc>
        <w:tcPr>
          <w:tcW w:w="0" w:type="auto"/>
          <w:vMerge/>
          <w:tcBorders>
            <w:top w:val="nil"/>
            <w:left w:val="dashed" w:sz="4" w:space="0" w:color="E0E0E0"/>
            <w:bottom w:val="nil"/>
            <w:right w:val="nil"/>
          </w:tcBorders>
          <w:vAlign w:val="center"/>
          <w:hideMark/>
        </w:tcPr>
        <w:p w:rsidR="00F03784" w:rsidRDefault="00F03784" w:rsidP="00F03784">
          <w:pPr>
            <w:spacing w:line="276" w:lineRule="auto"/>
            <w:rPr>
              <w:rFonts w:ascii="Arial" w:eastAsia="Times New Roman" w:hAnsi="Arial" w:cs="Arial"/>
              <w:b/>
              <w:lang w:val="es-ES" w:eastAsia="es-ES"/>
            </w:rPr>
          </w:pPr>
        </w:p>
      </w:tc>
    </w:tr>
  </w:tbl>
  <w:p w:rsidR="00DD0A97" w:rsidRDefault="00DD0A97">
    <w:pPr>
      <w:pStyle w:val="Textoindependiente"/>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3428"/>
    <w:multiLevelType w:val="hybridMultilevel"/>
    <w:tmpl w:val="37A8A722"/>
    <w:lvl w:ilvl="0" w:tplc="69C08B34">
      <w:numFmt w:val="bullet"/>
      <w:lvlText w:val="o"/>
      <w:lvlJc w:val="left"/>
      <w:pPr>
        <w:ind w:left="221" w:hanging="207"/>
      </w:pPr>
      <w:rPr>
        <w:rFonts w:ascii="Tahoma" w:eastAsia="Tahoma" w:hAnsi="Tahoma" w:cs="Tahoma" w:hint="default"/>
        <w:w w:val="100"/>
        <w:sz w:val="24"/>
        <w:szCs w:val="24"/>
      </w:rPr>
    </w:lvl>
    <w:lvl w:ilvl="1" w:tplc="EA8698E4">
      <w:numFmt w:val="bullet"/>
      <w:lvlText w:val="•"/>
      <w:lvlJc w:val="left"/>
      <w:pPr>
        <w:ind w:left="1086" w:hanging="207"/>
      </w:pPr>
      <w:rPr>
        <w:rFonts w:hint="default"/>
      </w:rPr>
    </w:lvl>
    <w:lvl w:ilvl="2" w:tplc="C73A9F82">
      <w:numFmt w:val="bullet"/>
      <w:lvlText w:val="•"/>
      <w:lvlJc w:val="left"/>
      <w:pPr>
        <w:ind w:left="1952" w:hanging="207"/>
      </w:pPr>
      <w:rPr>
        <w:rFonts w:hint="default"/>
      </w:rPr>
    </w:lvl>
    <w:lvl w:ilvl="3" w:tplc="B9C09A14">
      <w:numFmt w:val="bullet"/>
      <w:lvlText w:val="•"/>
      <w:lvlJc w:val="left"/>
      <w:pPr>
        <w:ind w:left="2818" w:hanging="207"/>
      </w:pPr>
      <w:rPr>
        <w:rFonts w:hint="default"/>
      </w:rPr>
    </w:lvl>
    <w:lvl w:ilvl="4" w:tplc="64D6F5E8">
      <w:numFmt w:val="bullet"/>
      <w:lvlText w:val="•"/>
      <w:lvlJc w:val="left"/>
      <w:pPr>
        <w:ind w:left="3684" w:hanging="207"/>
      </w:pPr>
      <w:rPr>
        <w:rFonts w:hint="default"/>
      </w:rPr>
    </w:lvl>
    <w:lvl w:ilvl="5" w:tplc="9168CC6A">
      <w:numFmt w:val="bullet"/>
      <w:lvlText w:val="•"/>
      <w:lvlJc w:val="left"/>
      <w:pPr>
        <w:ind w:left="4550" w:hanging="207"/>
      </w:pPr>
      <w:rPr>
        <w:rFonts w:hint="default"/>
      </w:rPr>
    </w:lvl>
    <w:lvl w:ilvl="6" w:tplc="B6B6EE28">
      <w:numFmt w:val="bullet"/>
      <w:lvlText w:val="•"/>
      <w:lvlJc w:val="left"/>
      <w:pPr>
        <w:ind w:left="5416" w:hanging="207"/>
      </w:pPr>
      <w:rPr>
        <w:rFonts w:hint="default"/>
      </w:rPr>
    </w:lvl>
    <w:lvl w:ilvl="7" w:tplc="FEFC95B0">
      <w:numFmt w:val="bullet"/>
      <w:lvlText w:val="•"/>
      <w:lvlJc w:val="left"/>
      <w:pPr>
        <w:ind w:left="6282" w:hanging="207"/>
      </w:pPr>
      <w:rPr>
        <w:rFonts w:hint="default"/>
      </w:rPr>
    </w:lvl>
    <w:lvl w:ilvl="8" w:tplc="1584A6D4">
      <w:numFmt w:val="bullet"/>
      <w:lvlText w:val="•"/>
      <w:lvlJc w:val="left"/>
      <w:pPr>
        <w:ind w:left="7148" w:hanging="207"/>
      </w:pPr>
      <w:rPr>
        <w:rFonts w:hint="default"/>
      </w:rPr>
    </w:lvl>
  </w:abstractNum>
  <w:abstractNum w:abstractNumId="1">
    <w:nsid w:val="5D3201D6"/>
    <w:multiLevelType w:val="hybridMultilevel"/>
    <w:tmpl w:val="258CAD98"/>
    <w:lvl w:ilvl="0" w:tplc="391EBE3E">
      <w:numFmt w:val="bullet"/>
      <w:lvlText w:val="-"/>
      <w:lvlJc w:val="left"/>
      <w:pPr>
        <w:ind w:left="221" w:hanging="165"/>
      </w:pPr>
      <w:rPr>
        <w:rFonts w:ascii="Tahoma" w:eastAsia="Tahoma" w:hAnsi="Tahoma" w:cs="Tahoma" w:hint="default"/>
        <w:w w:val="100"/>
        <w:sz w:val="24"/>
        <w:szCs w:val="24"/>
      </w:rPr>
    </w:lvl>
    <w:lvl w:ilvl="1" w:tplc="DF4C1FF0">
      <w:numFmt w:val="bullet"/>
      <w:lvlText w:val="•"/>
      <w:lvlJc w:val="left"/>
      <w:pPr>
        <w:ind w:left="1086" w:hanging="165"/>
      </w:pPr>
      <w:rPr>
        <w:rFonts w:hint="default"/>
      </w:rPr>
    </w:lvl>
    <w:lvl w:ilvl="2" w:tplc="A8FA050E">
      <w:numFmt w:val="bullet"/>
      <w:lvlText w:val="•"/>
      <w:lvlJc w:val="left"/>
      <w:pPr>
        <w:ind w:left="1952" w:hanging="165"/>
      </w:pPr>
      <w:rPr>
        <w:rFonts w:hint="default"/>
      </w:rPr>
    </w:lvl>
    <w:lvl w:ilvl="3" w:tplc="58D0B430">
      <w:numFmt w:val="bullet"/>
      <w:lvlText w:val="•"/>
      <w:lvlJc w:val="left"/>
      <w:pPr>
        <w:ind w:left="2818" w:hanging="165"/>
      </w:pPr>
      <w:rPr>
        <w:rFonts w:hint="default"/>
      </w:rPr>
    </w:lvl>
    <w:lvl w:ilvl="4" w:tplc="1D0A82BE">
      <w:numFmt w:val="bullet"/>
      <w:lvlText w:val="•"/>
      <w:lvlJc w:val="left"/>
      <w:pPr>
        <w:ind w:left="3684" w:hanging="165"/>
      </w:pPr>
      <w:rPr>
        <w:rFonts w:hint="default"/>
      </w:rPr>
    </w:lvl>
    <w:lvl w:ilvl="5" w:tplc="5298E9EA">
      <w:numFmt w:val="bullet"/>
      <w:lvlText w:val="•"/>
      <w:lvlJc w:val="left"/>
      <w:pPr>
        <w:ind w:left="4550" w:hanging="165"/>
      </w:pPr>
      <w:rPr>
        <w:rFonts w:hint="default"/>
      </w:rPr>
    </w:lvl>
    <w:lvl w:ilvl="6" w:tplc="60EE0F66">
      <w:numFmt w:val="bullet"/>
      <w:lvlText w:val="•"/>
      <w:lvlJc w:val="left"/>
      <w:pPr>
        <w:ind w:left="5416" w:hanging="165"/>
      </w:pPr>
      <w:rPr>
        <w:rFonts w:hint="default"/>
      </w:rPr>
    </w:lvl>
    <w:lvl w:ilvl="7" w:tplc="11566478">
      <w:numFmt w:val="bullet"/>
      <w:lvlText w:val="•"/>
      <w:lvlJc w:val="left"/>
      <w:pPr>
        <w:ind w:left="6282" w:hanging="165"/>
      </w:pPr>
      <w:rPr>
        <w:rFonts w:hint="default"/>
      </w:rPr>
    </w:lvl>
    <w:lvl w:ilvl="8" w:tplc="B4B4FC62">
      <w:numFmt w:val="bullet"/>
      <w:lvlText w:val="•"/>
      <w:lvlJc w:val="left"/>
      <w:pPr>
        <w:ind w:left="7148" w:hanging="165"/>
      </w:pPr>
      <w:rPr>
        <w:rFonts w:hint="default"/>
      </w:rPr>
    </w:lvl>
  </w:abstractNum>
  <w:abstractNum w:abstractNumId="2">
    <w:nsid w:val="7E722720"/>
    <w:multiLevelType w:val="hybridMultilevel"/>
    <w:tmpl w:val="5A528A54"/>
    <w:lvl w:ilvl="0" w:tplc="633EDEFA">
      <w:numFmt w:val="bullet"/>
      <w:lvlText w:val="•"/>
      <w:lvlJc w:val="left"/>
      <w:pPr>
        <w:ind w:left="221" w:hanging="186"/>
      </w:pPr>
      <w:rPr>
        <w:rFonts w:ascii="Tahoma" w:eastAsia="Tahoma" w:hAnsi="Tahoma" w:cs="Tahoma" w:hint="default"/>
        <w:w w:val="99"/>
        <w:sz w:val="24"/>
        <w:szCs w:val="24"/>
      </w:rPr>
    </w:lvl>
    <w:lvl w:ilvl="1" w:tplc="BCC44DD6">
      <w:numFmt w:val="bullet"/>
      <w:lvlText w:val="•"/>
      <w:lvlJc w:val="left"/>
      <w:pPr>
        <w:ind w:left="1086" w:hanging="186"/>
      </w:pPr>
      <w:rPr>
        <w:rFonts w:hint="default"/>
      </w:rPr>
    </w:lvl>
    <w:lvl w:ilvl="2" w:tplc="84E6CC3A">
      <w:numFmt w:val="bullet"/>
      <w:lvlText w:val="•"/>
      <w:lvlJc w:val="left"/>
      <w:pPr>
        <w:ind w:left="1952" w:hanging="186"/>
      </w:pPr>
      <w:rPr>
        <w:rFonts w:hint="default"/>
      </w:rPr>
    </w:lvl>
    <w:lvl w:ilvl="3" w:tplc="5A3E5594">
      <w:numFmt w:val="bullet"/>
      <w:lvlText w:val="•"/>
      <w:lvlJc w:val="left"/>
      <w:pPr>
        <w:ind w:left="2818" w:hanging="186"/>
      </w:pPr>
      <w:rPr>
        <w:rFonts w:hint="default"/>
      </w:rPr>
    </w:lvl>
    <w:lvl w:ilvl="4" w:tplc="90548148">
      <w:numFmt w:val="bullet"/>
      <w:lvlText w:val="•"/>
      <w:lvlJc w:val="left"/>
      <w:pPr>
        <w:ind w:left="3684" w:hanging="186"/>
      </w:pPr>
      <w:rPr>
        <w:rFonts w:hint="default"/>
      </w:rPr>
    </w:lvl>
    <w:lvl w:ilvl="5" w:tplc="30767E82">
      <w:numFmt w:val="bullet"/>
      <w:lvlText w:val="•"/>
      <w:lvlJc w:val="left"/>
      <w:pPr>
        <w:ind w:left="4550" w:hanging="186"/>
      </w:pPr>
      <w:rPr>
        <w:rFonts w:hint="default"/>
      </w:rPr>
    </w:lvl>
    <w:lvl w:ilvl="6" w:tplc="AD46EEE4">
      <w:numFmt w:val="bullet"/>
      <w:lvlText w:val="•"/>
      <w:lvlJc w:val="left"/>
      <w:pPr>
        <w:ind w:left="5416" w:hanging="186"/>
      </w:pPr>
      <w:rPr>
        <w:rFonts w:hint="default"/>
      </w:rPr>
    </w:lvl>
    <w:lvl w:ilvl="7" w:tplc="25C2D13E">
      <w:numFmt w:val="bullet"/>
      <w:lvlText w:val="•"/>
      <w:lvlJc w:val="left"/>
      <w:pPr>
        <w:ind w:left="6282" w:hanging="186"/>
      </w:pPr>
      <w:rPr>
        <w:rFonts w:hint="default"/>
      </w:rPr>
    </w:lvl>
    <w:lvl w:ilvl="8" w:tplc="C6D2EE34">
      <w:numFmt w:val="bullet"/>
      <w:lvlText w:val="•"/>
      <w:lvlJc w:val="left"/>
      <w:pPr>
        <w:ind w:left="7148" w:hanging="186"/>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97"/>
    <w:rsid w:val="00075793"/>
    <w:rsid w:val="002C4DB2"/>
    <w:rsid w:val="004C7DB4"/>
    <w:rsid w:val="0056366C"/>
    <w:rsid w:val="00A75A70"/>
    <w:rsid w:val="00BD7D6D"/>
    <w:rsid w:val="00BE7603"/>
    <w:rsid w:val="00DD0A97"/>
    <w:rsid w:val="00F037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eastAsia="Tahoma" w:hAnsi="Tahoma" w:cs="Tahoma"/>
    </w:rPr>
  </w:style>
  <w:style w:type="paragraph" w:styleId="Ttulo1">
    <w:name w:val="heading 1"/>
    <w:basedOn w:val="Normal"/>
    <w:uiPriority w:val="9"/>
    <w:qFormat/>
    <w:pPr>
      <w:spacing w:line="289" w:lineRule="exact"/>
      <w:ind w:left="22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21"/>
    </w:pPr>
    <w:rPr>
      <w:sz w:val="24"/>
      <w:szCs w:val="24"/>
    </w:rPr>
  </w:style>
  <w:style w:type="paragraph" w:styleId="Prrafodelista">
    <w:name w:val="List Paragraph"/>
    <w:basedOn w:val="Normal"/>
    <w:uiPriority w:val="1"/>
    <w:qFormat/>
    <w:pPr>
      <w:spacing w:line="289" w:lineRule="exact"/>
      <w:ind w:left="221"/>
    </w:pPr>
  </w:style>
  <w:style w:type="paragraph" w:customStyle="1" w:styleId="TableParagraph">
    <w:name w:val="Table Paragraph"/>
    <w:basedOn w:val="Normal"/>
    <w:uiPriority w:val="1"/>
    <w:qFormat/>
    <w:pPr>
      <w:spacing w:line="270" w:lineRule="exact"/>
      <w:ind w:left="106"/>
    </w:pPr>
    <w:rPr>
      <w:rFonts w:ascii="Arial" w:eastAsia="Arial" w:hAnsi="Arial" w:cs="Arial"/>
    </w:rPr>
  </w:style>
  <w:style w:type="paragraph" w:styleId="Encabezado">
    <w:name w:val="header"/>
    <w:basedOn w:val="Normal"/>
    <w:link w:val="EncabezadoCar"/>
    <w:uiPriority w:val="99"/>
    <w:unhideWhenUsed/>
    <w:rsid w:val="00F03784"/>
    <w:pPr>
      <w:tabs>
        <w:tab w:val="center" w:pos="4419"/>
        <w:tab w:val="right" w:pos="8838"/>
      </w:tabs>
    </w:pPr>
  </w:style>
  <w:style w:type="character" w:customStyle="1" w:styleId="EncabezadoCar">
    <w:name w:val="Encabezado Car"/>
    <w:basedOn w:val="Fuentedeprrafopredeter"/>
    <w:link w:val="Encabezado"/>
    <w:uiPriority w:val="99"/>
    <w:rsid w:val="00F03784"/>
    <w:rPr>
      <w:rFonts w:ascii="Tahoma" w:eastAsia="Tahoma" w:hAnsi="Tahoma" w:cs="Tahoma"/>
    </w:rPr>
  </w:style>
  <w:style w:type="paragraph" w:styleId="Piedepgina">
    <w:name w:val="footer"/>
    <w:basedOn w:val="Normal"/>
    <w:link w:val="PiedepginaCar"/>
    <w:uiPriority w:val="99"/>
    <w:unhideWhenUsed/>
    <w:rsid w:val="00F03784"/>
    <w:pPr>
      <w:tabs>
        <w:tab w:val="center" w:pos="4419"/>
        <w:tab w:val="right" w:pos="8838"/>
      </w:tabs>
    </w:pPr>
  </w:style>
  <w:style w:type="character" w:customStyle="1" w:styleId="PiedepginaCar">
    <w:name w:val="Pie de página Car"/>
    <w:basedOn w:val="Fuentedeprrafopredeter"/>
    <w:link w:val="Piedepgina"/>
    <w:uiPriority w:val="99"/>
    <w:rsid w:val="00F03784"/>
    <w:rPr>
      <w:rFonts w:ascii="Tahoma" w:eastAsia="Tahoma" w:hAnsi="Tahoma" w:cs="Tahoma"/>
    </w:rPr>
  </w:style>
  <w:style w:type="paragraph" w:styleId="Textodeglobo">
    <w:name w:val="Balloon Text"/>
    <w:basedOn w:val="Normal"/>
    <w:link w:val="TextodegloboCar"/>
    <w:uiPriority w:val="99"/>
    <w:semiHidden/>
    <w:unhideWhenUsed/>
    <w:rsid w:val="00BD7D6D"/>
    <w:rPr>
      <w:sz w:val="16"/>
      <w:szCs w:val="16"/>
    </w:rPr>
  </w:style>
  <w:style w:type="character" w:customStyle="1" w:styleId="TextodegloboCar">
    <w:name w:val="Texto de globo Car"/>
    <w:basedOn w:val="Fuentedeprrafopredeter"/>
    <w:link w:val="Textodeglobo"/>
    <w:uiPriority w:val="99"/>
    <w:semiHidden/>
    <w:rsid w:val="00BD7D6D"/>
    <w:rPr>
      <w:rFonts w:ascii="Tahoma" w:eastAsia="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eastAsia="Tahoma" w:hAnsi="Tahoma" w:cs="Tahoma"/>
    </w:rPr>
  </w:style>
  <w:style w:type="paragraph" w:styleId="Ttulo1">
    <w:name w:val="heading 1"/>
    <w:basedOn w:val="Normal"/>
    <w:uiPriority w:val="9"/>
    <w:qFormat/>
    <w:pPr>
      <w:spacing w:line="289" w:lineRule="exact"/>
      <w:ind w:left="22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21"/>
    </w:pPr>
    <w:rPr>
      <w:sz w:val="24"/>
      <w:szCs w:val="24"/>
    </w:rPr>
  </w:style>
  <w:style w:type="paragraph" w:styleId="Prrafodelista">
    <w:name w:val="List Paragraph"/>
    <w:basedOn w:val="Normal"/>
    <w:uiPriority w:val="1"/>
    <w:qFormat/>
    <w:pPr>
      <w:spacing w:line="289" w:lineRule="exact"/>
      <w:ind w:left="221"/>
    </w:pPr>
  </w:style>
  <w:style w:type="paragraph" w:customStyle="1" w:styleId="TableParagraph">
    <w:name w:val="Table Paragraph"/>
    <w:basedOn w:val="Normal"/>
    <w:uiPriority w:val="1"/>
    <w:qFormat/>
    <w:pPr>
      <w:spacing w:line="270" w:lineRule="exact"/>
      <w:ind w:left="106"/>
    </w:pPr>
    <w:rPr>
      <w:rFonts w:ascii="Arial" w:eastAsia="Arial" w:hAnsi="Arial" w:cs="Arial"/>
    </w:rPr>
  </w:style>
  <w:style w:type="paragraph" w:styleId="Encabezado">
    <w:name w:val="header"/>
    <w:basedOn w:val="Normal"/>
    <w:link w:val="EncabezadoCar"/>
    <w:uiPriority w:val="99"/>
    <w:unhideWhenUsed/>
    <w:rsid w:val="00F03784"/>
    <w:pPr>
      <w:tabs>
        <w:tab w:val="center" w:pos="4419"/>
        <w:tab w:val="right" w:pos="8838"/>
      </w:tabs>
    </w:pPr>
  </w:style>
  <w:style w:type="character" w:customStyle="1" w:styleId="EncabezadoCar">
    <w:name w:val="Encabezado Car"/>
    <w:basedOn w:val="Fuentedeprrafopredeter"/>
    <w:link w:val="Encabezado"/>
    <w:uiPriority w:val="99"/>
    <w:rsid w:val="00F03784"/>
    <w:rPr>
      <w:rFonts w:ascii="Tahoma" w:eastAsia="Tahoma" w:hAnsi="Tahoma" w:cs="Tahoma"/>
    </w:rPr>
  </w:style>
  <w:style w:type="paragraph" w:styleId="Piedepgina">
    <w:name w:val="footer"/>
    <w:basedOn w:val="Normal"/>
    <w:link w:val="PiedepginaCar"/>
    <w:uiPriority w:val="99"/>
    <w:unhideWhenUsed/>
    <w:rsid w:val="00F03784"/>
    <w:pPr>
      <w:tabs>
        <w:tab w:val="center" w:pos="4419"/>
        <w:tab w:val="right" w:pos="8838"/>
      </w:tabs>
    </w:pPr>
  </w:style>
  <w:style w:type="character" w:customStyle="1" w:styleId="PiedepginaCar">
    <w:name w:val="Pie de página Car"/>
    <w:basedOn w:val="Fuentedeprrafopredeter"/>
    <w:link w:val="Piedepgina"/>
    <w:uiPriority w:val="99"/>
    <w:rsid w:val="00F03784"/>
    <w:rPr>
      <w:rFonts w:ascii="Tahoma" w:eastAsia="Tahoma" w:hAnsi="Tahoma" w:cs="Tahoma"/>
    </w:rPr>
  </w:style>
  <w:style w:type="paragraph" w:styleId="Textodeglobo">
    <w:name w:val="Balloon Text"/>
    <w:basedOn w:val="Normal"/>
    <w:link w:val="TextodegloboCar"/>
    <w:uiPriority w:val="99"/>
    <w:semiHidden/>
    <w:unhideWhenUsed/>
    <w:rsid w:val="00BD7D6D"/>
    <w:rPr>
      <w:sz w:val="16"/>
      <w:szCs w:val="16"/>
    </w:rPr>
  </w:style>
  <w:style w:type="character" w:customStyle="1" w:styleId="TextodegloboCar">
    <w:name w:val="Texto de globo Car"/>
    <w:basedOn w:val="Fuentedeprrafopredeter"/>
    <w:link w:val="Textodeglobo"/>
    <w:uiPriority w:val="99"/>
    <w:semiHidden/>
    <w:rsid w:val="00BD7D6D"/>
    <w:rPr>
      <w:rFonts w:ascii="Tahoma" w:eastAsia="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3740</Words>
  <Characters>20572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ANGARITA</dc:creator>
  <cp:lastModifiedBy>Usuario-PC</cp:lastModifiedBy>
  <cp:revision>2</cp:revision>
  <dcterms:created xsi:type="dcterms:W3CDTF">2018-08-23T21:56:00Z</dcterms:created>
  <dcterms:modified xsi:type="dcterms:W3CDTF">2018-08-23T21:56:00Z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2010-01-12T00:00:00Z</vt:filetime>
  </property>
  <property fmtid="{D5CDD505-2E9C-101B-9397-08002B2CF9AE}" pid="3" name="Creator">
    <vt:lpwstr>PScript5.dll Version 5.2</vt:lpwstr>
  </property>
  <property fmtid="{D5CDD505-2E9C-101B-9397-08002B2CF9AE}" pid="4" name="LastSaved">
    <vt:filetime>2018-08-17T00:00:00Z</vt:filetime>
  </property>
</Properties>
</file>